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page" w:horzAnchor="page" w:tblpX="1228" w:tblpY="1978"/>
        <w:tblOverlap w:val="never"/>
        <w:tblW w:w="1466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1"/>
        <w:gridCol w:w="2247"/>
        <w:gridCol w:w="1200"/>
        <w:gridCol w:w="1228"/>
        <w:gridCol w:w="885"/>
        <w:gridCol w:w="1363"/>
        <w:gridCol w:w="787"/>
        <w:gridCol w:w="675"/>
        <w:gridCol w:w="750"/>
        <w:gridCol w:w="688"/>
        <w:gridCol w:w="2479"/>
        <w:gridCol w:w="19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1" w:type="dxa"/>
            <w:vAlign w:val="center"/>
          </w:tcPr>
          <w:p>
            <w:pPr>
              <w:jc w:val="center"/>
              <w:rPr>
                <w:rFonts w:hint="eastAsia" w:eastAsiaTheme="minorEastAsia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序号</w:t>
            </w:r>
          </w:p>
        </w:tc>
        <w:tc>
          <w:tcPr>
            <w:tcW w:w="2247" w:type="dxa"/>
            <w:vAlign w:val="center"/>
          </w:tcPr>
          <w:p>
            <w:pPr>
              <w:jc w:val="center"/>
              <w:rPr>
                <w:rFonts w:hint="default" w:eastAsiaTheme="minorEastAsia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hint="default" w:eastAsiaTheme="minorEastAsia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行业类别</w:t>
            </w:r>
          </w:p>
        </w:tc>
        <w:tc>
          <w:tcPr>
            <w:tcW w:w="1228" w:type="dxa"/>
            <w:vAlign w:val="center"/>
          </w:tcPr>
          <w:p>
            <w:pPr>
              <w:jc w:val="center"/>
              <w:rPr>
                <w:rFonts w:hint="default" w:eastAsiaTheme="minorEastAsia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监测日期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 w:eastAsiaTheme="minorEastAsia"/>
                <w:b/>
                <w:bCs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Arial" w:hAnsi="Arial" w:cs="Arial"/>
                <w:b/>
                <w:bCs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监测点</w:t>
            </w:r>
          </w:p>
        </w:tc>
        <w:tc>
          <w:tcPr>
            <w:tcW w:w="136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cs="Arial" w:eastAsiaTheme="minorEastAsia"/>
                <w:b/>
                <w:bCs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超标项目</w:t>
            </w:r>
          </w:p>
        </w:tc>
        <w:tc>
          <w:tcPr>
            <w:tcW w:w="787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b/>
                <w:bCs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b/>
                <w:bCs/>
                <w:kern w:val="2"/>
                <w:sz w:val="21"/>
                <w:szCs w:val="24"/>
                <w:vertAlign w:val="baseline"/>
                <w:lang w:val="en-US" w:eastAsia="zh-CN" w:bidi="ar-SA"/>
              </w:rPr>
              <w:t>排放浓度</w:t>
            </w:r>
          </w:p>
        </w:tc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单位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 w:eastAsiaTheme="minorEastAsia"/>
                <w:b/>
                <w:bCs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Arial" w:hAnsi="Arial" w:cs="Arial"/>
                <w:b/>
                <w:bCs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排放限值</w:t>
            </w:r>
          </w:p>
        </w:tc>
        <w:tc>
          <w:tcPr>
            <w:tcW w:w="6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 w:eastAsiaTheme="minorEastAsia"/>
                <w:b/>
                <w:bCs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Arial" w:hAnsi="Arial" w:cs="Arial"/>
                <w:b/>
                <w:bCs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超标倍数</w:t>
            </w:r>
          </w:p>
        </w:tc>
        <w:tc>
          <w:tcPr>
            <w:tcW w:w="2479" w:type="dxa"/>
            <w:vAlign w:val="center"/>
          </w:tcPr>
          <w:p>
            <w:pPr>
              <w:jc w:val="center"/>
              <w:rPr>
                <w:rFonts w:hint="default" w:eastAsiaTheme="minorEastAsia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排放标准</w:t>
            </w: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hint="default" w:eastAsiaTheme="minorEastAsia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监测方法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81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22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石家庄华美造纸厂（普通合伙）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机制纸及纸板制造</w:t>
            </w:r>
          </w:p>
        </w:tc>
        <w:tc>
          <w:tcPr>
            <w:tcW w:w="12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2020-04-20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总排口</w:t>
            </w:r>
          </w:p>
        </w:tc>
        <w:tc>
          <w:tcPr>
            <w:tcW w:w="136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色度</w:t>
            </w:r>
          </w:p>
        </w:tc>
        <w:tc>
          <w:tcPr>
            <w:tcW w:w="7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倍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</w:t>
            </w:r>
          </w:p>
        </w:tc>
        <w:tc>
          <w:tcPr>
            <w:tcW w:w="6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0.67</w:t>
            </w:r>
          </w:p>
        </w:tc>
        <w:tc>
          <w:tcPr>
            <w:tcW w:w="247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楷体_GB2312" w:hAnsi="楷体" w:eastAsia="楷体_GB2312" w:cs="楷体"/>
                <w:szCs w:val="21"/>
              </w:rPr>
              <w:t>石家庄经济技术开发区污水处理厂污水接纳协议</w:t>
            </w:r>
          </w:p>
        </w:tc>
        <w:tc>
          <w:tcPr>
            <w:tcW w:w="198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eastAsia" w:ascii="楷体_GB2312" w:hAnsi="楷体" w:eastAsia="楷体_GB2312" w:cs="楷体"/>
                <w:szCs w:val="21"/>
              </w:rPr>
            </w:pPr>
            <w:r>
              <w:rPr>
                <w:rFonts w:hint="eastAsia" w:ascii="楷体_GB2312" w:hAnsi="楷体" w:eastAsia="楷体_GB2312" w:cs="楷体"/>
                <w:szCs w:val="21"/>
              </w:rPr>
              <w:t>GB/T11903-1989 稀释倍数法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81" w:type="dxa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22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石家庄利盛印染有限公司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化纤织造及印染精加工</w:t>
            </w:r>
          </w:p>
        </w:tc>
        <w:tc>
          <w:tcPr>
            <w:tcW w:w="12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2020-05-18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18"/>
                <w:szCs w:val="18"/>
                <w:vertAlign w:val="baseline"/>
                <w:lang w:val="en-US" w:eastAsia="zh-CN"/>
              </w:rPr>
              <w:t>总排口</w:t>
            </w:r>
          </w:p>
        </w:tc>
        <w:tc>
          <w:tcPr>
            <w:tcW w:w="136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苯胺类</w:t>
            </w:r>
          </w:p>
        </w:tc>
        <w:tc>
          <w:tcPr>
            <w:tcW w:w="7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1.10</w:t>
            </w:r>
          </w:p>
        </w:tc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mg/L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</w:t>
            </w:r>
          </w:p>
        </w:tc>
        <w:tc>
          <w:tcPr>
            <w:tcW w:w="6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  <w:t>0.10</w:t>
            </w:r>
          </w:p>
        </w:tc>
        <w:tc>
          <w:tcPr>
            <w:tcW w:w="247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楷体_GB2312" w:hAnsi="楷体" w:eastAsia="楷体_GB2312" w:cs="楷体"/>
                <w:spacing w:val="-20"/>
                <w:szCs w:val="21"/>
              </w:rPr>
              <w:t>《纺织染整工业水污染物排放标准》GB4287-2012表1、表2间接排放标准及环保部公告2015年第41号</w:t>
            </w:r>
          </w:p>
        </w:tc>
        <w:tc>
          <w:tcPr>
            <w:tcW w:w="198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eastAsia" w:ascii="楷体_GB2312" w:hAnsi="楷体" w:eastAsia="楷体_GB2312" w:cs="楷体"/>
                <w:szCs w:val="21"/>
              </w:rPr>
            </w:pPr>
            <w:r>
              <w:rPr>
                <w:rFonts w:hint="eastAsia" w:ascii="楷体_GB2312" w:hAnsi="楷体" w:eastAsia="楷体_GB2312" w:cs="楷体"/>
                <w:szCs w:val="21"/>
              </w:rPr>
              <w:t>GB/T11889-1989</w:t>
            </w:r>
            <w:r>
              <w:rPr>
                <w:rFonts w:hint="eastAsia" w:ascii="楷体_GB2312" w:hAnsi="楷体" w:eastAsia="楷体_GB2312" w:cs="楷体"/>
                <w:szCs w:val="21"/>
              </w:rPr>
              <w:fldChar w:fldCharType="begin"/>
            </w:r>
            <w:r>
              <w:rPr>
                <w:rFonts w:hint="eastAsia" w:ascii="楷体_GB2312" w:hAnsi="楷体" w:eastAsia="楷体_GB2312" w:cs="楷体"/>
                <w:szCs w:val="21"/>
              </w:rPr>
              <w:instrText xml:space="preserve">HYPERLINK "水质标准/分析方法/水质 苯胺类化合物的测定 N-(1-萘基)乙二胺偶氮分光光度法（GB 11889-89）.pdf" </w:instrText>
            </w:r>
            <w:r>
              <w:rPr>
                <w:rFonts w:hint="eastAsia" w:ascii="楷体_GB2312" w:hAnsi="楷体" w:eastAsia="楷体_GB2312" w:cs="楷体"/>
                <w:szCs w:val="21"/>
              </w:rPr>
              <w:fldChar w:fldCharType="separate"/>
            </w:r>
            <w:r>
              <w:rPr>
                <w:rFonts w:hint="eastAsia" w:ascii="楷体_GB2312" w:hAnsi="楷体" w:eastAsia="楷体_GB2312" w:cs="楷体"/>
                <w:szCs w:val="21"/>
              </w:rPr>
              <w:t>水质  苯胺类化合物的测定　N-</w:t>
            </w:r>
            <w:r>
              <w:rPr>
                <w:rFonts w:hint="eastAsia" w:ascii="楷体_GB2312" w:hAnsi="楷体" w:eastAsia="楷体_GB2312" w:cs="楷体"/>
                <w:szCs w:val="21"/>
                <w:lang w:eastAsia="zh-CN"/>
              </w:rPr>
              <w:t>（</w:t>
            </w:r>
            <w:r>
              <w:rPr>
                <w:rFonts w:hint="eastAsia" w:ascii="楷体_GB2312" w:hAnsi="楷体" w:eastAsia="楷体_GB2312" w:cs="楷体"/>
                <w:szCs w:val="21"/>
              </w:rPr>
              <w:t>1-萘基）乙二胺偶氮分光光度法</w:t>
            </w:r>
            <w:r>
              <w:rPr>
                <w:rFonts w:hint="eastAsia" w:ascii="楷体_GB2312" w:hAnsi="楷体" w:eastAsia="楷体_GB2312" w:cs="楷体"/>
                <w:szCs w:val="21"/>
              </w:rPr>
              <w:fldChar w:fldCharType="end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81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22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石家庄经济技术开发区污水处理厂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污水处理及其再生利用</w:t>
            </w:r>
          </w:p>
        </w:tc>
        <w:tc>
          <w:tcPr>
            <w:tcW w:w="12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2020-04-08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出口</w:t>
            </w:r>
          </w:p>
        </w:tc>
        <w:tc>
          <w:tcPr>
            <w:tcW w:w="136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粪大肠菌群数</w:t>
            </w:r>
          </w:p>
        </w:tc>
        <w:tc>
          <w:tcPr>
            <w:tcW w:w="7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3800</w:t>
            </w:r>
          </w:p>
        </w:tc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MPN/L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1000</w:t>
            </w:r>
          </w:p>
        </w:tc>
        <w:tc>
          <w:tcPr>
            <w:tcW w:w="6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  <w:t>2.8</w:t>
            </w:r>
          </w:p>
        </w:tc>
        <w:tc>
          <w:tcPr>
            <w:tcW w:w="247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楷体_GB2312" w:hAnsi="楷体" w:eastAsia="楷体_GB2312" w:cs="楷体"/>
                <w:spacing w:val="-20"/>
                <w:szCs w:val="21"/>
              </w:rPr>
              <w:t>《城镇污水处理厂污染物排放标准》</w:t>
            </w:r>
            <w:r>
              <w:rPr>
                <w:rFonts w:hint="eastAsia" w:ascii="楷体_GB2312" w:hAnsi="楷体" w:eastAsia="楷体_GB2312" w:cs="楷体"/>
                <w:spacing w:val="-20"/>
                <w:szCs w:val="21"/>
                <w:lang w:eastAsia="zh-CN"/>
              </w:rPr>
              <w:t>（</w:t>
            </w:r>
            <w:r>
              <w:rPr>
                <w:rFonts w:hint="eastAsia" w:ascii="楷体_GB2312" w:hAnsi="楷体" w:eastAsia="楷体_GB2312" w:cs="楷体"/>
                <w:spacing w:val="-20"/>
                <w:szCs w:val="21"/>
              </w:rPr>
              <w:t>GB 18918-2002</w:t>
            </w:r>
            <w:r>
              <w:rPr>
                <w:rFonts w:hint="eastAsia" w:ascii="楷体_GB2312" w:hAnsi="楷体" w:eastAsia="楷体_GB2312" w:cs="楷体"/>
                <w:spacing w:val="-20"/>
                <w:szCs w:val="21"/>
                <w:lang w:eastAsia="zh-CN"/>
              </w:rPr>
              <w:t>）</w:t>
            </w:r>
            <w:r>
              <w:rPr>
                <w:rFonts w:hint="eastAsia" w:ascii="楷体_GB2312" w:hAnsi="楷体" w:eastAsia="楷体_GB2312" w:cs="楷体"/>
                <w:spacing w:val="-20"/>
                <w:szCs w:val="21"/>
              </w:rPr>
              <w:t xml:space="preserve"> 表1一级A及表2标准</w:t>
            </w:r>
          </w:p>
        </w:tc>
        <w:tc>
          <w:tcPr>
            <w:tcW w:w="198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eastAsia" w:ascii="楷体_GB2312" w:hAnsi="楷体" w:eastAsia="楷体_GB2312" w:cs="楷体"/>
                <w:szCs w:val="21"/>
              </w:rPr>
            </w:pPr>
            <w:r>
              <w:rPr>
                <w:rFonts w:hint="eastAsia" w:ascii="楷体_GB2312" w:hAnsi="楷体" w:eastAsia="楷体_GB2312" w:cs="楷体"/>
                <w:szCs w:val="21"/>
              </w:rPr>
              <w:t>HJ347</w:t>
            </w:r>
            <w:r>
              <w:rPr>
                <w:rFonts w:hint="eastAsia" w:ascii="楷体_GB2312" w:hAnsi="楷体" w:eastAsia="楷体_GB2312" w:cs="楷体"/>
                <w:szCs w:val="21"/>
                <w:lang w:val="en-US" w:eastAsia="zh-CN"/>
              </w:rPr>
              <w:t>.2</w:t>
            </w:r>
            <w:r>
              <w:rPr>
                <w:rFonts w:hint="eastAsia" w:ascii="楷体_GB2312" w:hAnsi="楷体" w:eastAsia="楷体_GB2312" w:cs="楷体"/>
                <w:szCs w:val="21"/>
              </w:rPr>
              <w:t>-20</w:t>
            </w:r>
            <w:r>
              <w:rPr>
                <w:rFonts w:hint="eastAsia" w:ascii="楷体_GB2312" w:hAnsi="楷体" w:eastAsia="楷体_GB2312" w:cs="楷体"/>
                <w:szCs w:val="21"/>
                <w:lang w:val="en-US" w:eastAsia="zh-CN"/>
              </w:rPr>
              <w:t>18</w:t>
            </w:r>
            <w:r>
              <w:rPr>
                <w:rFonts w:hint="eastAsia" w:ascii="楷体_GB2312" w:hAnsi="楷体" w:eastAsia="楷体_GB2312" w:cs="楷体"/>
                <w:szCs w:val="21"/>
              </w:rPr>
              <w:t xml:space="preserve"> 多管发酵法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81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</w:t>
            </w:r>
          </w:p>
        </w:tc>
        <w:tc>
          <w:tcPr>
            <w:tcW w:w="22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行唐县玉城污水处理厂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污水处理及其再生利用</w:t>
            </w:r>
          </w:p>
        </w:tc>
        <w:tc>
          <w:tcPr>
            <w:tcW w:w="12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2020-05-14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出口</w:t>
            </w:r>
          </w:p>
        </w:tc>
        <w:tc>
          <w:tcPr>
            <w:tcW w:w="136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粪大肠菌群</w:t>
            </w: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</w:t>
            </w:r>
          </w:p>
        </w:tc>
        <w:tc>
          <w:tcPr>
            <w:tcW w:w="7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13000</w:t>
            </w:r>
          </w:p>
        </w:tc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MPN/L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1000</w:t>
            </w:r>
          </w:p>
        </w:tc>
        <w:tc>
          <w:tcPr>
            <w:tcW w:w="6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  <w:t>12</w:t>
            </w:r>
          </w:p>
        </w:tc>
        <w:tc>
          <w:tcPr>
            <w:tcW w:w="247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楷体_GB2312" w:hAnsi="楷体" w:eastAsia="楷体_GB2312" w:cs="楷体"/>
                <w:spacing w:val="-20"/>
                <w:szCs w:val="21"/>
              </w:rPr>
              <w:t>《城镇污水处理厂污染物排放标准》</w:t>
            </w:r>
            <w:r>
              <w:rPr>
                <w:rFonts w:hint="eastAsia" w:ascii="楷体_GB2312" w:hAnsi="楷体" w:eastAsia="楷体_GB2312" w:cs="楷体"/>
                <w:spacing w:val="-20"/>
                <w:szCs w:val="21"/>
                <w:lang w:eastAsia="zh-CN"/>
              </w:rPr>
              <w:t>（</w:t>
            </w:r>
            <w:r>
              <w:rPr>
                <w:rFonts w:hint="eastAsia" w:ascii="楷体_GB2312" w:hAnsi="楷体" w:eastAsia="楷体_GB2312" w:cs="楷体"/>
                <w:spacing w:val="-20"/>
                <w:szCs w:val="21"/>
              </w:rPr>
              <w:t>GB 18918-2002</w:t>
            </w:r>
            <w:r>
              <w:rPr>
                <w:rFonts w:hint="eastAsia" w:ascii="楷体_GB2312" w:hAnsi="楷体" w:eastAsia="楷体_GB2312" w:cs="楷体"/>
                <w:spacing w:val="-20"/>
                <w:szCs w:val="21"/>
                <w:lang w:eastAsia="zh-CN"/>
              </w:rPr>
              <w:t>）</w:t>
            </w:r>
            <w:r>
              <w:rPr>
                <w:rFonts w:hint="eastAsia" w:ascii="楷体_GB2312" w:hAnsi="楷体" w:eastAsia="楷体_GB2312" w:cs="楷体"/>
                <w:spacing w:val="-20"/>
                <w:szCs w:val="21"/>
              </w:rPr>
              <w:t xml:space="preserve"> 表1一级A及表2标准</w:t>
            </w:r>
          </w:p>
        </w:tc>
        <w:tc>
          <w:tcPr>
            <w:tcW w:w="198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eastAsia" w:ascii="楷体_GB2312" w:hAnsi="楷体" w:eastAsia="楷体_GB2312" w:cs="楷体"/>
                <w:szCs w:val="21"/>
                <w:lang w:val="en-US" w:eastAsia="zh-CN"/>
              </w:rPr>
            </w:pPr>
            <w:r>
              <w:rPr>
                <w:rFonts w:hint="eastAsia" w:ascii="楷体_GB2312" w:hAnsi="楷体" w:eastAsia="楷体_GB2312" w:cs="楷体"/>
                <w:szCs w:val="21"/>
              </w:rPr>
              <w:t>HJ347</w:t>
            </w:r>
            <w:r>
              <w:rPr>
                <w:rFonts w:hint="eastAsia" w:ascii="楷体_GB2312" w:hAnsi="楷体" w:eastAsia="楷体_GB2312" w:cs="楷体"/>
                <w:szCs w:val="21"/>
                <w:lang w:val="en-US" w:eastAsia="zh-CN"/>
              </w:rPr>
              <w:t>.2</w:t>
            </w:r>
            <w:r>
              <w:rPr>
                <w:rFonts w:hint="eastAsia" w:ascii="楷体_GB2312" w:hAnsi="楷体" w:eastAsia="楷体_GB2312" w:cs="楷体"/>
                <w:szCs w:val="21"/>
              </w:rPr>
              <w:t>-20</w:t>
            </w:r>
            <w:r>
              <w:rPr>
                <w:rFonts w:hint="eastAsia" w:ascii="楷体_GB2312" w:hAnsi="楷体" w:eastAsia="楷体_GB2312" w:cs="楷体"/>
                <w:szCs w:val="21"/>
                <w:lang w:val="en-US" w:eastAsia="zh-CN"/>
              </w:rPr>
              <w:t>18</w:t>
            </w:r>
            <w:r>
              <w:rPr>
                <w:rFonts w:hint="eastAsia" w:ascii="楷体_GB2312" w:hAnsi="楷体" w:eastAsia="楷体_GB2312" w:cs="楷体"/>
                <w:szCs w:val="21"/>
              </w:rPr>
              <w:t xml:space="preserve"> 多管发酵法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81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</w:t>
            </w:r>
          </w:p>
        </w:tc>
        <w:tc>
          <w:tcPr>
            <w:tcW w:w="22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石家庄高新技术产业开发区污水处理厂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污水处理及其再生利用</w:t>
            </w:r>
          </w:p>
        </w:tc>
        <w:tc>
          <w:tcPr>
            <w:tcW w:w="12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2020-04-13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出口</w:t>
            </w:r>
          </w:p>
        </w:tc>
        <w:tc>
          <w:tcPr>
            <w:tcW w:w="136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悬浮物</w:t>
            </w:r>
          </w:p>
        </w:tc>
        <w:tc>
          <w:tcPr>
            <w:tcW w:w="7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24.0</w:t>
            </w:r>
          </w:p>
        </w:tc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mg/L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6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  <w:t>1.4</w:t>
            </w:r>
          </w:p>
        </w:tc>
        <w:tc>
          <w:tcPr>
            <w:tcW w:w="247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楷体_GB2312" w:hAnsi="楷体" w:eastAsia="楷体_GB2312" w:cs="楷体"/>
                <w:spacing w:val="-20"/>
                <w:szCs w:val="21"/>
              </w:rPr>
              <w:t>《城镇污水处理厂污染物排放标准》</w:t>
            </w:r>
            <w:r>
              <w:rPr>
                <w:rFonts w:hint="eastAsia" w:ascii="楷体_GB2312" w:hAnsi="楷体" w:eastAsia="楷体_GB2312" w:cs="楷体"/>
                <w:spacing w:val="-20"/>
                <w:szCs w:val="21"/>
                <w:lang w:eastAsia="zh-CN"/>
              </w:rPr>
              <w:t>（</w:t>
            </w:r>
            <w:r>
              <w:rPr>
                <w:rFonts w:hint="eastAsia" w:ascii="楷体_GB2312" w:hAnsi="楷体" w:eastAsia="楷体_GB2312" w:cs="楷体"/>
                <w:spacing w:val="-20"/>
                <w:szCs w:val="21"/>
              </w:rPr>
              <w:t>GB 18918-2002</w:t>
            </w:r>
            <w:r>
              <w:rPr>
                <w:rFonts w:hint="eastAsia" w:ascii="楷体_GB2312" w:hAnsi="楷体" w:eastAsia="楷体_GB2312" w:cs="楷体"/>
                <w:spacing w:val="-20"/>
                <w:szCs w:val="21"/>
                <w:lang w:eastAsia="zh-CN"/>
              </w:rPr>
              <w:t>）</w:t>
            </w:r>
            <w:r>
              <w:rPr>
                <w:rFonts w:hint="eastAsia" w:ascii="楷体_GB2312" w:hAnsi="楷体" w:eastAsia="楷体_GB2312" w:cs="楷体"/>
                <w:spacing w:val="-20"/>
                <w:szCs w:val="21"/>
              </w:rPr>
              <w:t xml:space="preserve"> 表1一级A及表2标准</w:t>
            </w:r>
          </w:p>
        </w:tc>
        <w:tc>
          <w:tcPr>
            <w:tcW w:w="198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eastAsia" w:ascii="楷体_GB2312" w:hAnsi="楷体" w:eastAsia="楷体_GB2312" w:cs="楷体"/>
                <w:szCs w:val="21"/>
              </w:rPr>
            </w:pPr>
            <w:r>
              <w:rPr>
                <w:rFonts w:hint="eastAsia" w:ascii="楷体_GB2312" w:hAnsi="楷体" w:eastAsia="楷体_GB2312" w:cs="楷体"/>
                <w:szCs w:val="21"/>
              </w:rPr>
              <w:t>GB/T11901-1989 重量法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81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6</w:t>
            </w:r>
          </w:p>
        </w:tc>
        <w:tc>
          <w:tcPr>
            <w:tcW w:w="22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石家庄良村热电有限公司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火力发电</w:t>
            </w:r>
          </w:p>
        </w:tc>
        <w:tc>
          <w:tcPr>
            <w:tcW w:w="12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2020-03-16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1#锅炉</w:t>
            </w:r>
          </w:p>
        </w:tc>
        <w:tc>
          <w:tcPr>
            <w:tcW w:w="136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氨</w:t>
            </w:r>
          </w:p>
        </w:tc>
        <w:tc>
          <w:tcPr>
            <w:tcW w:w="7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2.58</w:t>
            </w:r>
          </w:p>
        </w:tc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mg/m3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2.3</w:t>
            </w:r>
          </w:p>
        </w:tc>
        <w:tc>
          <w:tcPr>
            <w:tcW w:w="6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18"/>
                <w:szCs w:val="18"/>
                <w:vertAlign w:val="baseline"/>
                <w:lang w:val="en-US" w:eastAsia="zh-CN"/>
              </w:rPr>
              <w:t>0.12</w:t>
            </w:r>
          </w:p>
        </w:tc>
        <w:tc>
          <w:tcPr>
            <w:tcW w:w="247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楷体_GB2312" w:hAnsi="楷体" w:eastAsia="楷体_GB2312" w:cs="楷体"/>
                <w:szCs w:val="21"/>
              </w:rPr>
              <w:t>《燃煤电厂大气污染物排放标准》（DB13/2209-2015）表1标准</w:t>
            </w:r>
          </w:p>
        </w:tc>
        <w:tc>
          <w:tcPr>
            <w:tcW w:w="198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楷体_GB2312" w:hAnsi="楷体" w:eastAsia="楷体_GB2312" w:cs="楷体"/>
                <w:szCs w:val="21"/>
              </w:rPr>
              <w:t>《环境空气和废气 氨的测定 纳氏试剂分光光度法》HJ533-2009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81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7</w:t>
            </w:r>
          </w:p>
        </w:tc>
        <w:tc>
          <w:tcPr>
            <w:tcW w:w="22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石家庄中通建材有限公司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水泥制造</w:t>
            </w:r>
          </w:p>
        </w:tc>
        <w:tc>
          <w:tcPr>
            <w:tcW w:w="12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2020-03-31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回转窑窑尾</w:t>
            </w:r>
          </w:p>
        </w:tc>
        <w:tc>
          <w:tcPr>
            <w:tcW w:w="136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氨</w:t>
            </w:r>
          </w:p>
        </w:tc>
        <w:tc>
          <w:tcPr>
            <w:tcW w:w="7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13.1</w:t>
            </w:r>
          </w:p>
        </w:tc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mg/m3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6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0.64</w:t>
            </w:r>
          </w:p>
        </w:tc>
        <w:tc>
          <w:tcPr>
            <w:tcW w:w="247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楷体_GB2312" w:hAnsi="楷体" w:eastAsia="楷体_GB2312" w:cs="楷体"/>
                <w:szCs w:val="21"/>
              </w:rPr>
              <w:t>《水泥工业大气污染物排放标准》</w:t>
            </w:r>
            <w:r>
              <w:rPr>
                <w:rFonts w:hint="eastAsia" w:ascii="楷体_GB2312" w:hAnsi="楷体" w:eastAsia="楷体_GB2312" w:cs="楷体"/>
                <w:spacing w:val="-6"/>
                <w:szCs w:val="21"/>
              </w:rPr>
              <w:t>（DB13/2167-2015）表</w:t>
            </w:r>
            <w:r>
              <w:rPr>
                <w:rFonts w:hint="eastAsia" w:ascii="楷体_GB2312" w:hAnsi="楷体" w:eastAsia="楷体_GB2312" w:cs="楷体"/>
                <w:szCs w:val="21"/>
              </w:rPr>
              <w:t>1第Ⅱ时段标准</w:t>
            </w:r>
          </w:p>
        </w:tc>
        <w:tc>
          <w:tcPr>
            <w:tcW w:w="198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vertAlign w:val="baseline"/>
              </w:rPr>
            </w:pPr>
            <w:r>
              <w:rPr>
                <w:rFonts w:hint="eastAsia" w:ascii="楷体_GB2312" w:hAnsi="楷体" w:eastAsia="楷体_GB2312" w:cs="楷体"/>
                <w:szCs w:val="21"/>
              </w:rPr>
              <w:t>《环境空气和废气 氨的测定 纳氏试剂分光光度法》HJ533-2009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81" w:type="dxa"/>
            <w:vMerge w:val="restart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8</w:t>
            </w:r>
          </w:p>
        </w:tc>
        <w:tc>
          <w:tcPr>
            <w:tcW w:w="2247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河北华电石家庄鹿华热电有限公司</w:t>
            </w:r>
          </w:p>
        </w:tc>
        <w:tc>
          <w:tcPr>
            <w:tcW w:w="1200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火力发电</w:t>
            </w:r>
          </w:p>
        </w:tc>
        <w:tc>
          <w:tcPr>
            <w:tcW w:w="1228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2020-03-13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1#锅炉</w:t>
            </w:r>
          </w:p>
        </w:tc>
        <w:tc>
          <w:tcPr>
            <w:tcW w:w="136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氨</w:t>
            </w:r>
          </w:p>
        </w:tc>
        <w:tc>
          <w:tcPr>
            <w:tcW w:w="7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2.80</w:t>
            </w:r>
          </w:p>
        </w:tc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mg/m3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2.3</w:t>
            </w:r>
          </w:p>
        </w:tc>
        <w:tc>
          <w:tcPr>
            <w:tcW w:w="6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0.22</w:t>
            </w:r>
          </w:p>
        </w:tc>
        <w:tc>
          <w:tcPr>
            <w:tcW w:w="247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eastAsia" w:ascii="楷体_GB2312" w:hAnsi="楷体" w:eastAsia="楷体_GB2312" w:cs="楷体"/>
                <w:szCs w:val="21"/>
              </w:rPr>
            </w:pPr>
            <w:r>
              <w:rPr>
                <w:rFonts w:hint="eastAsia" w:ascii="楷体_GB2312" w:hAnsi="楷体" w:eastAsia="楷体_GB2312" w:cs="楷体"/>
                <w:szCs w:val="21"/>
              </w:rPr>
              <w:t>《燃煤电厂大气污染物排放标准》（DB13/2209-2015）表1标准</w:t>
            </w:r>
          </w:p>
        </w:tc>
        <w:tc>
          <w:tcPr>
            <w:tcW w:w="1984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eastAsia" w:ascii="楷体_GB2312" w:hAnsi="楷体" w:eastAsia="楷体_GB2312" w:cs="楷体"/>
                <w:szCs w:val="21"/>
              </w:rPr>
            </w:pPr>
            <w:r>
              <w:rPr>
                <w:rFonts w:hint="eastAsia" w:ascii="楷体_GB2312" w:hAnsi="楷体" w:eastAsia="楷体_GB2312" w:cs="楷体"/>
                <w:szCs w:val="21"/>
              </w:rPr>
              <w:t>《环境空气和废气 氨的测定 纳氏试剂分光光度法》HJ533-2009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81" w:type="dxa"/>
            <w:vMerge w:val="continue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224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228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2#锅炉</w:t>
            </w:r>
          </w:p>
        </w:tc>
        <w:tc>
          <w:tcPr>
            <w:tcW w:w="136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氨</w:t>
            </w:r>
          </w:p>
        </w:tc>
        <w:tc>
          <w:tcPr>
            <w:tcW w:w="7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3.94</w:t>
            </w:r>
          </w:p>
        </w:tc>
        <w:tc>
          <w:tcPr>
            <w:tcW w:w="6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mg/m3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2.3</w:t>
            </w:r>
          </w:p>
        </w:tc>
        <w:tc>
          <w:tcPr>
            <w:tcW w:w="6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0.71</w:t>
            </w:r>
          </w:p>
        </w:tc>
        <w:tc>
          <w:tcPr>
            <w:tcW w:w="2479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</w:p>
        </w:tc>
        <w:tc>
          <w:tcPr>
            <w:tcW w:w="1984" w:type="dxa"/>
            <w:vMerge w:val="continue"/>
            <w:vAlign w:val="center"/>
          </w:tcPr>
          <w:p>
            <w:pPr>
              <w:jc w:val="center"/>
              <w:rPr>
                <w:vertAlign w:val="baseline"/>
              </w:rPr>
            </w:pPr>
          </w:p>
        </w:tc>
      </w:tr>
    </w:tbl>
    <w:p>
      <w:pPr>
        <w:jc w:val="center"/>
        <w:rPr>
          <w:rFonts w:hint="default"/>
          <w:b/>
          <w:bCs/>
          <w:sz w:val="32"/>
          <w:szCs w:val="40"/>
          <w:lang w:val="en-US" w:eastAsia="zh-CN"/>
        </w:rPr>
        <w:sectPr>
          <w:headerReference r:id="rId3" w:type="default"/>
          <w:pgSz w:w="16838" w:h="11906" w:orient="landscape"/>
          <w:pgMar w:top="1304" w:right="1440" w:bottom="1134" w:left="1440" w:header="851" w:footer="992" w:gutter="0"/>
          <w:pgNumType w:fmt="decimal"/>
          <w:cols w:space="425" w:num="1"/>
          <w:docGrid w:type="lines" w:linePitch="312" w:charSpace="0"/>
        </w:sectPr>
      </w:pPr>
      <w:r>
        <w:rPr>
          <w:rFonts w:hint="eastAsia"/>
          <w:b/>
          <w:bCs/>
          <w:sz w:val="32"/>
          <w:szCs w:val="40"/>
          <w:lang w:val="en-US" w:eastAsia="zh-CN"/>
        </w:rPr>
        <w:t>石家庄市上半年超标企业数据统计</w:t>
      </w:r>
    </w:p>
    <w:p>
      <w:pPr>
        <w:jc w:val="both"/>
        <w:rPr>
          <w:rFonts w:hint="default"/>
          <w:b/>
          <w:bCs/>
          <w:sz w:val="32"/>
          <w:szCs w:val="40"/>
          <w:lang w:val="en-US" w:eastAsia="zh-CN"/>
        </w:rPr>
      </w:pPr>
      <w:bookmarkStart w:id="0" w:name="_GoBack"/>
      <w:bookmarkEnd w:id="0"/>
    </w:p>
    <w:sectPr>
      <w:pgSz w:w="11906" w:h="16838"/>
      <w:pgMar w:top="1440" w:right="1134" w:bottom="1440" w:left="1304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D263B9"/>
    <w:rsid w:val="09266016"/>
    <w:rsid w:val="1D7D6F51"/>
    <w:rsid w:val="1E340D37"/>
    <w:rsid w:val="1F1119FF"/>
    <w:rsid w:val="21E577E1"/>
    <w:rsid w:val="27A2579C"/>
    <w:rsid w:val="369C1493"/>
    <w:rsid w:val="3C4A778C"/>
    <w:rsid w:val="3FD40AB1"/>
    <w:rsid w:val="442C4DAA"/>
    <w:rsid w:val="48163F56"/>
    <w:rsid w:val="4D797DBC"/>
    <w:rsid w:val="56761C63"/>
    <w:rsid w:val="65452C01"/>
    <w:rsid w:val="67F2563D"/>
    <w:rsid w:val="6E3C01C8"/>
    <w:rsid w:val="6F1975ED"/>
    <w:rsid w:val="6FC9226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Hyperlink"/>
    <w:unhideWhenUsed/>
    <w:qFormat/>
    <w:uiPriority w:val="99"/>
    <w:rPr>
      <w:color w:val="0000FF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32</TotalTime>
  <ScaleCrop>false</ScaleCrop>
  <LinksUpToDate>false</LinksUpToDate>
  <CharactersWithSpaces>0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lenovo</cp:lastModifiedBy>
  <cp:lastPrinted>2020-06-28T02:52:00Z</cp:lastPrinted>
  <dcterms:modified xsi:type="dcterms:W3CDTF">2020-07-03T10:46:40Z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