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882DAA">
      <w:pPr>
        <w:keepNext w:val="0"/>
        <w:keepLines w:val="0"/>
        <w:pageBreakBefore w:val="0"/>
        <w:widowControl w:val="0"/>
        <w:kinsoku/>
        <w:wordWrap/>
        <w:overflowPunct/>
        <w:topLinePunct w:val="0"/>
        <w:autoSpaceDE/>
        <w:autoSpaceDN/>
        <w:bidi w:val="0"/>
        <w:adjustRightInd/>
        <w:snapToGrid/>
        <w:spacing w:line="500" w:lineRule="exact"/>
        <w:ind w:right="0" w:rightChars="0"/>
        <w:jc w:val="center"/>
        <w:textAlignment w:val="auto"/>
        <w:rPr>
          <w:rFonts w:hint="eastAsia" w:ascii="方正小标宋简体" w:hAnsi="方正小标宋_GBK" w:eastAsia="方正小标宋简体" w:cs="方正小标宋_GBK"/>
          <w:bCs/>
          <w:color w:val="auto"/>
          <w:sz w:val="44"/>
          <w:szCs w:val="44"/>
          <w:lang w:val="en-US" w:eastAsia="zh-CN"/>
        </w:rPr>
      </w:pPr>
      <w:r>
        <w:rPr>
          <w:rFonts w:hint="eastAsia" w:ascii="方正小标宋简体" w:hAnsi="方正小标宋_GBK" w:eastAsia="方正小标宋简体" w:cs="方正小标宋_GBK"/>
          <w:bCs/>
          <w:color w:val="auto"/>
          <w:sz w:val="44"/>
          <w:szCs w:val="44"/>
          <w:lang w:val="en-US" w:eastAsia="zh-CN"/>
        </w:rPr>
        <w:t>石家庄市生态环境局</w:t>
      </w:r>
    </w:p>
    <w:p w14:paraId="3ACE1B7E">
      <w:pPr>
        <w:keepNext w:val="0"/>
        <w:keepLines w:val="0"/>
        <w:pageBreakBefore w:val="0"/>
        <w:widowControl w:val="0"/>
        <w:kinsoku/>
        <w:wordWrap/>
        <w:overflowPunct/>
        <w:topLinePunct w:val="0"/>
        <w:autoSpaceDE/>
        <w:autoSpaceDN/>
        <w:bidi w:val="0"/>
        <w:adjustRightInd/>
        <w:snapToGrid/>
        <w:spacing w:line="500" w:lineRule="exact"/>
        <w:ind w:right="0" w:rightChars="0"/>
        <w:jc w:val="center"/>
        <w:textAlignment w:val="auto"/>
        <w:rPr>
          <w:rFonts w:hint="eastAsia" w:ascii="方正小标宋简体" w:hAnsi="方正小标宋_GBK" w:eastAsia="方正小标宋简体" w:cs="方正小标宋_GBK"/>
          <w:bCs/>
          <w:color w:val="auto"/>
          <w:sz w:val="44"/>
          <w:szCs w:val="44"/>
          <w:lang w:val="en-US" w:eastAsia="zh-CN"/>
        </w:rPr>
      </w:pPr>
      <w:r>
        <w:rPr>
          <w:rFonts w:hint="eastAsia" w:ascii="方正小标宋简体" w:hAnsi="方正小标宋_GBK" w:eastAsia="方正小标宋简体" w:cs="方正小标宋_GBK"/>
          <w:bCs/>
          <w:color w:val="auto"/>
          <w:sz w:val="44"/>
          <w:szCs w:val="44"/>
          <w:lang w:val="en-US" w:eastAsia="zh-CN"/>
        </w:rPr>
        <w:t>关于重点河流应急监测预警服务的询价</w:t>
      </w:r>
    </w:p>
    <w:p w14:paraId="4893BDB8">
      <w:pPr>
        <w:keepNext w:val="0"/>
        <w:keepLines w:val="0"/>
        <w:pageBreakBefore w:val="0"/>
        <w:widowControl w:val="0"/>
        <w:kinsoku/>
        <w:wordWrap/>
        <w:overflowPunct/>
        <w:topLinePunct w:val="0"/>
        <w:autoSpaceDE/>
        <w:autoSpaceDN/>
        <w:bidi w:val="0"/>
        <w:adjustRightInd/>
        <w:snapToGrid/>
        <w:spacing w:line="500" w:lineRule="exact"/>
        <w:ind w:right="0" w:rightChars="0"/>
        <w:jc w:val="center"/>
        <w:textAlignment w:val="auto"/>
        <w:rPr>
          <w:rFonts w:hint="eastAsia" w:ascii="方正小标宋简体" w:hAnsi="方正小标宋_GBK" w:eastAsia="方正小标宋简体" w:cs="方正小标宋_GBK"/>
          <w:bCs/>
          <w:color w:val="auto"/>
          <w:sz w:val="44"/>
          <w:szCs w:val="44"/>
          <w:lang w:val="en-US" w:eastAsia="zh-CN"/>
        </w:rPr>
      </w:pPr>
      <w:r>
        <w:rPr>
          <w:rFonts w:hint="eastAsia" w:ascii="方正小标宋简体" w:hAnsi="方正小标宋_GBK" w:eastAsia="方正小标宋简体" w:cs="方正小标宋_GBK"/>
          <w:bCs/>
          <w:color w:val="auto"/>
          <w:sz w:val="44"/>
          <w:szCs w:val="44"/>
          <w:lang w:val="en-US" w:eastAsia="zh-CN"/>
        </w:rPr>
        <w:t>信息公告</w:t>
      </w:r>
    </w:p>
    <w:p w14:paraId="37ED4742">
      <w:pPr>
        <w:keepNext w:val="0"/>
        <w:keepLines w:val="0"/>
        <w:pageBreakBefore w:val="0"/>
        <w:widowControl w:val="0"/>
        <w:kinsoku/>
        <w:wordWrap/>
        <w:overflowPunct/>
        <w:topLinePunct w:val="0"/>
        <w:autoSpaceDE/>
        <w:autoSpaceDN/>
        <w:bidi w:val="0"/>
        <w:adjustRightInd/>
        <w:snapToGrid/>
        <w:spacing w:line="500" w:lineRule="exact"/>
        <w:ind w:right="0" w:rightChars="0"/>
        <w:textAlignment w:val="auto"/>
        <w:rPr>
          <w:rFonts w:hint="eastAsia" w:ascii="仿宋_GB2312" w:hAnsi="仿宋_GB2312" w:eastAsia="仿宋_GB2312" w:cs="仿宋_GB2312"/>
          <w:bCs/>
          <w:color w:val="auto"/>
          <w:sz w:val="32"/>
          <w:szCs w:val="32"/>
        </w:rPr>
      </w:pPr>
    </w:p>
    <w:p w14:paraId="6767C262">
      <w:pPr>
        <w:keepNext w:val="0"/>
        <w:keepLines w:val="0"/>
        <w:pageBreakBefore w:val="0"/>
        <w:widowControl w:val="0"/>
        <w:kinsoku/>
        <w:wordWrap/>
        <w:overflowPunct/>
        <w:topLinePunct w:val="0"/>
        <w:autoSpaceDE/>
        <w:autoSpaceDN/>
        <w:bidi w:val="0"/>
        <w:adjustRightInd/>
        <w:snapToGrid/>
        <w:spacing w:line="500" w:lineRule="exact"/>
        <w:ind w:right="0" w:rightChars="0" w:firstLine="64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我单位根据</w:t>
      </w:r>
      <w:r>
        <w:rPr>
          <w:rFonts w:hint="eastAsia" w:ascii="仿宋_GB2312" w:hAnsi="仿宋_GB2312" w:eastAsia="仿宋_GB2312" w:cs="仿宋_GB2312"/>
          <w:bCs/>
          <w:color w:val="auto"/>
          <w:sz w:val="32"/>
          <w:szCs w:val="32"/>
          <w:lang w:eastAsia="zh-CN"/>
        </w:rPr>
        <w:t>政府采购相关规定及</w:t>
      </w:r>
      <w:r>
        <w:rPr>
          <w:rFonts w:hint="eastAsia" w:ascii="仿宋_GB2312" w:hAnsi="仿宋_GB2312" w:eastAsia="仿宋_GB2312" w:cs="仿宋_GB2312"/>
          <w:bCs/>
          <w:color w:val="auto"/>
          <w:sz w:val="32"/>
          <w:szCs w:val="32"/>
        </w:rPr>
        <w:t>市财政局要求，现开展石家庄市生态环境局</w:t>
      </w:r>
      <w:r>
        <w:rPr>
          <w:rFonts w:hint="eastAsia" w:ascii="仿宋_GB2312" w:hAnsi="仿宋_GB2312" w:eastAsia="仿宋_GB2312" w:cs="仿宋_GB2312"/>
          <w:bCs/>
          <w:color w:val="auto"/>
          <w:sz w:val="32"/>
          <w:szCs w:val="32"/>
          <w:lang w:val="en-US" w:eastAsia="zh-CN"/>
        </w:rPr>
        <w:t>重点河流应急监测预警服务</w:t>
      </w:r>
      <w:r>
        <w:rPr>
          <w:rFonts w:hint="eastAsia" w:ascii="仿宋_GB2312" w:hAnsi="仿宋_GB2312" w:eastAsia="仿宋_GB2312" w:cs="仿宋_GB2312"/>
          <w:bCs/>
          <w:color w:val="auto"/>
          <w:sz w:val="32"/>
          <w:szCs w:val="32"/>
        </w:rPr>
        <w:t>（预算金额：</w:t>
      </w:r>
      <w:r>
        <w:rPr>
          <w:rFonts w:hint="eastAsia" w:ascii="仿宋_GB2312" w:hAnsi="仿宋_GB2312" w:eastAsia="仿宋_GB2312" w:cs="仿宋_GB2312"/>
          <w:bCs/>
          <w:color w:val="auto"/>
          <w:sz w:val="32"/>
          <w:szCs w:val="32"/>
          <w:lang w:val="en-US" w:eastAsia="zh-CN"/>
        </w:rPr>
        <w:t>422.2</w:t>
      </w:r>
      <w:r>
        <w:rPr>
          <w:rFonts w:hint="eastAsia" w:ascii="仿宋_GB2312" w:hAnsi="仿宋_GB2312" w:eastAsia="仿宋_GB2312" w:cs="仿宋_GB2312"/>
          <w:bCs/>
          <w:color w:val="auto"/>
          <w:sz w:val="32"/>
          <w:szCs w:val="32"/>
        </w:rPr>
        <w:t>万元）询价工作，</w:t>
      </w:r>
      <w:r>
        <w:rPr>
          <w:rFonts w:hint="eastAsia" w:ascii="仿宋_GB2312" w:hAnsi="仿宋_GB2312" w:eastAsia="仿宋_GB2312" w:cs="仿宋_GB2312"/>
          <w:color w:val="auto"/>
          <w:sz w:val="32"/>
          <w:szCs w:val="32"/>
        </w:rPr>
        <w:t>项目分为两个包段，包1预算262.9万元，包2预算159.3万元</w:t>
      </w:r>
      <w:r>
        <w:rPr>
          <w:rFonts w:hint="eastAsia" w:ascii="仿宋_GB2312" w:hAnsi="仿宋_GB2312" w:eastAsia="仿宋_GB2312" w:cs="仿宋_GB2312"/>
          <w:bCs/>
          <w:color w:val="auto"/>
          <w:sz w:val="32"/>
          <w:szCs w:val="32"/>
          <w:lang w:val="en-US" w:eastAsia="zh-CN"/>
        </w:rPr>
        <w:t>。</w:t>
      </w:r>
      <w:r>
        <w:rPr>
          <w:rFonts w:hint="eastAsia" w:ascii="仿宋_GB2312" w:hAnsi="仿宋_GB2312" w:eastAsia="仿宋_GB2312" w:cs="仿宋_GB2312"/>
          <w:bCs/>
          <w:color w:val="auto"/>
          <w:sz w:val="32"/>
          <w:szCs w:val="32"/>
        </w:rPr>
        <w:t>请有意参</w:t>
      </w:r>
      <w:r>
        <w:rPr>
          <w:rFonts w:hint="eastAsia" w:ascii="仿宋_GB2312" w:hAnsi="仿宋_GB2312" w:eastAsia="仿宋_GB2312" w:cs="仿宋_GB2312"/>
          <w:bCs/>
          <w:color w:val="auto"/>
          <w:sz w:val="32"/>
          <w:szCs w:val="32"/>
          <w:lang w:eastAsia="zh-CN"/>
        </w:rPr>
        <w:t>与</w:t>
      </w:r>
      <w:r>
        <w:rPr>
          <w:rFonts w:hint="eastAsia" w:ascii="仿宋_GB2312" w:hAnsi="仿宋_GB2312" w:eastAsia="仿宋_GB2312" w:cs="仿宋_GB2312"/>
          <w:bCs/>
          <w:color w:val="auto"/>
          <w:sz w:val="32"/>
          <w:szCs w:val="32"/>
        </w:rPr>
        <w:t>的社会主体单位和组织自行下载有关附件，并按要求做好准备工作。</w:t>
      </w:r>
    </w:p>
    <w:p w14:paraId="251B3FB9">
      <w:pPr>
        <w:keepNext w:val="0"/>
        <w:keepLines w:val="0"/>
        <w:pageBreakBefore w:val="0"/>
        <w:widowControl w:val="0"/>
        <w:kinsoku/>
        <w:wordWrap/>
        <w:overflowPunct/>
        <w:topLinePunct w:val="0"/>
        <w:autoSpaceDE/>
        <w:autoSpaceDN/>
        <w:bidi w:val="0"/>
        <w:adjustRightInd/>
        <w:snapToGrid/>
        <w:spacing w:line="500" w:lineRule="exact"/>
        <w:ind w:right="0" w:rightChars="0" w:firstLine="640"/>
        <w:jc w:val="both"/>
        <w:textAlignment w:val="auto"/>
        <w:rPr>
          <w:rFonts w:hint="eastAsia" w:ascii="仿宋_GB2312" w:hAnsi="仿宋_GB2312" w:eastAsia="仿宋_GB2312" w:cs="仿宋_GB2312"/>
          <w:b/>
          <w:bCs w:val="0"/>
          <w:color w:val="auto"/>
          <w:sz w:val="32"/>
          <w:szCs w:val="32"/>
          <w:highlight w:val="none"/>
          <w:u w:val="none"/>
          <w:lang w:val="en-US" w:eastAsia="zh-CN"/>
        </w:rPr>
      </w:pPr>
      <w:r>
        <w:rPr>
          <w:rFonts w:hint="eastAsia" w:ascii="仿宋_GB2312" w:hAnsi="仿宋_GB2312" w:eastAsia="仿宋_GB2312" w:cs="仿宋_GB2312"/>
          <w:b/>
          <w:bCs w:val="0"/>
          <w:color w:val="auto"/>
          <w:sz w:val="32"/>
          <w:szCs w:val="32"/>
        </w:rPr>
        <w:t>询价会时间：</w:t>
      </w:r>
      <w:r>
        <w:rPr>
          <w:rFonts w:hint="eastAsia" w:ascii="仿宋_GB2312" w:hAnsi="仿宋_GB2312" w:eastAsia="仿宋_GB2312" w:cs="仿宋_GB2312"/>
          <w:b/>
          <w:bCs w:val="0"/>
          <w:color w:val="auto"/>
          <w:sz w:val="32"/>
          <w:szCs w:val="32"/>
          <w:u w:val="single"/>
          <w:lang w:val="en-US" w:eastAsia="zh-CN"/>
        </w:rPr>
        <w:t>（包1）</w:t>
      </w:r>
      <w:r>
        <w:rPr>
          <w:rFonts w:hint="eastAsia" w:ascii="仿宋_GB2312" w:hAnsi="仿宋_GB2312" w:eastAsia="仿宋_GB2312" w:cs="仿宋_GB2312"/>
          <w:b/>
          <w:bCs w:val="0"/>
          <w:color w:val="auto"/>
          <w:sz w:val="32"/>
          <w:szCs w:val="32"/>
          <w:highlight w:val="none"/>
          <w:u w:val="single"/>
        </w:rPr>
        <w:t>20</w:t>
      </w:r>
      <w:r>
        <w:rPr>
          <w:rFonts w:hint="eastAsia" w:ascii="仿宋_GB2312" w:hAnsi="仿宋_GB2312" w:eastAsia="仿宋_GB2312" w:cs="仿宋_GB2312"/>
          <w:b/>
          <w:bCs w:val="0"/>
          <w:color w:val="auto"/>
          <w:sz w:val="32"/>
          <w:szCs w:val="32"/>
          <w:highlight w:val="none"/>
          <w:u w:val="single"/>
          <w:lang w:val="en-US" w:eastAsia="zh-CN"/>
        </w:rPr>
        <w:t>26</w:t>
      </w:r>
      <w:r>
        <w:rPr>
          <w:rFonts w:hint="eastAsia" w:ascii="仿宋_GB2312" w:hAnsi="仿宋_GB2312" w:eastAsia="仿宋_GB2312" w:cs="仿宋_GB2312"/>
          <w:b/>
          <w:bCs w:val="0"/>
          <w:color w:val="auto"/>
          <w:sz w:val="32"/>
          <w:szCs w:val="32"/>
          <w:highlight w:val="none"/>
          <w:u w:val="single"/>
        </w:rPr>
        <w:t>年</w:t>
      </w:r>
      <w:r>
        <w:rPr>
          <w:rFonts w:hint="eastAsia" w:ascii="仿宋_GB2312" w:hAnsi="仿宋_GB2312" w:eastAsia="仿宋_GB2312" w:cs="仿宋_GB2312"/>
          <w:b/>
          <w:bCs w:val="0"/>
          <w:color w:val="auto"/>
          <w:sz w:val="32"/>
          <w:szCs w:val="32"/>
          <w:highlight w:val="none"/>
          <w:u w:val="single"/>
          <w:lang w:val="en-US" w:eastAsia="zh-CN"/>
        </w:rPr>
        <w:t>9</w:t>
      </w:r>
      <w:r>
        <w:rPr>
          <w:rFonts w:hint="eastAsia" w:ascii="仿宋_GB2312" w:hAnsi="仿宋_GB2312" w:eastAsia="仿宋_GB2312" w:cs="仿宋_GB2312"/>
          <w:b/>
          <w:bCs w:val="0"/>
          <w:color w:val="auto"/>
          <w:sz w:val="32"/>
          <w:szCs w:val="32"/>
          <w:highlight w:val="none"/>
          <w:u w:val="single"/>
        </w:rPr>
        <w:t>月</w:t>
      </w:r>
      <w:r>
        <w:rPr>
          <w:rFonts w:hint="eastAsia" w:ascii="仿宋_GB2312" w:hAnsi="仿宋_GB2312" w:eastAsia="仿宋_GB2312" w:cs="仿宋_GB2312"/>
          <w:b/>
          <w:bCs w:val="0"/>
          <w:color w:val="auto"/>
          <w:sz w:val="32"/>
          <w:szCs w:val="32"/>
          <w:highlight w:val="none"/>
          <w:u w:val="single"/>
          <w:lang w:val="en-US" w:eastAsia="zh-CN"/>
        </w:rPr>
        <w:t>30</w:t>
      </w:r>
      <w:r>
        <w:rPr>
          <w:rFonts w:hint="eastAsia" w:ascii="仿宋_GB2312" w:hAnsi="仿宋_GB2312" w:eastAsia="仿宋_GB2312" w:cs="仿宋_GB2312"/>
          <w:b/>
          <w:bCs w:val="0"/>
          <w:color w:val="auto"/>
          <w:sz w:val="32"/>
          <w:szCs w:val="32"/>
          <w:highlight w:val="none"/>
          <w:u w:val="single"/>
        </w:rPr>
        <w:t>日（星期</w:t>
      </w:r>
      <w:r>
        <w:rPr>
          <w:rFonts w:hint="eastAsia" w:ascii="仿宋_GB2312" w:hAnsi="仿宋_GB2312" w:eastAsia="仿宋_GB2312" w:cs="仿宋_GB2312"/>
          <w:b/>
          <w:bCs w:val="0"/>
          <w:color w:val="auto"/>
          <w:sz w:val="32"/>
          <w:szCs w:val="32"/>
          <w:highlight w:val="none"/>
          <w:u w:val="single"/>
          <w:lang w:eastAsia="zh-CN"/>
        </w:rPr>
        <w:t>二</w:t>
      </w:r>
      <w:r>
        <w:rPr>
          <w:rFonts w:hint="eastAsia" w:ascii="仿宋_GB2312" w:hAnsi="仿宋_GB2312" w:eastAsia="仿宋_GB2312" w:cs="仿宋_GB2312"/>
          <w:b/>
          <w:bCs w:val="0"/>
          <w:color w:val="auto"/>
          <w:sz w:val="32"/>
          <w:szCs w:val="32"/>
          <w:highlight w:val="none"/>
          <w:u w:val="single"/>
        </w:rPr>
        <w:t>）</w:t>
      </w:r>
      <w:r>
        <w:rPr>
          <w:rFonts w:hint="eastAsia" w:ascii="仿宋_GB2312" w:hAnsi="仿宋_GB2312" w:eastAsia="仿宋_GB2312" w:cs="仿宋_GB2312"/>
          <w:b/>
          <w:bCs w:val="0"/>
          <w:color w:val="auto"/>
          <w:sz w:val="32"/>
          <w:szCs w:val="32"/>
          <w:highlight w:val="none"/>
          <w:u w:val="single"/>
          <w:lang w:eastAsia="zh-CN"/>
        </w:rPr>
        <w:t>上午</w:t>
      </w:r>
      <w:r>
        <w:rPr>
          <w:rFonts w:hint="eastAsia" w:ascii="仿宋_GB2312" w:hAnsi="仿宋_GB2312" w:eastAsia="仿宋_GB2312" w:cs="仿宋_GB2312"/>
          <w:b/>
          <w:bCs w:val="0"/>
          <w:color w:val="auto"/>
          <w:sz w:val="32"/>
          <w:szCs w:val="32"/>
          <w:highlight w:val="none"/>
          <w:u w:val="single"/>
          <w:lang w:val="en-US" w:eastAsia="zh-CN"/>
        </w:rPr>
        <w:t>10：00</w:t>
      </w:r>
      <w:r>
        <w:rPr>
          <w:rFonts w:hint="eastAsia" w:ascii="仿宋_GB2312" w:hAnsi="仿宋_GB2312" w:eastAsia="仿宋_GB2312" w:cs="仿宋_GB2312"/>
          <w:b/>
          <w:bCs w:val="0"/>
          <w:color w:val="auto"/>
          <w:sz w:val="32"/>
          <w:szCs w:val="32"/>
          <w:highlight w:val="none"/>
          <w:u w:val="single"/>
        </w:rPr>
        <w:t>；</w:t>
      </w:r>
      <w:r>
        <w:rPr>
          <w:rFonts w:hint="eastAsia" w:ascii="仿宋_GB2312" w:hAnsi="仿宋_GB2312" w:eastAsia="仿宋_GB2312" w:cs="仿宋_GB2312"/>
          <w:b/>
          <w:bCs w:val="0"/>
          <w:color w:val="auto"/>
          <w:sz w:val="32"/>
          <w:szCs w:val="32"/>
          <w:highlight w:val="none"/>
          <w:u w:val="single"/>
          <w:lang w:val="en-US" w:eastAsia="zh-CN"/>
        </w:rPr>
        <w:t>（包2）</w:t>
      </w:r>
      <w:r>
        <w:rPr>
          <w:rFonts w:hint="eastAsia" w:ascii="仿宋_GB2312" w:hAnsi="仿宋_GB2312" w:eastAsia="仿宋_GB2312" w:cs="仿宋_GB2312"/>
          <w:b/>
          <w:bCs w:val="0"/>
          <w:color w:val="auto"/>
          <w:sz w:val="32"/>
          <w:szCs w:val="32"/>
          <w:highlight w:val="none"/>
          <w:u w:val="single"/>
        </w:rPr>
        <w:t>20</w:t>
      </w:r>
      <w:r>
        <w:rPr>
          <w:rFonts w:hint="eastAsia" w:ascii="仿宋_GB2312" w:hAnsi="仿宋_GB2312" w:eastAsia="仿宋_GB2312" w:cs="仿宋_GB2312"/>
          <w:b/>
          <w:bCs w:val="0"/>
          <w:color w:val="auto"/>
          <w:sz w:val="32"/>
          <w:szCs w:val="32"/>
          <w:highlight w:val="none"/>
          <w:u w:val="single"/>
          <w:lang w:val="en-US" w:eastAsia="zh-CN"/>
        </w:rPr>
        <w:t>26</w:t>
      </w:r>
      <w:r>
        <w:rPr>
          <w:rFonts w:hint="eastAsia" w:ascii="仿宋_GB2312" w:hAnsi="仿宋_GB2312" w:eastAsia="仿宋_GB2312" w:cs="仿宋_GB2312"/>
          <w:b/>
          <w:bCs w:val="0"/>
          <w:color w:val="auto"/>
          <w:sz w:val="32"/>
          <w:szCs w:val="32"/>
          <w:highlight w:val="none"/>
          <w:u w:val="single"/>
        </w:rPr>
        <w:t>年</w:t>
      </w:r>
      <w:r>
        <w:rPr>
          <w:rFonts w:hint="eastAsia" w:ascii="仿宋_GB2312" w:hAnsi="仿宋_GB2312" w:eastAsia="仿宋_GB2312" w:cs="仿宋_GB2312"/>
          <w:b/>
          <w:bCs w:val="0"/>
          <w:color w:val="auto"/>
          <w:sz w:val="32"/>
          <w:szCs w:val="32"/>
          <w:highlight w:val="none"/>
          <w:u w:val="single"/>
          <w:lang w:val="en-US" w:eastAsia="zh-CN"/>
        </w:rPr>
        <w:t>9</w:t>
      </w:r>
      <w:r>
        <w:rPr>
          <w:rFonts w:hint="eastAsia" w:ascii="仿宋_GB2312" w:hAnsi="仿宋_GB2312" w:eastAsia="仿宋_GB2312" w:cs="仿宋_GB2312"/>
          <w:b/>
          <w:bCs w:val="0"/>
          <w:color w:val="auto"/>
          <w:sz w:val="32"/>
          <w:szCs w:val="32"/>
          <w:highlight w:val="none"/>
          <w:u w:val="single"/>
        </w:rPr>
        <w:t>月</w:t>
      </w:r>
      <w:r>
        <w:rPr>
          <w:rFonts w:hint="eastAsia" w:ascii="仿宋_GB2312" w:hAnsi="仿宋_GB2312" w:eastAsia="仿宋_GB2312" w:cs="仿宋_GB2312"/>
          <w:b/>
          <w:bCs w:val="0"/>
          <w:color w:val="auto"/>
          <w:sz w:val="32"/>
          <w:szCs w:val="32"/>
          <w:highlight w:val="none"/>
          <w:u w:val="single"/>
          <w:lang w:val="en-US" w:eastAsia="zh-CN"/>
        </w:rPr>
        <w:t>30</w:t>
      </w:r>
      <w:r>
        <w:rPr>
          <w:rFonts w:hint="eastAsia" w:ascii="仿宋_GB2312" w:hAnsi="仿宋_GB2312" w:eastAsia="仿宋_GB2312" w:cs="仿宋_GB2312"/>
          <w:b/>
          <w:bCs w:val="0"/>
          <w:color w:val="auto"/>
          <w:sz w:val="32"/>
          <w:szCs w:val="32"/>
          <w:highlight w:val="none"/>
          <w:u w:val="single"/>
        </w:rPr>
        <w:t>日（星期</w:t>
      </w:r>
      <w:r>
        <w:rPr>
          <w:rFonts w:hint="eastAsia" w:ascii="仿宋_GB2312" w:hAnsi="仿宋_GB2312" w:eastAsia="仿宋_GB2312" w:cs="仿宋_GB2312"/>
          <w:b/>
          <w:bCs w:val="0"/>
          <w:color w:val="auto"/>
          <w:sz w:val="32"/>
          <w:szCs w:val="32"/>
          <w:highlight w:val="none"/>
          <w:u w:val="single"/>
          <w:lang w:eastAsia="zh-CN"/>
        </w:rPr>
        <w:t>二</w:t>
      </w:r>
      <w:r>
        <w:rPr>
          <w:rFonts w:hint="eastAsia" w:ascii="仿宋_GB2312" w:hAnsi="仿宋_GB2312" w:eastAsia="仿宋_GB2312" w:cs="仿宋_GB2312"/>
          <w:b/>
          <w:bCs w:val="0"/>
          <w:color w:val="auto"/>
          <w:sz w:val="32"/>
          <w:szCs w:val="32"/>
          <w:highlight w:val="none"/>
          <w:u w:val="single"/>
        </w:rPr>
        <w:t>）</w:t>
      </w:r>
      <w:r>
        <w:rPr>
          <w:rFonts w:hint="eastAsia" w:ascii="仿宋_GB2312" w:hAnsi="仿宋_GB2312" w:eastAsia="仿宋_GB2312" w:cs="仿宋_GB2312"/>
          <w:b/>
          <w:bCs w:val="0"/>
          <w:color w:val="auto"/>
          <w:sz w:val="32"/>
          <w:szCs w:val="32"/>
          <w:highlight w:val="none"/>
          <w:u w:val="single"/>
          <w:lang w:eastAsia="zh-CN"/>
        </w:rPr>
        <w:t>上午</w:t>
      </w:r>
      <w:r>
        <w:rPr>
          <w:rFonts w:hint="eastAsia" w:ascii="仿宋_GB2312" w:hAnsi="仿宋_GB2312" w:eastAsia="仿宋_GB2312" w:cs="仿宋_GB2312"/>
          <w:b/>
          <w:bCs w:val="0"/>
          <w:color w:val="auto"/>
          <w:sz w:val="32"/>
          <w:szCs w:val="32"/>
          <w:highlight w:val="none"/>
          <w:u w:val="single"/>
          <w:lang w:val="en-US" w:eastAsia="zh-CN"/>
        </w:rPr>
        <w:t>10:30</w:t>
      </w:r>
      <w:r>
        <w:rPr>
          <w:rFonts w:hint="eastAsia" w:ascii="仿宋_GB2312" w:hAnsi="仿宋_GB2312" w:eastAsia="仿宋_GB2312" w:cs="仿宋_GB2312"/>
          <w:b/>
          <w:bCs w:val="0"/>
          <w:color w:val="auto"/>
          <w:sz w:val="32"/>
          <w:szCs w:val="32"/>
          <w:highlight w:val="none"/>
          <w:u w:val="none"/>
        </w:rPr>
        <w:t>；</w:t>
      </w:r>
      <w:r>
        <w:rPr>
          <w:rFonts w:hint="eastAsia" w:ascii="仿宋_GB2312" w:hAnsi="仿宋_GB2312" w:eastAsia="仿宋_GB2312" w:cs="仿宋_GB2312"/>
          <w:b/>
          <w:bCs w:val="0"/>
          <w:color w:val="auto"/>
          <w:sz w:val="32"/>
          <w:szCs w:val="32"/>
          <w:highlight w:val="none"/>
        </w:rPr>
        <w:t>地点：</w:t>
      </w:r>
      <w:r>
        <w:rPr>
          <w:rFonts w:hint="eastAsia" w:ascii="仿宋_GB2312" w:hAnsi="仿宋_GB2312" w:eastAsia="仿宋_GB2312" w:cs="仿宋_GB2312"/>
          <w:b/>
          <w:bCs w:val="0"/>
          <w:color w:val="auto"/>
          <w:sz w:val="32"/>
          <w:szCs w:val="32"/>
          <w:highlight w:val="none"/>
          <w:lang w:eastAsia="zh-CN"/>
        </w:rPr>
        <w:t>石家庄市</w:t>
      </w:r>
      <w:r>
        <w:rPr>
          <w:rFonts w:hint="eastAsia" w:ascii="仿宋_GB2312" w:hAnsi="仿宋_GB2312" w:eastAsia="仿宋_GB2312" w:cs="仿宋_GB2312"/>
          <w:b/>
          <w:bCs w:val="0"/>
          <w:color w:val="auto"/>
          <w:sz w:val="32"/>
          <w:szCs w:val="32"/>
          <w:highlight w:val="none"/>
          <w:lang w:val="en-US" w:eastAsia="zh-CN"/>
        </w:rPr>
        <w:t>中华北大街559号四楼402会议室</w:t>
      </w:r>
      <w:r>
        <w:rPr>
          <w:rFonts w:hint="eastAsia" w:ascii="仿宋_GB2312" w:hAnsi="仿宋_GB2312" w:eastAsia="仿宋_GB2312" w:cs="仿宋_GB2312"/>
          <w:b/>
          <w:bCs w:val="0"/>
          <w:color w:val="auto"/>
          <w:sz w:val="32"/>
          <w:szCs w:val="32"/>
          <w:highlight w:val="none"/>
        </w:rPr>
        <w:t>。</w:t>
      </w:r>
    </w:p>
    <w:p w14:paraId="41603E6B">
      <w:pPr>
        <w:keepNext w:val="0"/>
        <w:keepLines w:val="0"/>
        <w:pageBreakBefore w:val="0"/>
        <w:widowControl w:val="0"/>
        <w:kinsoku/>
        <w:wordWrap/>
        <w:overflowPunct/>
        <w:topLinePunct w:val="0"/>
        <w:autoSpaceDE/>
        <w:autoSpaceDN/>
        <w:bidi w:val="0"/>
        <w:adjustRightInd/>
        <w:snapToGrid/>
        <w:spacing w:line="500" w:lineRule="exact"/>
        <w:ind w:right="0" w:rightChars="0" w:firstLine="640"/>
        <w:textAlignment w:val="auto"/>
        <w:rPr>
          <w:rFonts w:hint="default"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highlight w:val="none"/>
        </w:rPr>
        <w:t>联系人：</w:t>
      </w:r>
      <w:r>
        <w:rPr>
          <w:rFonts w:hint="eastAsia" w:ascii="仿宋_GB2312" w:hAnsi="仿宋_GB2312" w:eastAsia="仿宋_GB2312" w:cs="仿宋_GB2312"/>
          <w:bCs/>
          <w:color w:val="auto"/>
          <w:sz w:val="32"/>
          <w:szCs w:val="32"/>
          <w:highlight w:val="none"/>
          <w:lang w:val="en-US" w:eastAsia="zh-CN"/>
        </w:rPr>
        <w:t>田书国</w:t>
      </w:r>
      <w:r>
        <w:rPr>
          <w:rFonts w:hint="eastAsia" w:ascii="仿宋_GB2312" w:hAnsi="仿宋_GB2312" w:eastAsia="仿宋_GB2312" w:cs="仿宋_GB2312"/>
          <w:bCs/>
          <w:color w:val="auto"/>
          <w:sz w:val="32"/>
          <w:szCs w:val="32"/>
          <w:highlight w:val="none"/>
        </w:rPr>
        <w:t>，联系电话：</w:t>
      </w:r>
      <w:r>
        <w:rPr>
          <w:rFonts w:hint="eastAsia" w:ascii="仿宋_GB2312" w:hAnsi="仿宋_GB2312" w:eastAsia="仿宋_GB2312" w:cs="仿宋_GB2312"/>
          <w:bCs/>
          <w:color w:val="auto"/>
          <w:sz w:val="32"/>
          <w:szCs w:val="32"/>
          <w:highlight w:val="none"/>
          <w:lang w:val="en-US" w:eastAsia="zh-CN"/>
        </w:rPr>
        <w:t>85880285</w:t>
      </w:r>
    </w:p>
    <w:p w14:paraId="1336BB67">
      <w:pPr>
        <w:keepNext w:val="0"/>
        <w:keepLines w:val="0"/>
        <w:pageBreakBefore w:val="0"/>
        <w:widowControl w:val="0"/>
        <w:kinsoku/>
        <w:wordWrap/>
        <w:overflowPunct/>
        <w:topLinePunct w:val="0"/>
        <w:autoSpaceDE/>
        <w:autoSpaceDN/>
        <w:bidi w:val="0"/>
        <w:adjustRightInd/>
        <w:snapToGrid/>
        <w:spacing w:line="500" w:lineRule="exact"/>
        <w:ind w:right="0" w:rightChars="0" w:firstLine="640"/>
        <w:textAlignment w:val="auto"/>
        <w:rPr>
          <w:rFonts w:hint="eastAsia" w:ascii="仿宋_GB2312" w:hAnsi="仿宋_GB2312" w:eastAsia="仿宋_GB2312" w:cs="仿宋_GB2312"/>
          <w:bCs/>
          <w:color w:val="auto"/>
          <w:sz w:val="32"/>
          <w:szCs w:val="32"/>
          <w:highlight w:val="cyan"/>
          <w:lang w:val="en-US" w:eastAsia="zh-CN"/>
        </w:rPr>
      </w:pPr>
      <w:r>
        <w:rPr>
          <w:rFonts w:hint="eastAsia" w:ascii="仿宋_GB2312" w:hAnsi="仿宋_GB2312" w:eastAsia="仿宋_GB2312" w:cs="仿宋_GB2312"/>
          <w:bCs/>
          <w:color w:val="auto"/>
          <w:sz w:val="32"/>
          <w:szCs w:val="32"/>
          <w:lang w:val="en-US" w:eastAsia="zh-CN"/>
        </w:rPr>
        <w:t xml:space="preserve">        师晓威，联系电话：85880697</w:t>
      </w:r>
    </w:p>
    <w:p w14:paraId="5EDAEA02">
      <w:pPr>
        <w:keepNext w:val="0"/>
        <w:keepLines w:val="0"/>
        <w:pageBreakBefore w:val="0"/>
        <w:widowControl w:val="0"/>
        <w:kinsoku/>
        <w:wordWrap/>
        <w:overflowPunct/>
        <w:topLinePunct w:val="0"/>
        <w:autoSpaceDE/>
        <w:autoSpaceDN/>
        <w:bidi w:val="0"/>
        <w:adjustRightInd/>
        <w:snapToGrid/>
        <w:spacing w:line="500" w:lineRule="exact"/>
        <w:ind w:right="0" w:rightChars="0" w:firstLine="64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
          <w:color w:val="auto"/>
          <w:sz w:val="32"/>
          <w:szCs w:val="32"/>
          <w:u w:val="single"/>
        </w:rPr>
        <w:t>本次询价确定的最终报价仅为采购预算提供参考，不代表政府采购中标单位和价格。</w:t>
      </w:r>
    </w:p>
    <w:p w14:paraId="07168444">
      <w:pPr>
        <w:keepNext w:val="0"/>
        <w:keepLines w:val="0"/>
        <w:pageBreakBefore w:val="0"/>
        <w:widowControl w:val="0"/>
        <w:kinsoku/>
        <w:wordWrap/>
        <w:overflowPunct/>
        <w:topLinePunct w:val="0"/>
        <w:autoSpaceDE/>
        <w:autoSpaceDN/>
        <w:bidi w:val="0"/>
        <w:adjustRightInd/>
        <w:snapToGrid/>
        <w:spacing w:line="500" w:lineRule="exact"/>
        <w:ind w:right="0" w:rightChars="0" w:firstLine="64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特此公告。</w:t>
      </w:r>
    </w:p>
    <w:p w14:paraId="6EB7FCAA">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rPr>
          <w:rFonts w:hint="eastAsia" w:ascii="仿宋_GB2312" w:hAnsi="仿宋_GB2312" w:eastAsia="仿宋_GB2312" w:cs="仿宋_GB2312"/>
          <w:bCs/>
          <w:color w:val="auto"/>
          <w:sz w:val="32"/>
          <w:szCs w:val="32"/>
        </w:rPr>
      </w:pPr>
    </w:p>
    <w:p w14:paraId="1B5E4FEA">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rPr>
        <w:t>附件：</w:t>
      </w:r>
      <w:r>
        <w:rPr>
          <w:rFonts w:hint="eastAsia" w:ascii="仿宋_GB2312" w:hAnsi="仿宋_GB2312" w:eastAsia="仿宋_GB2312" w:cs="仿宋_GB2312"/>
          <w:bCs/>
          <w:color w:val="auto"/>
          <w:sz w:val="32"/>
          <w:szCs w:val="32"/>
          <w:lang w:val="en-US" w:eastAsia="zh-CN"/>
        </w:rPr>
        <w:t>1.</w:t>
      </w:r>
      <w:r>
        <w:rPr>
          <w:rFonts w:hint="eastAsia" w:ascii="仿宋_GB2312" w:hAnsi="仿宋_GB2312" w:eastAsia="仿宋_GB2312" w:cs="仿宋_GB2312"/>
          <w:color w:val="auto"/>
          <w:sz w:val="32"/>
          <w:szCs w:val="32"/>
        </w:rPr>
        <w:t>询价要求及流程</w:t>
      </w:r>
    </w:p>
    <w:p w14:paraId="72E361DF">
      <w:pPr>
        <w:keepNext w:val="0"/>
        <w:keepLines w:val="0"/>
        <w:pageBreakBefore w:val="0"/>
        <w:widowControl w:val="0"/>
        <w:kinsoku/>
        <w:wordWrap/>
        <w:overflowPunct/>
        <w:topLinePunct w:val="0"/>
        <w:autoSpaceDE/>
        <w:autoSpaceDN/>
        <w:bidi w:val="0"/>
        <w:adjustRightInd/>
        <w:snapToGrid/>
        <w:spacing w:line="500" w:lineRule="exact"/>
        <w:ind w:right="0" w:rightChars="0" w:firstLine="1600" w:firstLineChars="5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采购项目工作方案</w:t>
      </w:r>
    </w:p>
    <w:p w14:paraId="56E09F85">
      <w:pPr>
        <w:keepNext w:val="0"/>
        <w:keepLines w:val="0"/>
        <w:pageBreakBefore w:val="0"/>
        <w:widowControl w:val="0"/>
        <w:kinsoku/>
        <w:wordWrap/>
        <w:overflowPunct/>
        <w:topLinePunct w:val="0"/>
        <w:autoSpaceDE/>
        <w:autoSpaceDN/>
        <w:bidi w:val="0"/>
        <w:adjustRightInd/>
        <w:snapToGrid/>
        <w:spacing w:line="500" w:lineRule="exact"/>
        <w:ind w:right="0" w:rightChars="0" w:firstLine="1600" w:firstLineChars="5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询价响应文件（格式）</w:t>
      </w:r>
    </w:p>
    <w:p w14:paraId="4ECF6453">
      <w:pPr>
        <w:pStyle w:val="2"/>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32"/>
          <w:szCs w:val="32"/>
        </w:rPr>
      </w:pPr>
    </w:p>
    <w:p w14:paraId="4802C062">
      <w:pPr>
        <w:pStyle w:val="5"/>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32"/>
          <w:szCs w:val="32"/>
        </w:rPr>
      </w:pPr>
    </w:p>
    <w:p w14:paraId="73330535">
      <w:pPr>
        <w:pStyle w:val="5"/>
        <w:keepNext w:val="0"/>
        <w:keepLines w:val="0"/>
        <w:pageBreakBefore w:val="0"/>
        <w:widowControl w:val="0"/>
        <w:kinsoku/>
        <w:wordWrap/>
        <w:overflowPunct/>
        <w:topLinePunct w:val="0"/>
        <w:autoSpaceDE/>
        <w:autoSpaceDN/>
        <w:bidi w:val="0"/>
        <w:adjustRightInd/>
        <w:snapToGrid/>
        <w:spacing w:after="0" w:line="500" w:lineRule="exact"/>
        <w:ind w:left="0" w:leftChars="0" w:firstLine="4800" w:firstLineChars="15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石家庄市生态环境局</w:t>
      </w:r>
    </w:p>
    <w:p w14:paraId="52D5ADDF">
      <w:pPr>
        <w:pStyle w:val="5"/>
        <w:keepNext w:val="0"/>
        <w:keepLines w:val="0"/>
        <w:pageBreakBefore w:val="0"/>
        <w:widowControl w:val="0"/>
        <w:kinsoku/>
        <w:wordWrap/>
        <w:overflowPunct/>
        <w:topLinePunct w:val="0"/>
        <w:autoSpaceDE/>
        <w:autoSpaceDN/>
        <w:bidi w:val="0"/>
        <w:adjustRightInd/>
        <w:snapToGrid/>
        <w:spacing w:after="0" w:line="500" w:lineRule="exact"/>
        <w:ind w:firstLine="4480" w:firstLineChars="1400"/>
        <w:jc w:val="both"/>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color w:val="auto"/>
          <w:sz w:val="32"/>
          <w:szCs w:val="32"/>
          <w:highlight w:val="none"/>
          <w:lang w:val="en-US" w:eastAsia="zh-CN"/>
        </w:rPr>
        <w:t>2026年9月23日</w:t>
      </w:r>
      <w:r>
        <w:rPr>
          <w:rFonts w:hint="eastAsia" w:ascii="仿宋_GB2312" w:hAnsi="仿宋_GB2312" w:eastAsia="仿宋_GB2312" w:cs="仿宋_GB2312"/>
          <w:bCs/>
          <w:color w:val="auto"/>
          <w:sz w:val="32"/>
          <w:szCs w:val="32"/>
          <w:highlight w:val="none"/>
          <w:lang w:val="en-US" w:eastAsia="zh-CN"/>
        </w:rPr>
        <w:t xml:space="preserve">     </w:t>
      </w:r>
    </w:p>
    <w:p w14:paraId="7D5D4EC1">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rPr>
          <w:rFonts w:hint="eastAsia" w:ascii="仿宋_GB2312" w:hAnsi="仿宋_GB2312" w:eastAsia="仿宋_GB2312" w:cs="仿宋_GB2312"/>
          <w:bCs/>
          <w:color w:val="auto"/>
          <w:sz w:val="32"/>
          <w:szCs w:val="32"/>
        </w:rPr>
        <w:sectPr>
          <w:headerReference r:id="rId3" w:type="default"/>
          <w:footerReference r:id="rId4" w:type="default"/>
          <w:pgSz w:w="11906" w:h="16838"/>
          <w:pgMar w:top="2154" w:right="1474" w:bottom="1984" w:left="1587" w:header="851" w:footer="992" w:gutter="0"/>
          <w:cols w:space="425" w:num="1"/>
          <w:docGrid w:type="lines" w:linePitch="312" w:charSpace="0"/>
        </w:sectPr>
      </w:pPr>
      <w:bookmarkStart w:id="2" w:name="_GoBack"/>
      <w:bookmarkEnd w:id="2"/>
    </w:p>
    <w:p w14:paraId="3B3D0915">
      <w:pPr>
        <w:keepNext w:val="0"/>
        <w:keepLines w:val="0"/>
        <w:pageBreakBefore w:val="0"/>
        <w:kinsoku/>
        <w:wordWrap/>
        <w:overflowPunct/>
        <w:topLinePunct w:val="0"/>
        <w:autoSpaceDE/>
        <w:autoSpaceDN/>
        <w:bidi w:val="0"/>
        <w:spacing w:line="560" w:lineRule="exact"/>
        <w:ind w:right="0" w:rightChars="0"/>
        <w:jc w:val="both"/>
        <w:textAlignment w:val="auto"/>
        <w:rPr>
          <w:rFonts w:ascii="黑体" w:hAnsi="黑体" w:eastAsia="黑体" w:cs="黑体"/>
          <w:bCs/>
          <w:color w:val="auto"/>
          <w:sz w:val="32"/>
          <w:szCs w:val="32"/>
        </w:rPr>
      </w:pPr>
      <w:r>
        <w:rPr>
          <w:rFonts w:hint="eastAsia" w:ascii="黑体" w:hAnsi="黑体" w:eastAsia="黑体" w:cs="黑体"/>
          <w:bCs/>
          <w:color w:val="auto"/>
          <w:sz w:val="32"/>
          <w:szCs w:val="32"/>
        </w:rPr>
        <w:t>附件1</w:t>
      </w:r>
    </w:p>
    <w:p w14:paraId="269C97F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方正小标宋简体" w:hAnsi="方正小标宋_GBK" w:eastAsia="方正小标宋简体" w:cs="方正小标宋_GBK"/>
          <w:bCs/>
          <w:color w:val="auto"/>
          <w:sz w:val="44"/>
          <w:szCs w:val="44"/>
        </w:rPr>
      </w:pPr>
    </w:p>
    <w:p w14:paraId="27B1B294">
      <w:pPr>
        <w:keepNext w:val="0"/>
        <w:keepLines w:val="0"/>
        <w:pageBreakBefore w:val="0"/>
        <w:kinsoku/>
        <w:wordWrap/>
        <w:overflowPunct/>
        <w:topLinePunct w:val="0"/>
        <w:autoSpaceDE/>
        <w:autoSpaceDN/>
        <w:bidi w:val="0"/>
        <w:spacing w:line="560" w:lineRule="exact"/>
        <w:ind w:right="0" w:rightChars="0"/>
        <w:jc w:val="center"/>
        <w:textAlignment w:val="auto"/>
        <w:rPr>
          <w:rFonts w:hint="eastAsia" w:ascii="方正小标宋简体" w:hAnsi="方正小标宋_GBK" w:eastAsia="方正小标宋简体" w:cs="方正小标宋_GBK"/>
          <w:bCs/>
          <w:color w:val="auto"/>
          <w:sz w:val="44"/>
          <w:szCs w:val="44"/>
          <w:lang w:val="en-US" w:eastAsia="zh-CN"/>
        </w:rPr>
      </w:pPr>
      <w:r>
        <w:rPr>
          <w:rFonts w:hint="eastAsia" w:ascii="方正小标宋简体" w:hAnsi="方正小标宋_GBK" w:eastAsia="方正小标宋简体" w:cs="方正小标宋_GBK"/>
          <w:bCs/>
          <w:color w:val="auto"/>
          <w:sz w:val="44"/>
          <w:szCs w:val="44"/>
          <w:lang w:val="en-US" w:eastAsia="zh-CN"/>
        </w:rPr>
        <w:t>石家庄市生态环境局</w:t>
      </w:r>
    </w:p>
    <w:p w14:paraId="3D4CD9E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_GBK" w:eastAsia="方正小标宋简体" w:cs="方正小标宋_GBK"/>
          <w:bCs/>
          <w:color w:val="auto"/>
          <w:sz w:val="44"/>
          <w:szCs w:val="44"/>
        </w:rPr>
      </w:pPr>
      <w:r>
        <w:rPr>
          <w:rFonts w:hint="eastAsia" w:ascii="方正小标宋简体" w:hAnsi="方正小标宋_GBK" w:eastAsia="方正小标宋简体" w:cs="方正小标宋_GBK"/>
          <w:bCs/>
          <w:color w:val="auto"/>
          <w:sz w:val="44"/>
          <w:szCs w:val="44"/>
          <w:lang w:val="en-US" w:eastAsia="zh-CN"/>
        </w:rPr>
        <w:t>关于重点河流应急监测预警服务</w:t>
      </w:r>
      <w:r>
        <w:rPr>
          <w:rFonts w:hint="eastAsia" w:ascii="方正小标宋简体" w:hAnsi="方正小标宋_GBK" w:eastAsia="方正小标宋简体" w:cs="方正小标宋_GBK"/>
          <w:bCs/>
          <w:color w:val="auto"/>
          <w:sz w:val="44"/>
          <w:szCs w:val="44"/>
        </w:rPr>
        <w:t>询价</w:t>
      </w:r>
    </w:p>
    <w:p w14:paraId="5FE7461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_GBK" w:eastAsia="方正小标宋简体" w:cs="方正小标宋_GBK"/>
          <w:bCs/>
          <w:color w:val="auto"/>
          <w:sz w:val="44"/>
          <w:szCs w:val="44"/>
        </w:rPr>
      </w:pPr>
      <w:r>
        <w:rPr>
          <w:rFonts w:hint="eastAsia" w:ascii="方正小标宋简体" w:hAnsi="方正小标宋_GBK" w:eastAsia="方正小标宋简体" w:cs="方正小标宋_GBK"/>
          <w:bCs/>
          <w:color w:val="auto"/>
          <w:sz w:val="44"/>
          <w:szCs w:val="44"/>
        </w:rPr>
        <w:t>要求及流程</w:t>
      </w:r>
    </w:p>
    <w:p w14:paraId="62688314">
      <w:pPr>
        <w:keepNext w:val="0"/>
        <w:keepLines w:val="0"/>
        <w:pageBreakBefore w:val="0"/>
        <w:kinsoku/>
        <w:wordWrap/>
        <w:overflowPunct/>
        <w:topLinePunct w:val="0"/>
        <w:autoSpaceDE/>
        <w:autoSpaceDN/>
        <w:bidi w:val="0"/>
        <w:spacing w:line="560" w:lineRule="exact"/>
        <w:ind w:right="0" w:rightChars="0"/>
        <w:jc w:val="both"/>
        <w:textAlignment w:val="auto"/>
        <w:rPr>
          <w:rFonts w:hint="eastAsia" w:ascii="仿宋_GB2312" w:hAnsi="仿宋_GB2312" w:eastAsia="仿宋_GB2312" w:cs="仿宋_GB2312"/>
          <w:bCs/>
          <w:color w:val="auto"/>
          <w:sz w:val="32"/>
          <w:szCs w:val="32"/>
        </w:rPr>
      </w:pPr>
    </w:p>
    <w:p w14:paraId="59CC3E32">
      <w:pPr>
        <w:keepNext w:val="0"/>
        <w:keepLines w:val="0"/>
        <w:pageBreakBefore w:val="0"/>
        <w:kinsoku/>
        <w:wordWrap/>
        <w:overflowPunct/>
        <w:topLinePunct w:val="0"/>
        <w:autoSpaceDE/>
        <w:autoSpaceDN/>
        <w:bidi w:val="0"/>
        <w:spacing w:line="560" w:lineRule="exact"/>
        <w:ind w:right="0" w:rightChars="0" w:firstLine="640" w:firstLineChars="20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报价单位按照《询价响应文件》要求准备相关资料、装订成册一式叁份（一份正本贰份副本），并于询价会提交我单位询价小组。</w:t>
      </w:r>
    </w:p>
    <w:p w14:paraId="3D86A2E1">
      <w:pPr>
        <w:keepNext w:val="0"/>
        <w:keepLines w:val="0"/>
        <w:pageBreakBefore w:val="0"/>
        <w:kinsoku/>
        <w:wordWrap/>
        <w:overflowPunct/>
        <w:topLinePunct w:val="0"/>
        <w:autoSpaceDE/>
        <w:autoSpaceDN/>
        <w:bidi w:val="0"/>
        <w:spacing w:line="560" w:lineRule="exact"/>
        <w:ind w:right="0" w:rightChars="0" w:firstLine="640" w:firstLineChars="20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“二次报价表”可装订于《询价响应文件》中，也可单独提供，在报价单位与采购单位针对所采购项目进行充分沟通和交流后</w:t>
      </w:r>
      <w:r>
        <w:rPr>
          <w:rFonts w:hint="eastAsia" w:ascii="仿宋_GB2312" w:hAnsi="仿宋_GB2312" w:eastAsia="仿宋_GB2312" w:cs="仿宋_GB2312"/>
          <w:b/>
          <w:bCs w:val="0"/>
          <w:color w:val="auto"/>
          <w:sz w:val="32"/>
          <w:szCs w:val="32"/>
        </w:rPr>
        <w:t>现场报价</w:t>
      </w:r>
      <w:r>
        <w:rPr>
          <w:rFonts w:hint="eastAsia" w:ascii="仿宋_GB2312" w:hAnsi="仿宋_GB2312" w:eastAsia="仿宋_GB2312" w:cs="仿宋_GB2312"/>
          <w:bCs/>
          <w:color w:val="auto"/>
          <w:sz w:val="32"/>
          <w:szCs w:val="32"/>
        </w:rPr>
        <w:t>并签字盖章（各报价单位可以提前加盖好相关印章）。</w:t>
      </w:r>
    </w:p>
    <w:p w14:paraId="61FEE0AE">
      <w:pPr>
        <w:keepNext w:val="0"/>
        <w:keepLines w:val="0"/>
        <w:pageBreakBefore w:val="0"/>
        <w:kinsoku/>
        <w:wordWrap/>
        <w:overflowPunct/>
        <w:topLinePunct w:val="0"/>
        <w:autoSpaceDE/>
        <w:autoSpaceDN/>
        <w:bidi w:val="0"/>
        <w:spacing w:line="560" w:lineRule="exact"/>
        <w:ind w:right="0" w:rightChars="0" w:firstLine="643" w:firstLineChars="200"/>
        <w:jc w:val="both"/>
        <w:textAlignment w:val="auto"/>
        <w:rPr>
          <w:rFonts w:hint="eastAsia" w:ascii="仿宋_GB2312" w:hAnsi="仿宋_GB2312" w:eastAsia="仿宋_GB2312" w:cs="仿宋_GB2312"/>
          <w:b/>
          <w:bCs w:val="0"/>
          <w:color w:val="auto"/>
          <w:sz w:val="32"/>
          <w:szCs w:val="32"/>
        </w:rPr>
      </w:pPr>
      <w:r>
        <w:rPr>
          <w:rFonts w:hint="eastAsia" w:ascii="仿宋_GB2312" w:hAnsi="仿宋_GB2312" w:eastAsia="仿宋_GB2312" w:cs="仿宋_GB2312"/>
          <w:b/>
          <w:bCs w:val="0"/>
          <w:color w:val="auto"/>
          <w:sz w:val="32"/>
          <w:szCs w:val="32"/>
        </w:rPr>
        <w:t>本询价会参会的社会主体单位和组织经营范围须与本项目工作相关</w:t>
      </w:r>
      <w:r>
        <w:rPr>
          <w:rFonts w:hint="eastAsia" w:ascii="仿宋_GB2312" w:hAnsi="仿宋_GB2312" w:eastAsia="仿宋_GB2312" w:cs="仿宋_GB2312"/>
          <w:b/>
          <w:bCs w:val="0"/>
          <w:color w:val="auto"/>
          <w:sz w:val="32"/>
          <w:szCs w:val="32"/>
          <w:lang w:eastAsia="zh-CN"/>
        </w:rPr>
        <w:t>。</w:t>
      </w:r>
    </w:p>
    <w:p w14:paraId="0886DED4">
      <w:pPr>
        <w:keepNext w:val="0"/>
        <w:keepLines w:val="0"/>
        <w:pageBreakBefore w:val="0"/>
        <w:kinsoku/>
        <w:wordWrap/>
        <w:overflowPunct/>
        <w:topLinePunct w:val="0"/>
        <w:autoSpaceDE/>
        <w:autoSpaceDN/>
        <w:bidi w:val="0"/>
        <w:spacing w:line="560" w:lineRule="exact"/>
        <w:ind w:right="0" w:rightChars="0" w:firstLine="643" w:firstLineChars="200"/>
        <w:jc w:val="both"/>
        <w:textAlignment w:val="auto"/>
        <w:rPr>
          <w:rFonts w:hint="eastAsia" w:ascii="仿宋_GB2312" w:hAnsi="仿宋_GB2312" w:eastAsia="仿宋_GB2312" w:cs="仿宋_GB2312"/>
          <w:b/>
          <w:bCs w:val="0"/>
          <w:color w:val="auto"/>
          <w:sz w:val="32"/>
          <w:szCs w:val="32"/>
        </w:rPr>
      </w:pPr>
      <w:r>
        <w:rPr>
          <w:rFonts w:hint="eastAsia" w:ascii="仿宋_GB2312" w:hAnsi="仿宋_GB2312" w:eastAsia="仿宋_GB2312" w:cs="仿宋_GB2312"/>
          <w:b/>
          <w:bCs w:val="0"/>
          <w:color w:val="auto"/>
          <w:sz w:val="32"/>
          <w:szCs w:val="32"/>
        </w:rPr>
        <w:t>询价会如少于3家响应单位，报价无效。</w:t>
      </w:r>
    </w:p>
    <w:p w14:paraId="58C304B2">
      <w:pPr>
        <w:keepNext w:val="0"/>
        <w:keepLines w:val="0"/>
        <w:pageBreakBefore w:val="0"/>
        <w:kinsoku/>
        <w:wordWrap/>
        <w:overflowPunct/>
        <w:topLinePunct w:val="0"/>
        <w:autoSpaceDE/>
        <w:autoSpaceDN/>
        <w:bidi w:val="0"/>
        <w:spacing w:line="560" w:lineRule="exact"/>
        <w:ind w:right="0" w:rightChars="0" w:firstLine="640" w:firstLineChars="20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本次询价分为初始报价和二次报价，我单位将根据所有报价单位的两次报价进行综合评审，并确定最终预算金额（即采购预算金额）。</w:t>
      </w:r>
    </w:p>
    <w:p w14:paraId="116FC633">
      <w:pPr>
        <w:keepNext w:val="0"/>
        <w:keepLines w:val="0"/>
        <w:pageBreakBefore w:val="0"/>
        <w:kinsoku/>
        <w:wordWrap/>
        <w:overflowPunct/>
        <w:topLinePunct w:val="0"/>
        <w:autoSpaceDE/>
        <w:autoSpaceDN/>
        <w:bidi w:val="0"/>
        <w:spacing w:line="560" w:lineRule="exact"/>
        <w:ind w:right="0" w:rightChars="0" w:firstLine="640" w:firstLineChars="20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程序：报价单位递交《询价响应文件》→监督人员宣读各报价单位的初始报价→报价单位与采购单位针对所采购项目进行充分沟通和交流→二次报价→报价单位确认签字盖章→会议结束。</w:t>
      </w:r>
    </w:p>
    <w:p w14:paraId="4EC2D5D9">
      <w:pPr>
        <w:keepNext w:val="0"/>
        <w:keepLines w:val="0"/>
        <w:pageBreakBefore w:val="0"/>
        <w:kinsoku/>
        <w:wordWrap/>
        <w:overflowPunct/>
        <w:topLinePunct w:val="0"/>
        <w:autoSpaceDE/>
        <w:autoSpaceDN/>
        <w:bidi w:val="0"/>
        <w:spacing w:line="560" w:lineRule="exact"/>
        <w:ind w:right="0" w:rightChars="0" w:firstLine="640" w:firstLineChars="20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br w:type="page"/>
      </w:r>
    </w:p>
    <w:p w14:paraId="4360CA89">
      <w:pPr>
        <w:keepNext w:val="0"/>
        <w:keepLines w:val="0"/>
        <w:pageBreakBefore w:val="0"/>
        <w:kinsoku/>
        <w:wordWrap/>
        <w:overflowPunct/>
        <w:topLinePunct w:val="0"/>
        <w:autoSpaceDE/>
        <w:autoSpaceDN/>
        <w:bidi w:val="0"/>
        <w:spacing w:line="560" w:lineRule="exact"/>
        <w:ind w:right="0" w:rightChars="0"/>
        <w:jc w:val="both"/>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附件2</w:t>
      </w:r>
    </w:p>
    <w:p w14:paraId="65E61AFA">
      <w:pPr>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pacing w:line="560" w:lineRule="exact"/>
        <w:ind w:right="0" w:rightChars="0"/>
        <w:jc w:val="both"/>
        <w:textAlignment w:val="auto"/>
        <w:rPr>
          <w:rFonts w:hint="eastAsia" w:ascii="宋体" w:hAnsi="宋体" w:eastAsia="宋体"/>
          <w:b/>
          <w:color w:val="auto"/>
          <w:sz w:val="44"/>
          <w:szCs w:val="36"/>
          <w:lang w:eastAsia="zh-CN"/>
        </w:rPr>
      </w:pPr>
    </w:p>
    <w:p w14:paraId="4708FD84">
      <w:pPr>
        <w:keepNext w:val="0"/>
        <w:keepLines w:val="0"/>
        <w:pageBreakBefore w:val="0"/>
        <w:kinsoku/>
        <w:wordWrap/>
        <w:overflowPunct/>
        <w:topLinePunct w:val="0"/>
        <w:autoSpaceDE/>
        <w:autoSpaceDN/>
        <w:bidi w:val="0"/>
        <w:spacing w:line="560" w:lineRule="exact"/>
        <w:ind w:right="0" w:rightChars="0"/>
        <w:jc w:val="center"/>
        <w:textAlignment w:val="auto"/>
        <w:rPr>
          <w:rFonts w:hint="eastAsia" w:ascii="方正小标宋简体" w:hAnsi="方正小标宋_GBK" w:eastAsia="方正小标宋简体" w:cs="方正小标宋_GBK"/>
          <w:bCs/>
          <w:color w:val="auto"/>
          <w:sz w:val="44"/>
          <w:szCs w:val="44"/>
          <w:lang w:val="en-US" w:eastAsia="zh-CN"/>
        </w:rPr>
      </w:pPr>
      <w:r>
        <w:rPr>
          <w:rFonts w:hint="eastAsia" w:ascii="方正小标宋简体" w:hAnsi="方正小标宋_GBK" w:eastAsia="方正小标宋简体" w:cs="方正小标宋_GBK"/>
          <w:bCs/>
          <w:color w:val="auto"/>
          <w:sz w:val="44"/>
          <w:szCs w:val="44"/>
          <w:lang w:val="en-US" w:eastAsia="zh-CN"/>
        </w:rPr>
        <w:t>石家庄市生态环境局</w:t>
      </w:r>
    </w:p>
    <w:p w14:paraId="1D0BDF4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_GBK" w:eastAsia="方正小标宋简体" w:cs="方正小标宋_GBK"/>
          <w:bCs/>
          <w:color w:val="auto"/>
          <w:sz w:val="44"/>
          <w:szCs w:val="44"/>
          <w:lang w:val="en-US" w:eastAsia="zh-CN"/>
        </w:rPr>
      </w:pPr>
      <w:r>
        <w:rPr>
          <w:rFonts w:hint="eastAsia" w:ascii="方正小标宋简体" w:hAnsi="方正小标宋_GBK" w:eastAsia="方正小标宋简体" w:cs="方正小标宋_GBK"/>
          <w:bCs/>
          <w:color w:val="auto"/>
          <w:sz w:val="44"/>
          <w:szCs w:val="44"/>
          <w:lang w:val="en-US" w:eastAsia="zh-CN"/>
        </w:rPr>
        <w:t>关于重点河流应急监测预警服务工作方案</w:t>
      </w:r>
    </w:p>
    <w:p w14:paraId="7D03E8C0">
      <w:pPr>
        <w:keepNext w:val="0"/>
        <w:keepLines w:val="0"/>
        <w:pageBreakBefore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spacing w:line="560" w:lineRule="exact"/>
        <w:ind w:right="0" w:rightChars="0" w:firstLine="1920" w:firstLineChars="600"/>
        <w:jc w:val="both"/>
        <w:textAlignment w:val="auto"/>
        <w:rPr>
          <w:rFonts w:ascii="仿宋" w:hAnsi="仿宋" w:eastAsia="仿宋" w:cs="仿宋"/>
          <w:color w:val="auto"/>
          <w:sz w:val="32"/>
          <w:szCs w:val="32"/>
        </w:rPr>
      </w:pPr>
    </w:p>
    <w:p w14:paraId="49C22594">
      <w:pPr>
        <w:pageBreakBefore w:val="0"/>
        <w:tabs>
          <w:tab w:val="left" w:pos="2031"/>
        </w:tabs>
        <w:kinsoku/>
        <w:wordWrap/>
        <w:overflowPunct/>
        <w:topLinePunct w:val="0"/>
        <w:autoSpaceDE/>
        <w:autoSpaceDN/>
        <w:bidi w:val="0"/>
        <w:adjustRightInd/>
        <w:snapToGrid/>
        <w:spacing w:line="360" w:lineRule="auto"/>
        <w:ind w:firstLine="640"/>
        <w:jc w:val="both"/>
        <w:textAlignment w:val="auto"/>
        <w:rPr>
          <w:rFonts w:hint="eastAsia" w:ascii="仿宋_GB2312" w:hAnsi="宋体" w:eastAsia="仿宋_GB2312"/>
          <w:color w:val="auto"/>
          <w:sz w:val="32"/>
          <w:szCs w:val="32"/>
        </w:rPr>
      </w:pPr>
      <w:r>
        <w:rPr>
          <w:rFonts w:hint="eastAsia" w:ascii="仿宋_GB2312" w:hAnsi="宋体" w:eastAsia="仿宋_GB2312"/>
          <w:color w:val="auto"/>
          <w:sz w:val="32"/>
          <w:szCs w:val="32"/>
        </w:rPr>
        <w:t>为认真贯彻落实国务院办公厅《生态环境监测网络建设方案》的有关要求，完善排污异常报警机制，实时反映水质变化趋势，我单位拟开展“</w:t>
      </w:r>
      <w:r>
        <w:rPr>
          <w:rFonts w:hint="eastAsia" w:ascii="仿宋_GB2312" w:hAnsi="宋体" w:eastAsia="仿宋_GB2312"/>
          <w:color w:val="auto"/>
          <w:sz w:val="32"/>
          <w:szCs w:val="32"/>
          <w:lang w:val="en-US" w:eastAsia="zh-CN"/>
        </w:rPr>
        <w:t>重点河流应急监测预警服务</w:t>
      </w:r>
      <w:r>
        <w:rPr>
          <w:rFonts w:hint="eastAsia" w:ascii="仿宋_GB2312" w:hAnsi="宋体" w:eastAsia="仿宋_GB2312"/>
          <w:color w:val="auto"/>
          <w:sz w:val="32"/>
          <w:szCs w:val="32"/>
        </w:rPr>
        <w:t>”采购工作，此项工作的开展可以达到对洨河</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rPr>
        <w:t>汪洋沟</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lang w:val="en-US" w:eastAsia="zh-CN"/>
        </w:rPr>
        <w:t>槐河、沙河和滹沱河和白洋淀上游</w:t>
      </w:r>
      <w:r>
        <w:rPr>
          <w:rFonts w:hint="eastAsia" w:ascii="仿宋_GB2312" w:hAnsi="宋体" w:eastAsia="仿宋_GB2312"/>
          <w:color w:val="auto"/>
          <w:sz w:val="32"/>
          <w:szCs w:val="32"/>
        </w:rPr>
        <w:t>流域</w:t>
      </w:r>
      <w:r>
        <w:rPr>
          <w:rFonts w:hint="eastAsia" w:ascii="仿宋_GB2312" w:hAnsi="宋体" w:eastAsia="仿宋_GB2312"/>
          <w:color w:val="auto"/>
          <w:sz w:val="32"/>
          <w:szCs w:val="32"/>
          <w:lang w:val="en-US" w:eastAsia="zh-CN"/>
        </w:rPr>
        <w:t>的考核断面、河流交汇口、重点入河排污口、污水处理厂排口</w:t>
      </w:r>
      <w:r>
        <w:rPr>
          <w:rFonts w:hint="eastAsia" w:ascii="仿宋_GB2312" w:hAnsi="宋体" w:eastAsia="仿宋_GB2312"/>
          <w:color w:val="auto"/>
          <w:sz w:val="32"/>
          <w:szCs w:val="32"/>
        </w:rPr>
        <w:t>水环境变化的实时监测和及时预警，提升突发水质变化的响应速度，缩小排查范围和明晰管控重点，进一步提升河流巡查、水质监测的监管效率。为顺利完成该项目工作，特制定本工作方案。</w:t>
      </w:r>
    </w:p>
    <w:p w14:paraId="40FE28A7">
      <w:pPr>
        <w:pageBreakBefore w:val="0"/>
        <w:widowControl/>
        <w:kinsoku/>
        <w:wordWrap/>
        <w:overflowPunct/>
        <w:topLinePunct w:val="0"/>
        <w:autoSpaceDE/>
        <w:autoSpaceDN/>
        <w:bidi w:val="0"/>
        <w:adjustRightInd/>
        <w:snapToGrid/>
        <w:spacing w:line="360" w:lineRule="auto"/>
        <w:ind w:firstLine="640" w:firstLineChars="200"/>
        <w:jc w:val="both"/>
        <w:textAlignment w:val="auto"/>
        <w:outlineLvl w:val="1"/>
        <w:rPr>
          <w:rFonts w:ascii="黑体" w:hAnsi="黑体" w:eastAsia="黑体" w:cs="宋体"/>
          <w:color w:val="auto"/>
          <w:kern w:val="0"/>
          <w:sz w:val="32"/>
          <w:szCs w:val="32"/>
        </w:rPr>
      </w:pPr>
      <w:r>
        <w:rPr>
          <w:rFonts w:hint="eastAsia" w:ascii="黑体" w:hAnsi="黑体" w:eastAsia="黑体" w:cs="宋体"/>
          <w:color w:val="auto"/>
          <w:kern w:val="0"/>
          <w:sz w:val="32"/>
          <w:szCs w:val="32"/>
        </w:rPr>
        <w:t>一、项目实施背景、依据、来由、现状等</w:t>
      </w:r>
    </w:p>
    <w:p w14:paraId="2326E832">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河流污染主要由上游来水和沿途入河排放的污水构成。常规地表水自动监测站的监测周期是4小时，在这个监测频次下，难以捕捉到高浓度、短时间的污水偷排。此前，即便发现问题，也难以定位污水来源，无法满足精准溯源、控源的要求。</w:t>
      </w:r>
    </w:p>
    <w:p w14:paraId="27A0AFDB">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针对以上问题，必须</w:t>
      </w:r>
      <w:r>
        <w:rPr>
          <w:rFonts w:hint="eastAsia" w:ascii="仿宋_GB2312" w:hAnsi="仿宋_GB2312" w:eastAsia="仿宋_GB2312" w:cs="仿宋_GB2312"/>
          <w:strike w:val="0"/>
          <w:dstrike w:val="0"/>
          <w:color w:val="auto"/>
          <w:sz w:val="32"/>
          <w:szCs w:val="32"/>
          <w:highlight w:val="none"/>
          <w:lang w:val="en-US" w:eastAsia="zh-CN"/>
        </w:rPr>
        <w:t>利用</w:t>
      </w:r>
      <w:r>
        <w:rPr>
          <w:rFonts w:hint="eastAsia" w:ascii="仿宋_GB2312" w:hAnsi="仿宋_GB2312" w:eastAsia="仿宋_GB2312" w:cs="仿宋_GB2312"/>
          <w:color w:val="auto"/>
          <w:sz w:val="32"/>
          <w:szCs w:val="32"/>
          <w:lang w:val="en-US" w:eastAsia="zh-CN"/>
        </w:rPr>
        <w:t>以水质监测和预报预警作为重要的科技手段，实现监测预警、提前预报和污染防治支持。</w:t>
      </w:r>
    </w:p>
    <w:p w14:paraId="5C31859C">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为推进石家庄市水环境质量持续改善以及对全市地表河流进行精准指导施策，石家庄市已于2018年6月开展“洨河和汪洋沟沿线河流应急监测预警服务项目”，并于2020年9月开展“滹沱河和白洋淀上游流域河流应急监测预警服务项目”，项目内容整体包括提供在洨河和汪洋沟沿线、滹沱河和白洋淀上游河流的考核断面、河流交汇口、重点入河排污口、污水处理厂排口等25个重点位置的水质应急监测预警服务。预警站趋势性监测参数包括水温、pH、电导率、溶解氧、浊度、COD、氨氮、总磷，共计八个参数。</w:t>
      </w:r>
      <w:r>
        <w:rPr>
          <w:rFonts w:ascii="仿宋_GB2312" w:hAnsi="仿宋_GB2312" w:eastAsia="仿宋_GB2312" w:cs="仿宋_GB2312"/>
          <w:color w:val="auto"/>
          <w:sz w:val="32"/>
          <w:szCs w:val="32"/>
        </w:rPr>
        <w:t>后续根据监管需求将两个项目统一管理，</w:t>
      </w:r>
      <w:r>
        <w:rPr>
          <w:rFonts w:hint="eastAsia" w:ascii="仿宋_GB2312" w:hAnsi="仿宋_GB2312" w:eastAsia="仿宋_GB2312" w:cs="仿宋_GB2312"/>
          <w:color w:val="auto"/>
          <w:sz w:val="32"/>
          <w:szCs w:val="32"/>
          <w:highlight w:val="none"/>
          <w:lang w:val="en-US" w:eastAsia="zh-CN"/>
        </w:rPr>
        <w:t>根据监管需求布设了19套七参数（水温、pH、电导率、溶解氧、浊度、COD、氨氮）浮标站，6套八参数（水温、pH、电导率、溶解氧、浊度、COD、氨氮、总磷）岸边站，</w:t>
      </w:r>
      <w:r>
        <w:rPr>
          <w:rFonts w:hint="eastAsia" w:ascii="仿宋_GB2312" w:hAnsi="仿宋_GB2312" w:eastAsia="仿宋_GB2312" w:cs="仿宋_GB2312"/>
          <w:color w:val="auto"/>
          <w:sz w:val="32"/>
          <w:szCs w:val="32"/>
          <w:lang w:val="en-US" w:eastAsia="zh-CN"/>
        </w:rPr>
        <w:t>并依托河流水质实时监测预警体系，提供分钟级到小时级监测的预警综合技术服务。</w:t>
      </w:r>
    </w:p>
    <w:p w14:paraId="3CD83C60">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28"/>
          <w:highlight w:val="none"/>
        </w:rPr>
      </w:pPr>
      <w:r>
        <w:rPr>
          <w:rFonts w:hint="eastAsia" w:ascii="仿宋_GB2312" w:hAnsi="仿宋_GB2312" w:eastAsia="仿宋_GB2312" w:cs="仿宋_GB2312"/>
          <w:color w:val="auto"/>
          <w:sz w:val="32"/>
          <w:szCs w:val="32"/>
          <w:highlight w:val="none"/>
          <w:lang w:val="en-US" w:eastAsia="zh-CN"/>
        </w:rPr>
        <w:t>自2018年6月河流应急监测预警服务体系应用至今，河流应急监测预警服务体系充分发挥了实时监测河流水质、及时预警水质超标、实时反映水质变化趋势的作用，为环境监管部门采取精准管控措施、整顿违法排污提供了有效的技术支撑，应用效果显著。2021年至2025年，洨河、汪洋沟、滹沱河主要考核项目数据逐年降低，水质提升明显。</w:t>
      </w:r>
    </w:p>
    <w:p w14:paraId="5410B82C">
      <w:pPr>
        <w:keepNext/>
        <w:keepLines/>
        <w:pageBreakBefore w:val="0"/>
        <w:widowControl w:val="0"/>
        <w:kinsoku/>
        <w:wordWrap/>
        <w:overflowPunct/>
        <w:topLinePunct w:val="0"/>
        <w:autoSpaceDE/>
        <w:autoSpaceDN/>
        <w:bidi w:val="0"/>
        <w:adjustRightInd/>
        <w:snapToGrid/>
        <w:spacing w:line="360" w:lineRule="auto"/>
        <w:ind w:firstLine="640" w:firstLineChars="200"/>
        <w:jc w:val="both"/>
        <w:textAlignment w:val="auto"/>
        <w:outlineLvl w:val="0"/>
        <w:rPr>
          <w:rFonts w:hint="eastAsia" w:ascii="仿宋_GB2312" w:hAnsi="仿宋_GB2312" w:eastAsia="仿宋_GB2312" w:cs="仿宋_GB2312"/>
          <w:color w:val="auto"/>
          <w:kern w:val="2"/>
          <w:sz w:val="32"/>
          <w:szCs w:val="32"/>
          <w:highlight w:val="none"/>
          <w:lang w:val="en-GB" w:eastAsia="zh-CN" w:bidi="ar-SA"/>
        </w:rPr>
      </w:pPr>
      <w:bookmarkStart w:id="0" w:name="_Toc63671255"/>
      <w:bookmarkStart w:id="1" w:name="_Toc130"/>
      <w:r>
        <w:rPr>
          <w:rFonts w:hint="eastAsia" w:ascii="仿宋_GB2312" w:hAnsi="仿宋_GB2312" w:eastAsia="仿宋_GB2312" w:cs="仿宋_GB2312"/>
          <w:color w:val="auto"/>
          <w:kern w:val="2"/>
          <w:sz w:val="32"/>
          <w:szCs w:val="32"/>
          <w:highlight w:val="none"/>
          <w:lang w:val="en-GB" w:eastAsia="zh-CN" w:bidi="ar-SA"/>
        </w:rPr>
        <w:t>项目政策依据</w:t>
      </w:r>
      <w:bookmarkEnd w:id="0"/>
      <w:bookmarkEnd w:id="1"/>
      <w:r>
        <w:rPr>
          <w:rFonts w:hint="eastAsia" w:ascii="仿宋_GB2312" w:hAnsi="仿宋_GB2312" w:eastAsia="仿宋_GB2312" w:cs="仿宋_GB2312"/>
          <w:color w:val="auto"/>
          <w:kern w:val="2"/>
          <w:sz w:val="32"/>
          <w:szCs w:val="32"/>
          <w:highlight w:val="none"/>
          <w:lang w:val="en-GB" w:eastAsia="zh-CN" w:bidi="ar-SA"/>
        </w:rPr>
        <w:t>如下：</w:t>
      </w:r>
    </w:p>
    <w:p w14:paraId="39F7932D">
      <w:pPr>
        <w:pStyle w:val="43"/>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jc w:val="both"/>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1、《生态环境监测网络建设方案》</w:t>
      </w:r>
    </w:p>
    <w:p w14:paraId="08558EA3">
      <w:pPr>
        <w:pStyle w:val="43"/>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jc w:val="both"/>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明确要求“提高污染物超标排放、在线监测设备运行和重要核设施流出物异常等信息追踪、捕获与报警能力以及企业排污状况智能化监控水平。”</w:t>
      </w:r>
    </w:p>
    <w:p w14:paraId="4949A2C7">
      <w:pPr>
        <w:pStyle w:val="43"/>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jc w:val="both"/>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2、《水污染防治行动计划》</w:t>
      </w:r>
    </w:p>
    <w:p w14:paraId="2F4B8880">
      <w:pPr>
        <w:pStyle w:val="43"/>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jc w:val="both"/>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明确了全面控制污染物排放、严格环境执法监管、明确和落实各方责任等多方面的要求及内容。</w:t>
      </w:r>
    </w:p>
    <w:p w14:paraId="1E9E5D5E">
      <w:pPr>
        <w:pStyle w:val="43"/>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jc w:val="both"/>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3、《关于加快推进生态文明建设的意见》</w:t>
      </w:r>
    </w:p>
    <w:p w14:paraId="76A3BC44">
      <w:pPr>
        <w:pStyle w:val="43"/>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jc w:val="both"/>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明确了入河排污管理，要放在优先突出的位置安排。</w:t>
      </w:r>
    </w:p>
    <w:p w14:paraId="4F49A725">
      <w:pPr>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color w:val="auto"/>
          <w:kern w:val="0"/>
          <w:sz w:val="32"/>
          <w:szCs w:val="32"/>
          <w:highlight w:val="none"/>
          <w:lang w:val="en-GB" w:eastAsia="en-US" w:bidi="ar-SA"/>
        </w:rPr>
      </w:pPr>
      <w:r>
        <w:rPr>
          <w:rFonts w:hint="eastAsia" w:ascii="仿宋_GB2312" w:hAnsi="仿宋_GB2312" w:eastAsia="仿宋_GB2312" w:cs="仿宋_GB2312"/>
          <w:b w:val="0"/>
          <w:color w:val="auto"/>
          <w:kern w:val="2"/>
          <w:sz w:val="32"/>
          <w:szCs w:val="32"/>
          <w:highlight w:val="none"/>
          <w:lang w:val="en-US" w:eastAsia="zh-CN" w:bidi="ar-SA"/>
        </w:rPr>
        <w:t>这些相关法规、政策和规划，对提高河流水环境监管能力提出了明确要求，是相关项目的建设背景和指导方针。</w:t>
      </w:r>
    </w:p>
    <w:p w14:paraId="4553A43A">
      <w:pPr>
        <w:pageBreakBefore w:val="0"/>
        <w:widowControl/>
        <w:kinsoku/>
        <w:wordWrap/>
        <w:overflowPunct/>
        <w:topLinePunct w:val="0"/>
        <w:autoSpaceDE/>
        <w:autoSpaceDN/>
        <w:bidi w:val="0"/>
        <w:adjustRightInd/>
        <w:snapToGrid/>
        <w:spacing w:line="360" w:lineRule="auto"/>
        <w:ind w:firstLine="640" w:firstLineChars="200"/>
        <w:jc w:val="both"/>
        <w:textAlignment w:val="auto"/>
        <w:outlineLvl w:val="1"/>
        <w:rPr>
          <w:rFonts w:ascii="黑体" w:hAnsi="黑体" w:eastAsia="黑体" w:cs="宋体"/>
          <w:color w:val="auto"/>
          <w:kern w:val="0"/>
          <w:sz w:val="32"/>
          <w:szCs w:val="32"/>
        </w:rPr>
      </w:pPr>
      <w:r>
        <w:rPr>
          <w:rFonts w:hint="eastAsia" w:ascii="黑体" w:hAnsi="黑体" w:eastAsia="黑体" w:cs="宋体"/>
          <w:color w:val="auto"/>
          <w:kern w:val="0"/>
          <w:sz w:val="32"/>
          <w:szCs w:val="32"/>
        </w:rPr>
        <w:t>二、工作内容</w:t>
      </w:r>
    </w:p>
    <w:p w14:paraId="0F28AC5F">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项目将继续根据石家庄市洨河、汪洋沟、槐河、沙河、滹沱河和白洋淀上游流域河流水环境的特点和实际监管需求，以解决问题为出发点，拟针对重点25个河流预警监测点位继续提供河流水质实时监测预警服务，点位包含19个七参数（水温、pH、电导率、溶解氧、浊度、COD、氨氮）浮标站监测站点，6个八参数（水温、pH、电导率、溶解氧、浊度、COD、氨氮、总磷）岸边站监测点位，确保对洨河、汪洋沟、槐河、沙河、滹沱河和白洋淀上游流域水质变化情况的全面掌握、河流水环境质量的持续监管。项目内容主要包括河流水质实时监测预警系统的运行维护服务、数据分析服务、河道巡查服务、数据监测服务、现场应急检查服务、水生态保护咨询等综合技术服务，服务期限1年。本项目根据监管重点不同、鼓励优秀小微企业、吸引专业技术服务商、节约成本等综合原因，拟按南、北部重点河流分成两个标包，其中</w:t>
      </w:r>
      <w:r>
        <w:rPr>
          <w:rFonts w:hint="eastAsia" w:ascii="仿宋_GB2312" w:hAnsi="仿宋_GB2312" w:eastAsia="仿宋_GB2312" w:cs="仿宋_GB2312"/>
          <w:b/>
          <w:bCs/>
          <w:color w:val="auto"/>
          <w:sz w:val="32"/>
          <w:szCs w:val="32"/>
          <w:highlight w:val="none"/>
          <w:lang w:val="en-US" w:eastAsia="zh-CN"/>
        </w:rPr>
        <w:t>包1</w:t>
      </w:r>
      <w:r>
        <w:rPr>
          <w:rFonts w:hint="eastAsia" w:ascii="仿宋_GB2312" w:hAnsi="仿宋_GB2312" w:eastAsia="仿宋_GB2312" w:cs="仿宋_GB2312"/>
          <w:color w:val="auto"/>
          <w:sz w:val="32"/>
          <w:szCs w:val="32"/>
          <w:highlight w:val="none"/>
          <w:lang w:val="en-US" w:eastAsia="zh-CN"/>
        </w:rPr>
        <w:t>：包含洨河和汪洋沟、槐河等</w:t>
      </w:r>
      <w:r>
        <w:rPr>
          <w:rFonts w:ascii="仿宋_GB2312" w:hAnsi="仿宋_GB2312" w:eastAsia="仿宋_GB2312" w:cs="仿宋_GB2312"/>
          <w:color w:val="auto"/>
          <w:sz w:val="32"/>
          <w:szCs w:val="32"/>
          <w:highlight w:val="none"/>
        </w:rPr>
        <w:t>考核断面、河流交汇口</w:t>
      </w:r>
      <w:r>
        <w:rPr>
          <w:rFonts w:hint="eastAsia" w:ascii="仿宋_GB2312" w:hAnsi="仿宋_GB2312" w:eastAsia="仿宋_GB2312" w:cs="仿宋_GB2312"/>
          <w:color w:val="auto"/>
          <w:sz w:val="32"/>
          <w:szCs w:val="32"/>
          <w:highlight w:val="none"/>
          <w:lang w:val="en-US" w:eastAsia="zh-CN"/>
        </w:rPr>
        <w:t>的</w:t>
      </w: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套七参数浮标站/岸边站</w:t>
      </w:r>
      <w:r>
        <w:rPr>
          <w:rFonts w:hint="eastAsia" w:ascii="仿宋_GB2312" w:hAnsi="仿宋_GB2312" w:eastAsia="仿宋_GB2312" w:cs="仿宋_GB2312"/>
          <w:color w:val="auto"/>
          <w:sz w:val="32"/>
          <w:szCs w:val="32"/>
          <w:highlight w:val="none"/>
          <w:lang w:val="en-US" w:eastAsia="zh-CN"/>
        </w:rPr>
        <w:t>和5</w:t>
      </w:r>
      <w:r>
        <w:rPr>
          <w:rFonts w:hint="eastAsia" w:ascii="仿宋_GB2312" w:hAnsi="仿宋_GB2312" w:eastAsia="仿宋_GB2312" w:cs="仿宋_GB2312"/>
          <w:color w:val="auto"/>
          <w:sz w:val="32"/>
          <w:szCs w:val="32"/>
          <w:highlight w:val="none"/>
        </w:rPr>
        <w:t>套八参数岸边站</w:t>
      </w:r>
      <w:r>
        <w:rPr>
          <w:rFonts w:hint="eastAsia" w:ascii="仿宋_GB2312" w:hAnsi="仿宋_GB2312" w:eastAsia="仿宋_GB2312" w:cs="仿宋_GB2312"/>
          <w:color w:val="auto"/>
          <w:sz w:val="32"/>
          <w:szCs w:val="32"/>
          <w:highlight w:val="none"/>
          <w:lang w:val="en-US" w:eastAsia="zh-CN"/>
        </w:rPr>
        <w:t>的技术服务；</w:t>
      </w:r>
      <w:r>
        <w:rPr>
          <w:rFonts w:hint="eastAsia" w:ascii="仿宋_GB2312" w:hAnsi="仿宋_GB2312" w:eastAsia="仿宋_GB2312" w:cs="仿宋_GB2312"/>
          <w:b/>
          <w:bCs/>
          <w:color w:val="auto"/>
          <w:sz w:val="32"/>
          <w:szCs w:val="32"/>
          <w:highlight w:val="none"/>
          <w:lang w:val="en-US" w:eastAsia="zh-CN"/>
        </w:rPr>
        <w:t>包2</w:t>
      </w:r>
      <w:r>
        <w:rPr>
          <w:rFonts w:hint="eastAsia" w:ascii="仿宋_GB2312" w:hAnsi="仿宋_GB2312" w:eastAsia="仿宋_GB2312" w:cs="仿宋_GB2312"/>
          <w:color w:val="auto"/>
          <w:sz w:val="32"/>
          <w:szCs w:val="32"/>
          <w:highlight w:val="none"/>
          <w:lang w:val="en-US" w:eastAsia="zh-CN"/>
        </w:rPr>
        <w:t>：包含滹沱河和白洋淀上游流域、沙河重点排污单位及重点断面8</w:t>
      </w:r>
      <w:r>
        <w:rPr>
          <w:rFonts w:hint="eastAsia" w:ascii="仿宋_GB2312" w:hAnsi="仿宋_GB2312" w:eastAsia="仿宋_GB2312" w:cs="仿宋_GB2312"/>
          <w:color w:val="auto"/>
          <w:sz w:val="32"/>
          <w:szCs w:val="32"/>
          <w:highlight w:val="none"/>
        </w:rPr>
        <w:t>套七参数浮标站/岸边站</w:t>
      </w:r>
      <w:r>
        <w:rPr>
          <w:rFonts w:hint="eastAsia" w:ascii="仿宋_GB2312" w:hAnsi="仿宋_GB2312" w:eastAsia="仿宋_GB2312" w:cs="仿宋_GB2312"/>
          <w:color w:val="auto"/>
          <w:sz w:val="32"/>
          <w:szCs w:val="32"/>
          <w:highlight w:val="none"/>
          <w:lang w:val="en-US" w:eastAsia="zh-CN"/>
        </w:rPr>
        <w:t>和1</w:t>
      </w:r>
      <w:r>
        <w:rPr>
          <w:rFonts w:hint="eastAsia" w:ascii="仿宋_GB2312" w:hAnsi="仿宋_GB2312" w:eastAsia="仿宋_GB2312" w:cs="仿宋_GB2312"/>
          <w:color w:val="auto"/>
          <w:sz w:val="32"/>
          <w:szCs w:val="32"/>
          <w:highlight w:val="none"/>
        </w:rPr>
        <w:t>套八参数岸边站</w:t>
      </w:r>
      <w:r>
        <w:rPr>
          <w:rFonts w:hint="eastAsia" w:ascii="仿宋_GB2312" w:hAnsi="仿宋_GB2312" w:eastAsia="仿宋_GB2312" w:cs="仿宋_GB2312"/>
          <w:color w:val="auto"/>
          <w:sz w:val="32"/>
          <w:szCs w:val="32"/>
          <w:highlight w:val="none"/>
          <w:lang w:val="en-US" w:eastAsia="zh-CN"/>
        </w:rPr>
        <w:t>的技术服务。</w:t>
      </w:r>
    </w:p>
    <w:p w14:paraId="3B943C17">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highlight w:val="none"/>
          <w:lang w:val="en-US" w:eastAsia="zh-CN"/>
        </w:rPr>
        <w:t>25个点位清单如下：</w:t>
      </w:r>
    </w:p>
    <w:tbl>
      <w:tblPr>
        <w:tblStyle w:val="24"/>
        <w:tblW w:w="5000" w:type="pct"/>
        <w:jc w:val="center"/>
        <w:tblLayout w:type="fixed"/>
        <w:tblCellMar>
          <w:top w:w="0" w:type="dxa"/>
          <w:left w:w="108" w:type="dxa"/>
          <w:bottom w:w="0" w:type="dxa"/>
          <w:right w:w="108" w:type="dxa"/>
        </w:tblCellMar>
      </w:tblPr>
      <w:tblGrid>
        <w:gridCol w:w="515"/>
        <w:gridCol w:w="971"/>
        <w:gridCol w:w="1016"/>
        <w:gridCol w:w="1504"/>
        <w:gridCol w:w="1238"/>
        <w:gridCol w:w="3827"/>
      </w:tblGrid>
      <w:tr w14:paraId="1784CAD2">
        <w:tblPrEx>
          <w:tblCellMar>
            <w:top w:w="0" w:type="dxa"/>
            <w:left w:w="108" w:type="dxa"/>
            <w:bottom w:w="0" w:type="dxa"/>
            <w:right w:w="108" w:type="dxa"/>
          </w:tblCellMar>
        </w:tblPrEx>
        <w:trPr>
          <w:trHeight w:val="677" w:hRule="atLeast"/>
          <w:jc w:val="center"/>
        </w:trPr>
        <w:tc>
          <w:tcPr>
            <w:tcW w:w="9061" w:type="dxa"/>
            <w:gridSpan w:val="6"/>
            <w:tcBorders>
              <w:top w:val="single" w:color="000000" w:sz="4" w:space="0"/>
              <w:left w:val="single" w:color="000000" w:sz="4" w:space="0"/>
              <w:bottom w:val="single" w:color="000000" w:sz="4" w:space="0"/>
              <w:right w:val="single" w:color="000000" w:sz="4" w:space="0"/>
            </w:tcBorders>
            <w:noWrap/>
            <w:vAlign w:val="center"/>
          </w:tcPr>
          <w:p w14:paraId="75F28599">
            <w:pPr>
              <w:widowControl/>
              <w:ind w:firstLine="0" w:firstLineChars="0"/>
              <w:jc w:val="center"/>
              <w:textAlignment w:val="center"/>
              <w:rPr>
                <w:rFonts w:ascii="仿宋_GB2312" w:hAnsi="仿宋_GB2312" w:eastAsia="仿宋_GB2312" w:cs="仿宋_GB2312"/>
                <w:b/>
                <w:bCs/>
                <w:color w:val="auto"/>
                <w:sz w:val="22"/>
                <w:szCs w:val="22"/>
              </w:rPr>
            </w:pPr>
            <w:r>
              <w:rPr>
                <w:rFonts w:hint="eastAsia" w:ascii="仿宋_GB2312" w:hAnsi="仿宋_GB2312" w:eastAsia="仿宋_GB2312" w:cs="仿宋_GB2312"/>
                <w:b/>
                <w:bCs/>
                <w:color w:val="auto"/>
                <w:sz w:val="22"/>
                <w:szCs w:val="22"/>
              </w:rPr>
              <w:t>重点河流应急监测预警服务</w:t>
            </w:r>
          </w:p>
        </w:tc>
      </w:tr>
      <w:tr w14:paraId="51E3B3ED">
        <w:tblPrEx>
          <w:tblCellMar>
            <w:top w:w="0" w:type="dxa"/>
            <w:left w:w="108" w:type="dxa"/>
            <w:bottom w:w="0" w:type="dxa"/>
            <w:right w:w="108" w:type="dxa"/>
          </w:tblCellMar>
        </w:tblPrEx>
        <w:trPr>
          <w:trHeight w:val="270" w:hRule="atLeast"/>
          <w:jc w:val="center"/>
        </w:trPr>
        <w:tc>
          <w:tcPr>
            <w:tcW w:w="514" w:type="dxa"/>
            <w:tcBorders>
              <w:top w:val="single" w:color="000000" w:sz="4" w:space="0"/>
              <w:left w:val="single" w:color="000000" w:sz="4" w:space="0"/>
              <w:bottom w:val="single" w:color="000000" w:sz="4" w:space="0"/>
              <w:right w:val="single" w:color="000000" w:sz="4" w:space="0"/>
            </w:tcBorders>
            <w:noWrap/>
            <w:vAlign w:val="center"/>
          </w:tcPr>
          <w:p w14:paraId="731C3BE8">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序号</w:t>
            </w:r>
          </w:p>
        </w:tc>
        <w:tc>
          <w:tcPr>
            <w:tcW w:w="970" w:type="dxa"/>
            <w:tcBorders>
              <w:top w:val="single" w:color="000000" w:sz="4" w:space="0"/>
              <w:left w:val="single" w:color="000000" w:sz="4" w:space="0"/>
              <w:bottom w:val="single" w:color="000000" w:sz="4" w:space="0"/>
              <w:right w:val="single" w:color="000000" w:sz="4" w:space="0"/>
            </w:tcBorders>
            <w:noWrap/>
            <w:vAlign w:val="center"/>
          </w:tcPr>
          <w:p w14:paraId="2D100ABC">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流域</w:t>
            </w: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32E1C720">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地域</w:t>
            </w:r>
          </w:p>
        </w:tc>
        <w:tc>
          <w:tcPr>
            <w:tcW w:w="1503" w:type="dxa"/>
            <w:tcBorders>
              <w:top w:val="single" w:color="000000" w:sz="4" w:space="0"/>
              <w:left w:val="single" w:color="000000" w:sz="4" w:space="0"/>
              <w:bottom w:val="single" w:color="000000" w:sz="4" w:space="0"/>
              <w:right w:val="single" w:color="000000" w:sz="4" w:space="0"/>
            </w:tcBorders>
            <w:noWrap/>
            <w:vAlign w:val="center"/>
          </w:tcPr>
          <w:p w14:paraId="199D48D0">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点位名称</w:t>
            </w:r>
          </w:p>
        </w:tc>
        <w:tc>
          <w:tcPr>
            <w:tcW w:w="1236" w:type="dxa"/>
            <w:tcBorders>
              <w:top w:val="single" w:color="000000" w:sz="4" w:space="0"/>
              <w:left w:val="single" w:color="000000" w:sz="4" w:space="0"/>
              <w:bottom w:val="single" w:color="000000" w:sz="4" w:space="0"/>
              <w:right w:val="single" w:color="000000" w:sz="4" w:space="0"/>
            </w:tcBorders>
            <w:noWrap/>
            <w:vAlign w:val="center"/>
          </w:tcPr>
          <w:p w14:paraId="4B11474B">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点位类型</w:t>
            </w:r>
          </w:p>
        </w:tc>
        <w:tc>
          <w:tcPr>
            <w:tcW w:w="3823" w:type="dxa"/>
            <w:tcBorders>
              <w:top w:val="single" w:color="000000" w:sz="4" w:space="0"/>
              <w:left w:val="single" w:color="000000" w:sz="4" w:space="0"/>
              <w:bottom w:val="single" w:color="000000" w:sz="4" w:space="0"/>
              <w:right w:val="single" w:color="000000" w:sz="4" w:space="0"/>
            </w:tcBorders>
            <w:noWrap/>
            <w:vAlign w:val="center"/>
          </w:tcPr>
          <w:p w14:paraId="1CBF95A3">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参数种类</w:t>
            </w:r>
          </w:p>
        </w:tc>
      </w:tr>
      <w:tr w14:paraId="319B884C">
        <w:tblPrEx>
          <w:tblCellMar>
            <w:top w:w="0" w:type="dxa"/>
            <w:left w:w="108" w:type="dxa"/>
            <w:bottom w:w="0" w:type="dxa"/>
            <w:right w:w="108" w:type="dxa"/>
          </w:tblCellMar>
        </w:tblPrEx>
        <w:trPr>
          <w:trHeight w:val="300" w:hRule="atLeast"/>
          <w:jc w:val="center"/>
        </w:trPr>
        <w:tc>
          <w:tcPr>
            <w:tcW w:w="514" w:type="dxa"/>
            <w:tcBorders>
              <w:top w:val="single" w:color="000000" w:sz="4" w:space="0"/>
              <w:left w:val="single" w:color="000000" w:sz="4" w:space="0"/>
              <w:bottom w:val="single" w:color="000000" w:sz="4" w:space="0"/>
              <w:right w:val="single" w:color="000000" w:sz="4" w:space="0"/>
            </w:tcBorders>
            <w:noWrap/>
            <w:vAlign w:val="center"/>
          </w:tcPr>
          <w:p w14:paraId="269F3E4D">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1</w:t>
            </w:r>
          </w:p>
        </w:tc>
        <w:tc>
          <w:tcPr>
            <w:tcW w:w="970" w:type="dxa"/>
            <w:vMerge w:val="restart"/>
            <w:tcBorders>
              <w:top w:val="single" w:color="000000" w:sz="4" w:space="0"/>
              <w:left w:val="single" w:color="000000" w:sz="4" w:space="0"/>
              <w:bottom w:val="single" w:color="000000" w:sz="4" w:space="0"/>
              <w:right w:val="single" w:color="000000" w:sz="4" w:space="0"/>
            </w:tcBorders>
            <w:noWrap/>
            <w:vAlign w:val="center"/>
          </w:tcPr>
          <w:p w14:paraId="381E3E6E">
            <w:pPr>
              <w:widowControl/>
              <w:ind w:firstLine="0" w:firstLineChars="0"/>
              <w:jc w:val="center"/>
              <w:textAlignment w:val="center"/>
              <w:rPr>
                <w:rFonts w:hint="default" w:ascii="仿宋_GB2312" w:hAnsi="仿宋_GB2312" w:eastAsia="仿宋_GB2312" w:cs="仿宋_GB2312"/>
                <w:color w:val="auto"/>
                <w:kern w:val="0"/>
                <w:sz w:val="22"/>
                <w:szCs w:val="22"/>
                <w:lang w:eastAsia="zh-CN" w:bidi="ar"/>
              </w:rPr>
            </w:pPr>
            <w:r>
              <w:rPr>
                <w:rFonts w:hint="default" w:ascii="仿宋_GB2312" w:hAnsi="仿宋_GB2312" w:eastAsia="仿宋_GB2312" w:cs="仿宋_GB2312"/>
                <w:color w:val="auto"/>
                <w:kern w:val="0"/>
                <w:sz w:val="22"/>
                <w:szCs w:val="22"/>
                <w:lang w:eastAsia="zh-CN" w:bidi="ar"/>
              </w:rPr>
              <w:t>洨河</w:t>
            </w:r>
          </w:p>
          <w:p w14:paraId="42670AFF">
            <w:pPr>
              <w:widowControl/>
              <w:ind w:firstLine="0" w:firstLineChars="0"/>
              <w:jc w:val="center"/>
              <w:textAlignment w:val="center"/>
              <w:rPr>
                <w:rFonts w:hint="eastAsia" w:ascii="仿宋_GB2312" w:hAnsi="仿宋_GB2312" w:eastAsia="仿宋_GB2312" w:cs="仿宋_GB2312"/>
                <w:color w:val="auto"/>
                <w:kern w:val="0"/>
                <w:sz w:val="22"/>
                <w:szCs w:val="22"/>
                <w:lang w:eastAsia="zh-CN" w:bidi="ar"/>
              </w:rPr>
            </w:pPr>
            <w:r>
              <w:rPr>
                <w:rFonts w:hint="eastAsia" w:ascii="仿宋_GB2312" w:hAnsi="仿宋_GB2312" w:eastAsia="仿宋_GB2312" w:cs="仿宋_GB2312"/>
                <w:color w:val="auto"/>
                <w:kern w:val="0"/>
                <w:sz w:val="22"/>
                <w:szCs w:val="22"/>
                <w:lang w:eastAsia="zh-CN" w:bidi="ar"/>
              </w:rPr>
              <w:t>（包</w:t>
            </w:r>
            <w:r>
              <w:rPr>
                <w:rFonts w:hint="eastAsia" w:ascii="仿宋_GB2312" w:hAnsi="仿宋_GB2312" w:eastAsia="仿宋_GB2312" w:cs="仿宋_GB2312"/>
                <w:color w:val="auto"/>
                <w:kern w:val="0"/>
                <w:sz w:val="22"/>
                <w:szCs w:val="22"/>
                <w:lang w:val="en-US" w:eastAsia="zh-CN" w:bidi="ar"/>
              </w:rPr>
              <w:t>1</w:t>
            </w:r>
            <w:r>
              <w:rPr>
                <w:rFonts w:hint="eastAsia" w:ascii="仿宋_GB2312" w:hAnsi="仿宋_GB2312" w:eastAsia="仿宋_GB2312" w:cs="仿宋_GB2312"/>
                <w:color w:val="auto"/>
                <w:kern w:val="0"/>
                <w:sz w:val="22"/>
                <w:szCs w:val="22"/>
                <w:lang w:eastAsia="zh-CN" w:bidi="ar"/>
              </w:rPr>
              <w:t>）</w:t>
            </w: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55C94250">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鹿泉区</w:t>
            </w:r>
          </w:p>
        </w:tc>
        <w:tc>
          <w:tcPr>
            <w:tcW w:w="1503" w:type="dxa"/>
            <w:tcBorders>
              <w:top w:val="single" w:color="000000" w:sz="4" w:space="0"/>
              <w:left w:val="single" w:color="000000" w:sz="4" w:space="0"/>
              <w:bottom w:val="single" w:color="000000" w:sz="4" w:space="0"/>
              <w:right w:val="single" w:color="000000" w:sz="4" w:space="0"/>
            </w:tcBorders>
            <w:noWrap/>
            <w:vAlign w:val="center"/>
          </w:tcPr>
          <w:p w14:paraId="47EFC8A5">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鹿泉</w:t>
            </w:r>
            <w:r>
              <w:rPr>
                <w:rStyle w:val="39"/>
                <w:rFonts w:hint="eastAsia" w:ascii="仿宋_GB2312" w:hAnsi="仿宋_GB2312" w:eastAsia="仿宋_GB2312" w:cs="仿宋_GB2312"/>
                <w:color w:val="auto"/>
                <w:lang w:bidi="ar"/>
              </w:rPr>
              <w:t>-</w:t>
            </w:r>
            <w:r>
              <w:rPr>
                <w:rStyle w:val="50"/>
                <w:rFonts w:hint="default" w:ascii="仿宋_GB2312" w:hAnsi="仿宋_GB2312" w:eastAsia="仿宋_GB2312" w:cs="仿宋_GB2312"/>
                <w:color w:val="auto"/>
                <w:lang w:bidi="ar"/>
              </w:rPr>
              <w:t>金河湾</w:t>
            </w:r>
          </w:p>
        </w:tc>
        <w:tc>
          <w:tcPr>
            <w:tcW w:w="1236" w:type="dxa"/>
            <w:tcBorders>
              <w:top w:val="single" w:color="000000" w:sz="4" w:space="0"/>
              <w:left w:val="single" w:color="000000" w:sz="4" w:space="0"/>
              <w:bottom w:val="single" w:color="000000" w:sz="4" w:space="0"/>
              <w:right w:val="single" w:color="000000" w:sz="4" w:space="0"/>
            </w:tcBorders>
            <w:noWrap/>
            <w:vAlign w:val="center"/>
          </w:tcPr>
          <w:p w14:paraId="517D6F9E">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浮标站</w:t>
            </w:r>
          </w:p>
        </w:tc>
        <w:tc>
          <w:tcPr>
            <w:tcW w:w="3823" w:type="dxa"/>
            <w:tcBorders>
              <w:top w:val="single" w:color="000000" w:sz="4" w:space="0"/>
              <w:left w:val="single" w:color="000000" w:sz="4" w:space="0"/>
              <w:bottom w:val="single" w:color="000000" w:sz="4" w:space="0"/>
              <w:right w:val="single" w:color="000000" w:sz="4" w:space="0"/>
            </w:tcBorders>
            <w:noWrap/>
            <w:vAlign w:val="center"/>
          </w:tcPr>
          <w:p w14:paraId="0BFCD2EB">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化学需氧量、氨氮、酸碱度、电导率、溶解氧、浊度、水温</w:t>
            </w:r>
          </w:p>
        </w:tc>
      </w:tr>
      <w:tr w14:paraId="65621024">
        <w:tblPrEx>
          <w:tblCellMar>
            <w:top w:w="0" w:type="dxa"/>
            <w:left w:w="108" w:type="dxa"/>
            <w:bottom w:w="0" w:type="dxa"/>
            <w:right w:w="108" w:type="dxa"/>
          </w:tblCellMar>
        </w:tblPrEx>
        <w:trPr>
          <w:trHeight w:val="300" w:hRule="atLeast"/>
          <w:jc w:val="center"/>
        </w:trPr>
        <w:tc>
          <w:tcPr>
            <w:tcW w:w="514" w:type="dxa"/>
            <w:tcBorders>
              <w:top w:val="single" w:color="000000" w:sz="4" w:space="0"/>
              <w:left w:val="single" w:color="000000" w:sz="4" w:space="0"/>
              <w:bottom w:val="single" w:color="000000" w:sz="4" w:space="0"/>
              <w:right w:val="single" w:color="000000" w:sz="4" w:space="0"/>
            </w:tcBorders>
            <w:noWrap/>
            <w:vAlign w:val="center"/>
          </w:tcPr>
          <w:p w14:paraId="2BBBB561">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2</w:t>
            </w:r>
          </w:p>
        </w:tc>
        <w:tc>
          <w:tcPr>
            <w:tcW w:w="970" w:type="dxa"/>
            <w:vMerge w:val="continue"/>
            <w:tcBorders>
              <w:top w:val="single" w:color="000000" w:sz="4" w:space="0"/>
              <w:left w:val="single" w:color="000000" w:sz="4" w:space="0"/>
              <w:bottom w:val="single" w:color="000000" w:sz="4" w:space="0"/>
              <w:right w:val="single" w:color="000000" w:sz="4" w:space="0"/>
            </w:tcBorders>
            <w:noWrap/>
            <w:vAlign w:val="center"/>
          </w:tcPr>
          <w:p w14:paraId="55C07C9D">
            <w:pPr>
              <w:widowControl/>
              <w:ind w:firstLine="0" w:firstLineChars="0"/>
              <w:jc w:val="center"/>
              <w:textAlignment w:val="center"/>
              <w:rPr>
                <w:rFonts w:hint="eastAsia" w:ascii="仿宋_GB2312" w:hAnsi="仿宋_GB2312" w:eastAsia="仿宋_GB2312" w:cs="仿宋_GB2312"/>
                <w:color w:val="auto"/>
                <w:kern w:val="0"/>
                <w:sz w:val="22"/>
                <w:szCs w:val="22"/>
                <w:lang w:eastAsia="zh-CN" w:bidi="ar"/>
              </w:rPr>
            </w:pP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04A69A99">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栾城区</w:t>
            </w:r>
          </w:p>
        </w:tc>
        <w:tc>
          <w:tcPr>
            <w:tcW w:w="1503" w:type="dxa"/>
            <w:tcBorders>
              <w:top w:val="single" w:color="000000" w:sz="4" w:space="0"/>
              <w:left w:val="single" w:color="000000" w:sz="4" w:space="0"/>
              <w:bottom w:val="single" w:color="000000" w:sz="4" w:space="0"/>
              <w:right w:val="single" w:color="000000" w:sz="4" w:space="0"/>
            </w:tcBorders>
            <w:noWrap/>
            <w:vAlign w:val="center"/>
          </w:tcPr>
          <w:p w14:paraId="49CC1DA6">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衡井大桥</w:t>
            </w:r>
          </w:p>
        </w:tc>
        <w:tc>
          <w:tcPr>
            <w:tcW w:w="1236" w:type="dxa"/>
            <w:tcBorders>
              <w:top w:val="single" w:color="000000" w:sz="4" w:space="0"/>
              <w:left w:val="single" w:color="000000" w:sz="4" w:space="0"/>
              <w:bottom w:val="single" w:color="000000" w:sz="4" w:space="0"/>
              <w:right w:val="single" w:color="000000" w:sz="4" w:space="0"/>
            </w:tcBorders>
            <w:noWrap/>
            <w:vAlign w:val="center"/>
          </w:tcPr>
          <w:p w14:paraId="4427F742">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浮标站</w:t>
            </w:r>
          </w:p>
        </w:tc>
        <w:tc>
          <w:tcPr>
            <w:tcW w:w="3823" w:type="dxa"/>
            <w:tcBorders>
              <w:top w:val="single" w:color="000000" w:sz="4" w:space="0"/>
              <w:left w:val="single" w:color="000000" w:sz="4" w:space="0"/>
              <w:bottom w:val="single" w:color="000000" w:sz="4" w:space="0"/>
              <w:right w:val="single" w:color="000000" w:sz="4" w:space="0"/>
            </w:tcBorders>
            <w:noWrap/>
            <w:vAlign w:val="center"/>
          </w:tcPr>
          <w:p w14:paraId="49379451">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化学需氧量、氨氮、酸碱度、电导率、溶解氧、浊度、水温</w:t>
            </w:r>
          </w:p>
        </w:tc>
      </w:tr>
      <w:tr w14:paraId="28AB337F">
        <w:tblPrEx>
          <w:tblCellMar>
            <w:top w:w="0" w:type="dxa"/>
            <w:left w:w="108" w:type="dxa"/>
            <w:bottom w:w="0" w:type="dxa"/>
            <w:right w:w="108" w:type="dxa"/>
          </w:tblCellMar>
        </w:tblPrEx>
        <w:trPr>
          <w:trHeight w:val="300" w:hRule="atLeast"/>
          <w:jc w:val="center"/>
        </w:trPr>
        <w:tc>
          <w:tcPr>
            <w:tcW w:w="514" w:type="dxa"/>
            <w:tcBorders>
              <w:top w:val="single" w:color="000000" w:sz="4" w:space="0"/>
              <w:left w:val="single" w:color="000000" w:sz="4" w:space="0"/>
              <w:bottom w:val="single" w:color="000000" w:sz="4" w:space="0"/>
              <w:right w:val="single" w:color="000000" w:sz="4" w:space="0"/>
            </w:tcBorders>
            <w:noWrap/>
            <w:vAlign w:val="center"/>
          </w:tcPr>
          <w:p w14:paraId="0FBDB61A">
            <w:pPr>
              <w:widowControl/>
              <w:ind w:firstLine="0" w:firstLineChars="0"/>
              <w:jc w:val="center"/>
              <w:textAlignment w:val="center"/>
              <w:rPr>
                <w:rFonts w:hint="eastAsia" w:ascii="仿宋_GB2312" w:hAnsi="仿宋_GB2312" w:eastAsia="仿宋_GB2312" w:cs="仿宋_GB2312"/>
                <w:color w:val="auto"/>
                <w:sz w:val="22"/>
                <w:szCs w:val="22"/>
                <w:lang w:val="en-US" w:eastAsia="zh-CN"/>
              </w:rPr>
            </w:pPr>
            <w:r>
              <w:rPr>
                <w:rFonts w:hint="eastAsia" w:ascii="仿宋_GB2312" w:hAnsi="仿宋_GB2312" w:eastAsia="仿宋_GB2312" w:cs="仿宋_GB2312"/>
                <w:color w:val="auto"/>
                <w:kern w:val="0"/>
                <w:sz w:val="22"/>
                <w:szCs w:val="22"/>
                <w:lang w:bidi="ar"/>
              </w:rPr>
              <w:t>3</w:t>
            </w:r>
          </w:p>
        </w:tc>
        <w:tc>
          <w:tcPr>
            <w:tcW w:w="970" w:type="dxa"/>
            <w:vMerge w:val="continue"/>
            <w:tcBorders>
              <w:left w:val="single" w:color="000000" w:sz="4" w:space="0"/>
              <w:right w:val="single" w:color="000000" w:sz="4" w:space="0"/>
            </w:tcBorders>
            <w:noWrap/>
            <w:vAlign w:val="center"/>
          </w:tcPr>
          <w:p w14:paraId="5B891455">
            <w:pPr>
              <w:widowControl/>
              <w:ind w:firstLine="0" w:firstLineChars="0"/>
              <w:jc w:val="center"/>
              <w:textAlignment w:val="center"/>
              <w:rPr>
                <w:rFonts w:hint="eastAsia" w:ascii="仿宋_GB2312" w:hAnsi="仿宋_GB2312" w:eastAsia="仿宋_GB2312" w:cs="仿宋_GB2312"/>
                <w:color w:val="auto"/>
                <w:kern w:val="0"/>
                <w:sz w:val="22"/>
                <w:szCs w:val="22"/>
                <w:lang w:eastAsia="zh-CN" w:bidi="ar"/>
              </w:rPr>
            </w:pP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2BC068F1">
            <w:pPr>
              <w:widowControl/>
              <w:ind w:firstLine="0" w:firstLineChars="0"/>
              <w:jc w:val="center"/>
              <w:textAlignment w:val="center"/>
              <w:rPr>
                <w:rFonts w:ascii="仿宋_GB2312" w:hAnsi="仿宋_GB2312" w:eastAsia="仿宋_GB2312" w:cs="仿宋_GB2312"/>
                <w:color w:val="auto"/>
                <w:sz w:val="22"/>
                <w:szCs w:val="22"/>
              </w:rPr>
            </w:pPr>
            <w:r>
              <w:rPr>
                <w:rStyle w:val="50"/>
                <w:rFonts w:hint="eastAsia" w:ascii="仿宋_GB2312" w:hAnsi="仿宋_GB2312" w:eastAsia="仿宋_GB2312" w:cs="仿宋_GB2312"/>
                <w:strike w:val="0"/>
                <w:dstrike w:val="0"/>
                <w:color w:val="auto"/>
                <w:highlight w:val="none"/>
                <w:lang w:val="en-US" w:eastAsia="zh-CN" w:bidi="ar"/>
              </w:rPr>
              <w:t>栾城区</w:t>
            </w:r>
          </w:p>
        </w:tc>
        <w:tc>
          <w:tcPr>
            <w:tcW w:w="1503" w:type="dxa"/>
            <w:tcBorders>
              <w:top w:val="single" w:color="000000" w:sz="4" w:space="0"/>
              <w:left w:val="single" w:color="000000" w:sz="4" w:space="0"/>
              <w:bottom w:val="single" w:color="000000" w:sz="4" w:space="0"/>
              <w:right w:val="single" w:color="000000" w:sz="4" w:space="0"/>
            </w:tcBorders>
            <w:noWrap/>
            <w:vAlign w:val="center"/>
          </w:tcPr>
          <w:p w14:paraId="4FEA7E7D">
            <w:pPr>
              <w:widowControl/>
              <w:ind w:firstLine="0" w:firstLineChars="0"/>
              <w:jc w:val="center"/>
              <w:textAlignment w:val="center"/>
              <w:rPr>
                <w:rFonts w:ascii="仿宋_GB2312" w:hAnsi="仿宋_GB2312" w:eastAsia="仿宋_GB2312" w:cs="仿宋_GB2312"/>
                <w:color w:val="auto"/>
                <w:sz w:val="22"/>
                <w:szCs w:val="22"/>
              </w:rPr>
            </w:pPr>
            <w:r>
              <w:rPr>
                <w:rStyle w:val="50"/>
                <w:rFonts w:hint="eastAsia" w:ascii="仿宋_GB2312" w:hAnsi="仿宋_GB2312" w:eastAsia="仿宋_GB2312" w:cs="仿宋_GB2312"/>
                <w:strike w:val="0"/>
                <w:dstrike w:val="0"/>
                <w:color w:val="auto"/>
                <w:highlight w:val="none"/>
                <w:lang w:val="en-US" w:eastAsia="zh-CN" w:bidi="ar"/>
              </w:rPr>
              <w:t>龙门桥</w:t>
            </w:r>
          </w:p>
        </w:tc>
        <w:tc>
          <w:tcPr>
            <w:tcW w:w="1236" w:type="dxa"/>
            <w:tcBorders>
              <w:top w:val="single" w:color="000000" w:sz="4" w:space="0"/>
              <w:left w:val="single" w:color="000000" w:sz="4" w:space="0"/>
              <w:bottom w:val="single" w:color="000000" w:sz="4" w:space="0"/>
              <w:right w:val="single" w:color="000000" w:sz="4" w:space="0"/>
            </w:tcBorders>
            <w:noWrap/>
            <w:vAlign w:val="center"/>
          </w:tcPr>
          <w:p w14:paraId="6DD3AAC2">
            <w:pPr>
              <w:widowControl/>
              <w:ind w:firstLine="0" w:firstLineChars="0"/>
              <w:jc w:val="center"/>
              <w:textAlignment w:val="center"/>
              <w:rPr>
                <w:rFonts w:ascii="仿宋_GB2312" w:hAnsi="仿宋_GB2312" w:eastAsia="仿宋_GB2312" w:cs="仿宋_GB2312"/>
                <w:color w:val="auto"/>
                <w:sz w:val="22"/>
                <w:szCs w:val="22"/>
              </w:rPr>
            </w:pPr>
            <w:r>
              <w:rPr>
                <w:rStyle w:val="50"/>
                <w:rFonts w:hint="eastAsia" w:ascii="仿宋_GB2312" w:hAnsi="仿宋_GB2312" w:eastAsia="仿宋_GB2312" w:cs="仿宋_GB2312"/>
                <w:strike w:val="0"/>
                <w:dstrike w:val="0"/>
                <w:color w:val="auto"/>
                <w:highlight w:val="none"/>
                <w:lang w:val="en-US" w:eastAsia="zh-CN" w:bidi="ar"/>
              </w:rPr>
              <w:t>浮标站</w:t>
            </w:r>
          </w:p>
        </w:tc>
        <w:tc>
          <w:tcPr>
            <w:tcW w:w="3823" w:type="dxa"/>
            <w:tcBorders>
              <w:top w:val="single" w:color="000000" w:sz="4" w:space="0"/>
              <w:left w:val="single" w:color="000000" w:sz="4" w:space="0"/>
              <w:bottom w:val="single" w:color="000000" w:sz="4" w:space="0"/>
              <w:right w:val="single" w:color="000000" w:sz="4" w:space="0"/>
            </w:tcBorders>
            <w:noWrap/>
            <w:vAlign w:val="center"/>
          </w:tcPr>
          <w:p w14:paraId="22C2738A">
            <w:pPr>
              <w:widowControl/>
              <w:ind w:firstLine="0" w:firstLineChars="0"/>
              <w:jc w:val="center"/>
              <w:textAlignment w:val="center"/>
              <w:rPr>
                <w:rFonts w:ascii="仿宋_GB2312" w:hAnsi="仿宋_GB2312" w:eastAsia="仿宋_GB2312" w:cs="仿宋_GB2312"/>
                <w:color w:val="auto"/>
                <w:sz w:val="22"/>
                <w:szCs w:val="22"/>
              </w:rPr>
            </w:pPr>
            <w:r>
              <w:rPr>
                <w:rStyle w:val="50"/>
                <w:rFonts w:hint="eastAsia" w:ascii="仿宋_GB2312" w:hAnsi="仿宋_GB2312" w:eastAsia="仿宋_GB2312" w:cs="仿宋_GB2312"/>
                <w:strike w:val="0"/>
                <w:dstrike w:val="0"/>
                <w:color w:val="auto"/>
                <w:highlight w:val="none"/>
                <w:lang w:val="en-US" w:eastAsia="zh-CN" w:bidi="ar"/>
              </w:rPr>
              <w:t>化学需氧量、氨氮、酸碱度、电导率、溶解氧、浊度、水温</w:t>
            </w:r>
          </w:p>
        </w:tc>
      </w:tr>
      <w:tr w14:paraId="1750750A">
        <w:tblPrEx>
          <w:tblCellMar>
            <w:top w:w="0" w:type="dxa"/>
            <w:left w:w="108" w:type="dxa"/>
            <w:bottom w:w="0" w:type="dxa"/>
            <w:right w:w="108" w:type="dxa"/>
          </w:tblCellMar>
        </w:tblPrEx>
        <w:trPr>
          <w:trHeight w:val="300" w:hRule="atLeast"/>
          <w:jc w:val="center"/>
        </w:trPr>
        <w:tc>
          <w:tcPr>
            <w:tcW w:w="514" w:type="dxa"/>
            <w:tcBorders>
              <w:top w:val="single" w:color="000000" w:sz="4" w:space="0"/>
              <w:left w:val="single" w:color="000000" w:sz="4" w:space="0"/>
              <w:bottom w:val="single" w:color="000000" w:sz="4" w:space="0"/>
              <w:right w:val="single" w:color="000000" w:sz="4" w:space="0"/>
            </w:tcBorders>
            <w:noWrap/>
            <w:vAlign w:val="center"/>
          </w:tcPr>
          <w:p w14:paraId="499E72B2">
            <w:pPr>
              <w:widowControl/>
              <w:ind w:firstLine="0" w:firstLineChars="0"/>
              <w:jc w:val="center"/>
              <w:textAlignment w:val="center"/>
              <w:rPr>
                <w:rFonts w:hint="eastAsia" w:ascii="仿宋_GB2312" w:hAnsi="仿宋_GB2312" w:eastAsia="仿宋_GB2312" w:cs="仿宋_GB2312"/>
                <w:color w:val="auto"/>
                <w:sz w:val="22"/>
                <w:szCs w:val="22"/>
                <w:lang w:val="en-US" w:eastAsia="zh-CN"/>
              </w:rPr>
            </w:pPr>
            <w:r>
              <w:rPr>
                <w:rFonts w:hint="eastAsia" w:ascii="仿宋_GB2312" w:hAnsi="仿宋_GB2312" w:eastAsia="仿宋_GB2312" w:cs="仿宋_GB2312"/>
                <w:color w:val="auto"/>
                <w:kern w:val="0"/>
                <w:sz w:val="22"/>
                <w:szCs w:val="22"/>
                <w:lang w:bidi="ar"/>
              </w:rPr>
              <w:t>4</w:t>
            </w:r>
          </w:p>
        </w:tc>
        <w:tc>
          <w:tcPr>
            <w:tcW w:w="970" w:type="dxa"/>
            <w:vMerge w:val="continue"/>
            <w:tcBorders>
              <w:left w:val="single" w:color="000000" w:sz="4" w:space="0"/>
              <w:right w:val="single" w:color="000000" w:sz="4" w:space="0"/>
            </w:tcBorders>
            <w:noWrap/>
            <w:vAlign w:val="center"/>
          </w:tcPr>
          <w:p w14:paraId="39E9FB06">
            <w:pPr>
              <w:widowControl/>
              <w:ind w:firstLine="0" w:firstLineChars="0"/>
              <w:jc w:val="center"/>
              <w:textAlignment w:val="center"/>
              <w:rPr>
                <w:rFonts w:hint="eastAsia" w:ascii="仿宋_GB2312" w:hAnsi="仿宋_GB2312" w:eastAsia="仿宋_GB2312" w:cs="仿宋_GB2312"/>
                <w:color w:val="auto"/>
                <w:kern w:val="0"/>
                <w:sz w:val="22"/>
                <w:szCs w:val="22"/>
                <w:lang w:eastAsia="zh-CN" w:bidi="ar"/>
              </w:rPr>
            </w:pP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222E9448">
            <w:pPr>
              <w:widowControl/>
              <w:ind w:firstLine="0" w:firstLineChars="0"/>
              <w:jc w:val="center"/>
              <w:textAlignment w:val="center"/>
              <w:rPr>
                <w:rFonts w:ascii="仿宋_GB2312" w:hAnsi="仿宋_GB2312" w:eastAsia="仿宋_GB2312" w:cs="仿宋_GB2312"/>
                <w:color w:val="auto"/>
                <w:sz w:val="22"/>
                <w:szCs w:val="22"/>
              </w:rPr>
            </w:pPr>
            <w:r>
              <w:rPr>
                <w:rStyle w:val="50"/>
                <w:rFonts w:hint="eastAsia" w:ascii="仿宋_GB2312" w:hAnsi="仿宋_GB2312" w:eastAsia="仿宋_GB2312" w:cs="仿宋_GB2312"/>
                <w:strike w:val="0"/>
                <w:dstrike w:val="0"/>
                <w:color w:val="auto"/>
                <w:highlight w:val="none"/>
                <w:lang w:val="en-US" w:eastAsia="zh-CN" w:bidi="ar"/>
              </w:rPr>
              <w:t>赵县</w:t>
            </w:r>
          </w:p>
        </w:tc>
        <w:tc>
          <w:tcPr>
            <w:tcW w:w="1503" w:type="dxa"/>
            <w:tcBorders>
              <w:top w:val="single" w:color="000000" w:sz="4" w:space="0"/>
              <w:left w:val="single" w:color="000000" w:sz="4" w:space="0"/>
              <w:bottom w:val="single" w:color="000000" w:sz="4" w:space="0"/>
              <w:right w:val="single" w:color="000000" w:sz="4" w:space="0"/>
            </w:tcBorders>
            <w:noWrap/>
            <w:vAlign w:val="center"/>
          </w:tcPr>
          <w:p w14:paraId="6AFD8416">
            <w:pPr>
              <w:widowControl/>
              <w:ind w:firstLine="0" w:firstLineChars="0"/>
              <w:jc w:val="center"/>
              <w:textAlignment w:val="center"/>
              <w:rPr>
                <w:rFonts w:ascii="仿宋_GB2312" w:hAnsi="仿宋_GB2312" w:eastAsia="仿宋_GB2312" w:cs="仿宋_GB2312"/>
                <w:color w:val="auto"/>
                <w:sz w:val="22"/>
                <w:szCs w:val="22"/>
              </w:rPr>
            </w:pPr>
            <w:r>
              <w:rPr>
                <w:rStyle w:val="50"/>
                <w:rFonts w:hint="eastAsia" w:ascii="仿宋_GB2312" w:hAnsi="仿宋_GB2312" w:eastAsia="仿宋_GB2312" w:cs="仿宋_GB2312"/>
                <w:strike w:val="0"/>
                <w:dstrike w:val="0"/>
                <w:color w:val="auto"/>
                <w:highlight w:val="none"/>
                <w:lang w:val="en-US" w:eastAsia="zh-CN" w:bidi="ar"/>
              </w:rPr>
              <w:t>宋村</w:t>
            </w:r>
          </w:p>
        </w:tc>
        <w:tc>
          <w:tcPr>
            <w:tcW w:w="1236" w:type="dxa"/>
            <w:tcBorders>
              <w:top w:val="single" w:color="000000" w:sz="4" w:space="0"/>
              <w:left w:val="single" w:color="000000" w:sz="4" w:space="0"/>
              <w:bottom w:val="single" w:color="000000" w:sz="4" w:space="0"/>
              <w:right w:val="single" w:color="000000" w:sz="4" w:space="0"/>
            </w:tcBorders>
            <w:noWrap/>
            <w:vAlign w:val="center"/>
          </w:tcPr>
          <w:p w14:paraId="23378621">
            <w:pPr>
              <w:widowControl/>
              <w:ind w:firstLine="0" w:firstLineChars="0"/>
              <w:jc w:val="center"/>
              <w:textAlignment w:val="center"/>
              <w:rPr>
                <w:rFonts w:ascii="仿宋_GB2312" w:hAnsi="仿宋_GB2312" w:eastAsia="仿宋_GB2312" w:cs="仿宋_GB2312"/>
                <w:color w:val="auto"/>
                <w:sz w:val="22"/>
                <w:szCs w:val="22"/>
              </w:rPr>
            </w:pPr>
            <w:r>
              <w:rPr>
                <w:rStyle w:val="50"/>
                <w:rFonts w:hint="eastAsia" w:ascii="仿宋_GB2312" w:hAnsi="仿宋_GB2312" w:eastAsia="仿宋_GB2312" w:cs="仿宋_GB2312"/>
                <w:strike w:val="0"/>
                <w:dstrike w:val="0"/>
                <w:color w:val="auto"/>
                <w:highlight w:val="none"/>
                <w:lang w:val="en-US" w:eastAsia="zh-CN" w:bidi="ar"/>
              </w:rPr>
              <w:t>岸边站</w:t>
            </w:r>
          </w:p>
        </w:tc>
        <w:tc>
          <w:tcPr>
            <w:tcW w:w="3823" w:type="dxa"/>
            <w:tcBorders>
              <w:top w:val="single" w:color="000000" w:sz="4" w:space="0"/>
              <w:left w:val="single" w:color="000000" w:sz="4" w:space="0"/>
              <w:bottom w:val="single" w:color="000000" w:sz="4" w:space="0"/>
              <w:right w:val="single" w:color="000000" w:sz="4" w:space="0"/>
            </w:tcBorders>
            <w:noWrap/>
            <w:vAlign w:val="center"/>
          </w:tcPr>
          <w:p w14:paraId="6EF82284">
            <w:pPr>
              <w:widowControl/>
              <w:ind w:firstLine="0" w:firstLineChars="0"/>
              <w:jc w:val="center"/>
              <w:textAlignment w:val="center"/>
              <w:rPr>
                <w:rFonts w:ascii="仿宋_GB2312" w:hAnsi="仿宋_GB2312" w:eastAsia="仿宋_GB2312" w:cs="仿宋_GB2312"/>
                <w:color w:val="auto"/>
                <w:sz w:val="22"/>
                <w:szCs w:val="22"/>
              </w:rPr>
            </w:pPr>
            <w:r>
              <w:rPr>
                <w:rStyle w:val="50"/>
                <w:rFonts w:hint="eastAsia" w:ascii="仿宋_GB2312" w:hAnsi="仿宋_GB2312" w:eastAsia="仿宋_GB2312" w:cs="仿宋_GB2312"/>
                <w:strike w:val="0"/>
                <w:dstrike w:val="0"/>
                <w:color w:val="auto"/>
                <w:highlight w:val="none"/>
                <w:lang w:val="en-US" w:eastAsia="zh-CN" w:bidi="ar"/>
              </w:rPr>
              <w:t>化学需氧量、氨氮、酸碱度、电导率、溶解氧、浊度、水温、总磷</w:t>
            </w:r>
          </w:p>
        </w:tc>
      </w:tr>
      <w:tr w14:paraId="02B3F821">
        <w:tblPrEx>
          <w:tblCellMar>
            <w:top w:w="0" w:type="dxa"/>
            <w:left w:w="108" w:type="dxa"/>
            <w:bottom w:w="0" w:type="dxa"/>
            <w:right w:w="108" w:type="dxa"/>
          </w:tblCellMar>
        </w:tblPrEx>
        <w:trPr>
          <w:trHeight w:val="300" w:hRule="atLeast"/>
          <w:jc w:val="center"/>
        </w:trPr>
        <w:tc>
          <w:tcPr>
            <w:tcW w:w="514" w:type="dxa"/>
            <w:tcBorders>
              <w:top w:val="single" w:color="000000" w:sz="4" w:space="0"/>
              <w:left w:val="single" w:color="000000" w:sz="4" w:space="0"/>
              <w:bottom w:val="single" w:color="000000" w:sz="4" w:space="0"/>
              <w:right w:val="single" w:color="000000" w:sz="4" w:space="0"/>
            </w:tcBorders>
            <w:noWrap/>
            <w:vAlign w:val="center"/>
          </w:tcPr>
          <w:p w14:paraId="74638F76">
            <w:pPr>
              <w:widowControl/>
              <w:ind w:firstLine="0" w:firstLineChars="0"/>
              <w:jc w:val="center"/>
              <w:textAlignment w:val="center"/>
              <w:rPr>
                <w:rFonts w:hint="eastAsia" w:ascii="仿宋_GB2312" w:hAnsi="仿宋_GB2312" w:eastAsia="仿宋_GB2312" w:cs="仿宋_GB2312"/>
                <w:color w:val="auto"/>
                <w:sz w:val="22"/>
                <w:szCs w:val="22"/>
                <w:lang w:val="en-US" w:eastAsia="zh-CN"/>
              </w:rPr>
            </w:pPr>
            <w:r>
              <w:rPr>
                <w:rFonts w:hint="eastAsia" w:ascii="仿宋_GB2312" w:hAnsi="仿宋_GB2312" w:eastAsia="仿宋_GB2312" w:cs="仿宋_GB2312"/>
                <w:color w:val="auto"/>
                <w:kern w:val="0"/>
                <w:sz w:val="22"/>
                <w:szCs w:val="22"/>
                <w:lang w:bidi="ar"/>
              </w:rPr>
              <w:t>5</w:t>
            </w:r>
          </w:p>
        </w:tc>
        <w:tc>
          <w:tcPr>
            <w:tcW w:w="970" w:type="dxa"/>
            <w:vMerge w:val="continue"/>
            <w:tcBorders>
              <w:left w:val="single" w:color="000000" w:sz="4" w:space="0"/>
              <w:right w:val="single" w:color="000000" w:sz="4" w:space="0"/>
            </w:tcBorders>
            <w:noWrap/>
            <w:vAlign w:val="center"/>
          </w:tcPr>
          <w:p w14:paraId="6E41FECA">
            <w:pPr>
              <w:widowControl/>
              <w:ind w:firstLine="0" w:firstLineChars="0"/>
              <w:jc w:val="center"/>
              <w:textAlignment w:val="center"/>
              <w:rPr>
                <w:rFonts w:hint="eastAsia" w:ascii="仿宋_GB2312" w:hAnsi="仿宋_GB2312" w:eastAsia="仿宋_GB2312" w:cs="仿宋_GB2312"/>
                <w:color w:val="auto"/>
                <w:kern w:val="0"/>
                <w:sz w:val="22"/>
                <w:szCs w:val="22"/>
                <w:lang w:eastAsia="zh-CN" w:bidi="ar"/>
              </w:rPr>
            </w:pP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36E86DCB">
            <w:pPr>
              <w:widowControl/>
              <w:ind w:firstLine="0" w:firstLineChars="0"/>
              <w:jc w:val="center"/>
              <w:textAlignment w:val="center"/>
              <w:rPr>
                <w:rFonts w:ascii="仿宋_GB2312" w:hAnsi="仿宋_GB2312" w:eastAsia="仿宋_GB2312" w:cs="仿宋_GB2312"/>
                <w:color w:val="auto"/>
                <w:sz w:val="22"/>
                <w:szCs w:val="22"/>
              </w:rPr>
            </w:pPr>
            <w:r>
              <w:rPr>
                <w:rStyle w:val="50"/>
                <w:rFonts w:hint="eastAsia" w:ascii="仿宋_GB2312" w:hAnsi="仿宋_GB2312" w:eastAsia="仿宋_GB2312" w:cs="仿宋_GB2312"/>
                <w:strike w:val="0"/>
                <w:dstrike w:val="0"/>
                <w:color w:val="auto"/>
                <w:highlight w:val="none"/>
                <w:lang w:val="en-US" w:eastAsia="zh-CN" w:bidi="ar"/>
              </w:rPr>
              <w:t>赵县</w:t>
            </w:r>
          </w:p>
        </w:tc>
        <w:tc>
          <w:tcPr>
            <w:tcW w:w="1503" w:type="dxa"/>
            <w:tcBorders>
              <w:top w:val="single" w:color="000000" w:sz="4" w:space="0"/>
              <w:left w:val="single" w:color="000000" w:sz="4" w:space="0"/>
              <w:bottom w:val="single" w:color="000000" w:sz="4" w:space="0"/>
              <w:right w:val="single" w:color="000000" w:sz="4" w:space="0"/>
            </w:tcBorders>
            <w:noWrap/>
            <w:vAlign w:val="center"/>
          </w:tcPr>
          <w:p w14:paraId="178128AE">
            <w:pPr>
              <w:widowControl/>
              <w:ind w:firstLine="0" w:firstLineChars="0"/>
              <w:jc w:val="center"/>
              <w:textAlignment w:val="center"/>
              <w:rPr>
                <w:rFonts w:ascii="仿宋_GB2312" w:hAnsi="仿宋_GB2312" w:eastAsia="仿宋_GB2312" w:cs="仿宋_GB2312"/>
                <w:color w:val="auto"/>
                <w:sz w:val="22"/>
                <w:szCs w:val="22"/>
              </w:rPr>
            </w:pPr>
            <w:r>
              <w:rPr>
                <w:rStyle w:val="50"/>
                <w:rFonts w:hint="eastAsia" w:ascii="仿宋_GB2312" w:hAnsi="仿宋_GB2312" w:eastAsia="仿宋_GB2312" w:cs="仿宋_GB2312"/>
                <w:strike w:val="0"/>
                <w:dstrike w:val="0"/>
                <w:color w:val="auto"/>
                <w:highlight w:val="none"/>
                <w:lang w:val="en-US" w:eastAsia="zh-CN" w:bidi="ar"/>
              </w:rPr>
              <w:t>清源</w:t>
            </w:r>
          </w:p>
        </w:tc>
        <w:tc>
          <w:tcPr>
            <w:tcW w:w="1236" w:type="dxa"/>
            <w:tcBorders>
              <w:top w:val="single" w:color="000000" w:sz="4" w:space="0"/>
              <w:left w:val="single" w:color="000000" w:sz="4" w:space="0"/>
              <w:bottom w:val="single" w:color="000000" w:sz="4" w:space="0"/>
              <w:right w:val="single" w:color="000000" w:sz="4" w:space="0"/>
            </w:tcBorders>
            <w:noWrap/>
            <w:vAlign w:val="center"/>
          </w:tcPr>
          <w:p w14:paraId="279AB683">
            <w:pPr>
              <w:widowControl/>
              <w:ind w:firstLine="0" w:firstLineChars="0"/>
              <w:jc w:val="center"/>
              <w:textAlignment w:val="center"/>
              <w:rPr>
                <w:rFonts w:ascii="仿宋_GB2312" w:hAnsi="仿宋_GB2312" w:eastAsia="仿宋_GB2312" w:cs="仿宋_GB2312"/>
                <w:color w:val="auto"/>
                <w:sz w:val="22"/>
                <w:szCs w:val="22"/>
              </w:rPr>
            </w:pPr>
            <w:r>
              <w:rPr>
                <w:rStyle w:val="50"/>
                <w:rFonts w:hint="eastAsia" w:ascii="仿宋_GB2312" w:hAnsi="仿宋_GB2312" w:eastAsia="仿宋_GB2312" w:cs="仿宋_GB2312"/>
                <w:strike w:val="0"/>
                <w:dstrike w:val="0"/>
                <w:color w:val="auto"/>
                <w:highlight w:val="none"/>
                <w:lang w:val="en-US" w:eastAsia="zh-CN" w:bidi="ar"/>
              </w:rPr>
              <w:t>浮标站</w:t>
            </w:r>
          </w:p>
        </w:tc>
        <w:tc>
          <w:tcPr>
            <w:tcW w:w="3823" w:type="dxa"/>
            <w:tcBorders>
              <w:top w:val="single" w:color="000000" w:sz="4" w:space="0"/>
              <w:left w:val="single" w:color="000000" w:sz="4" w:space="0"/>
              <w:bottom w:val="single" w:color="000000" w:sz="4" w:space="0"/>
              <w:right w:val="single" w:color="000000" w:sz="4" w:space="0"/>
            </w:tcBorders>
            <w:noWrap/>
            <w:vAlign w:val="center"/>
          </w:tcPr>
          <w:p w14:paraId="54089E27">
            <w:pPr>
              <w:widowControl/>
              <w:ind w:firstLine="0" w:firstLineChars="0"/>
              <w:jc w:val="center"/>
              <w:textAlignment w:val="center"/>
              <w:rPr>
                <w:rFonts w:ascii="仿宋_GB2312" w:hAnsi="仿宋_GB2312" w:eastAsia="仿宋_GB2312" w:cs="仿宋_GB2312"/>
                <w:color w:val="auto"/>
                <w:sz w:val="22"/>
                <w:szCs w:val="22"/>
              </w:rPr>
            </w:pPr>
            <w:r>
              <w:rPr>
                <w:rStyle w:val="50"/>
                <w:rFonts w:hint="eastAsia" w:ascii="仿宋_GB2312" w:hAnsi="仿宋_GB2312" w:eastAsia="仿宋_GB2312" w:cs="仿宋_GB2312"/>
                <w:strike w:val="0"/>
                <w:dstrike w:val="0"/>
                <w:color w:val="auto"/>
                <w:highlight w:val="none"/>
                <w:lang w:val="en-US" w:eastAsia="zh-CN" w:bidi="ar"/>
              </w:rPr>
              <w:t>化学需氧量、氨氮、酸碱度、电导率、溶解氧、浊度、水温</w:t>
            </w:r>
          </w:p>
        </w:tc>
      </w:tr>
      <w:tr w14:paraId="4CC7D76A">
        <w:tblPrEx>
          <w:tblCellMar>
            <w:top w:w="0" w:type="dxa"/>
            <w:left w:w="108" w:type="dxa"/>
            <w:bottom w:w="0" w:type="dxa"/>
            <w:right w:w="108" w:type="dxa"/>
          </w:tblCellMar>
        </w:tblPrEx>
        <w:trPr>
          <w:trHeight w:val="300" w:hRule="atLeast"/>
          <w:jc w:val="center"/>
        </w:trPr>
        <w:tc>
          <w:tcPr>
            <w:tcW w:w="514" w:type="dxa"/>
            <w:tcBorders>
              <w:top w:val="single" w:color="000000" w:sz="4" w:space="0"/>
              <w:left w:val="single" w:color="000000" w:sz="4" w:space="0"/>
              <w:bottom w:val="single" w:color="000000" w:sz="4" w:space="0"/>
              <w:right w:val="single" w:color="000000" w:sz="4" w:space="0"/>
            </w:tcBorders>
            <w:noWrap/>
            <w:vAlign w:val="center"/>
          </w:tcPr>
          <w:p w14:paraId="4BDD1B11">
            <w:pPr>
              <w:widowControl/>
              <w:ind w:firstLine="0" w:firstLineChars="0"/>
              <w:jc w:val="center"/>
              <w:textAlignment w:val="center"/>
              <w:rPr>
                <w:rFonts w:hint="eastAsia" w:ascii="仿宋_GB2312" w:hAnsi="仿宋_GB2312" w:eastAsia="仿宋_GB2312" w:cs="仿宋_GB2312"/>
                <w:color w:val="auto"/>
                <w:sz w:val="22"/>
                <w:szCs w:val="22"/>
                <w:lang w:val="en-US" w:eastAsia="zh-CN"/>
              </w:rPr>
            </w:pPr>
            <w:r>
              <w:rPr>
                <w:rFonts w:hint="eastAsia" w:ascii="仿宋_GB2312" w:hAnsi="仿宋_GB2312" w:eastAsia="仿宋_GB2312" w:cs="仿宋_GB2312"/>
                <w:color w:val="auto"/>
                <w:kern w:val="0"/>
                <w:sz w:val="22"/>
                <w:szCs w:val="22"/>
                <w:lang w:bidi="ar"/>
              </w:rPr>
              <w:t>6</w:t>
            </w:r>
          </w:p>
        </w:tc>
        <w:tc>
          <w:tcPr>
            <w:tcW w:w="970" w:type="dxa"/>
            <w:vMerge w:val="continue"/>
            <w:tcBorders>
              <w:left w:val="single" w:color="000000" w:sz="4" w:space="0"/>
              <w:right w:val="single" w:color="000000" w:sz="4" w:space="0"/>
            </w:tcBorders>
            <w:noWrap/>
            <w:vAlign w:val="center"/>
          </w:tcPr>
          <w:p w14:paraId="7AF82410">
            <w:pPr>
              <w:widowControl/>
              <w:ind w:firstLine="0" w:firstLineChars="0"/>
              <w:jc w:val="center"/>
              <w:textAlignment w:val="center"/>
              <w:rPr>
                <w:rFonts w:hint="eastAsia" w:ascii="仿宋_GB2312" w:hAnsi="仿宋_GB2312" w:eastAsia="仿宋_GB2312" w:cs="仿宋_GB2312"/>
                <w:color w:val="auto"/>
                <w:kern w:val="0"/>
                <w:sz w:val="22"/>
                <w:szCs w:val="22"/>
                <w:lang w:eastAsia="zh-CN" w:bidi="ar"/>
              </w:rPr>
            </w:pP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5674D26E">
            <w:pPr>
              <w:widowControl/>
              <w:ind w:firstLine="0" w:firstLineChars="0"/>
              <w:jc w:val="center"/>
              <w:textAlignment w:val="center"/>
              <w:rPr>
                <w:rFonts w:ascii="仿宋_GB2312" w:hAnsi="仿宋_GB2312" w:eastAsia="仿宋_GB2312" w:cs="仿宋_GB2312"/>
                <w:color w:val="auto"/>
                <w:sz w:val="22"/>
                <w:szCs w:val="22"/>
              </w:rPr>
            </w:pPr>
            <w:r>
              <w:rPr>
                <w:rStyle w:val="50"/>
                <w:rFonts w:hint="eastAsia" w:ascii="仿宋_GB2312" w:hAnsi="仿宋_GB2312" w:eastAsia="仿宋_GB2312" w:cs="仿宋_GB2312"/>
                <w:strike w:val="0"/>
                <w:dstrike w:val="0"/>
                <w:color w:val="auto"/>
                <w:highlight w:val="none"/>
                <w:lang w:val="en-US" w:eastAsia="zh-CN" w:bidi="ar"/>
              </w:rPr>
              <w:t>赵县</w:t>
            </w:r>
          </w:p>
        </w:tc>
        <w:tc>
          <w:tcPr>
            <w:tcW w:w="1503" w:type="dxa"/>
            <w:tcBorders>
              <w:top w:val="single" w:color="000000" w:sz="4" w:space="0"/>
              <w:left w:val="single" w:color="000000" w:sz="4" w:space="0"/>
              <w:bottom w:val="single" w:color="000000" w:sz="4" w:space="0"/>
              <w:right w:val="single" w:color="000000" w:sz="4" w:space="0"/>
            </w:tcBorders>
            <w:noWrap/>
            <w:vAlign w:val="center"/>
          </w:tcPr>
          <w:p w14:paraId="3E4242AD">
            <w:pPr>
              <w:widowControl/>
              <w:ind w:firstLine="0" w:firstLineChars="0"/>
              <w:jc w:val="center"/>
              <w:textAlignment w:val="center"/>
              <w:rPr>
                <w:rFonts w:ascii="仿宋_GB2312" w:hAnsi="仿宋_GB2312" w:eastAsia="仿宋_GB2312" w:cs="仿宋_GB2312"/>
                <w:color w:val="auto"/>
                <w:sz w:val="22"/>
                <w:szCs w:val="22"/>
              </w:rPr>
            </w:pPr>
            <w:r>
              <w:rPr>
                <w:rStyle w:val="50"/>
                <w:rFonts w:hint="eastAsia" w:ascii="仿宋_GB2312" w:hAnsi="仿宋_GB2312" w:eastAsia="仿宋_GB2312" w:cs="仿宋_GB2312"/>
                <w:strike w:val="0"/>
                <w:dstrike w:val="0"/>
                <w:color w:val="auto"/>
                <w:highlight w:val="none"/>
                <w:lang w:val="en-US" w:eastAsia="zh-CN" w:bidi="ar"/>
              </w:rPr>
              <w:t>大石桥</w:t>
            </w:r>
          </w:p>
        </w:tc>
        <w:tc>
          <w:tcPr>
            <w:tcW w:w="1236" w:type="dxa"/>
            <w:tcBorders>
              <w:top w:val="single" w:color="000000" w:sz="4" w:space="0"/>
              <w:left w:val="single" w:color="000000" w:sz="4" w:space="0"/>
              <w:bottom w:val="single" w:color="000000" w:sz="4" w:space="0"/>
              <w:right w:val="single" w:color="000000" w:sz="4" w:space="0"/>
            </w:tcBorders>
            <w:noWrap/>
            <w:vAlign w:val="center"/>
          </w:tcPr>
          <w:p w14:paraId="216E62FC">
            <w:pPr>
              <w:widowControl/>
              <w:ind w:firstLine="0" w:firstLineChars="0"/>
              <w:jc w:val="center"/>
              <w:textAlignment w:val="center"/>
              <w:rPr>
                <w:rFonts w:ascii="仿宋_GB2312" w:hAnsi="仿宋_GB2312" w:eastAsia="仿宋_GB2312" w:cs="仿宋_GB2312"/>
                <w:color w:val="auto"/>
                <w:sz w:val="22"/>
                <w:szCs w:val="22"/>
              </w:rPr>
            </w:pPr>
            <w:r>
              <w:rPr>
                <w:rStyle w:val="50"/>
                <w:rFonts w:hint="eastAsia" w:ascii="仿宋_GB2312" w:hAnsi="仿宋_GB2312" w:eastAsia="仿宋_GB2312" w:cs="仿宋_GB2312"/>
                <w:strike w:val="0"/>
                <w:dstrike w:val="0"/>
                <w:color w:val="auto"/>
                <w:highlight w:val="none"/>
                <w:lang w:val="en-US" w:eastAsia="zh-CN" w:bidi="ar"/>
              </w:rPr>
              <w:t>浮标站</w:t>
            </w:r>
          </w:p>
        </w:tc>
        <w:tc>
          <w:tcPr>
            <w:tcW w:w="3823" w:type="dxa"/>
            <w:tcBorders>
              <w:top w:val="single" w:color="000000" w:sz="4" w:space="0"/>
              <w:left w:val="single" w:color="000000" w:sz="4" w:space="0"/>
              <w:bottom w:val="single" w:color="000000" w:sz="4" w:space="0"/>
              <w:right w:val="single" w:color="000000" w:sz="4" w:space="0"/>
            </w:tcBorders>
            <w:noWrap/>
            <w:vAlign w:val="center"/>
          </w:tcPr>
          <w:p w14:paraId="50B6F8E4">
            <w:pPr>
              <w:widowControl/>
              <w:ind w:firstLine="0" w:firstLineChars="0"/>
              <w:jc w:val="center"/>
              <w:textAlignment w:val="center"/>
              <w:rPr>
                <w:rFonts w:ascii="仿宋_GB2312" w:hAnsi="仿宋_GB2312" w:eastAsia="仿宋_GB2312" w:cs="仿宋_GB2312"/>
                <w:color w:val="auto"/>
                <w:sz w:val="22"/>
                <w:szCs w:val="22"/>
              </w:rPr>
            </w:pPr>
            <w:r>
              <w:rPr>
                <w:rStyle w:val="50"/>
                <w:rFonts w:hint="eastAsia" w:ascii="仿宋_GB2312" w:hAnsi="仿宋_GB2312" w:eastAsia="仿宋_GB2312" w:cs="仿宋_GB2312"/>
                <w:strike w:val="0"/>
                <w:dstrike w:val="0"/>
                <w:color w:val="auto"/>
                <w:highlight w:val="none"/>
                <w:lang w:val="en-US" w:eastAsia="zh-CN" w:bidi="ar"/>
              </w:rPr>
              <w:t>化学需氧量、氨氮、酸碱度、电导率、溶解氧、浊度、水温</w:t>
            </w:r>
          </w:p>
        </w:tc>
      </w:tr>
      <w:tr w14:paraId="3FCBD4B2">
        <w:tblPrEx>
          <w:tblCellMar>
            <w:top w:w="0" w:type="dxa"/>
            <w:left w:w="108" w:type="dxa"/>
            <w:bottom w:w="0" w:type="dxa"/>
            <w:right w:w="108" w:type="dxa"/>
          </w:tblCellMar>
        </w:tblPrEx>
        <w:trPr>
          <w:trHeight w:val="300" w:hRule="atLeast"/>
          <w:jc w:val="center"/>
        </w:trPr>
        <w:tc>
          <w:tcPr>
            <w:tcW w:w="514" w:type="dxa"/>
            <w:tcBorders>
              <w:top w:val="single" w:color="000000" w:sz="4" w:space="0"/>
              <w:left w:val="single" w:color="000000" w:sz="4" w:space="0"/>
              <w:bottom w:val="single" w:color="auto" w:sz="4" w:space="0"/>
              <w:right w:val="single" w:color="000000" w:sz="4" w:space="0"/>
            </w:tcBorders>
            <w:noWrap/>
            <w:vAlign w:val="center"/>
          </w:tcPr>
          <w:p w14:paraId="198C0004">
            <w:pPr>
              <w:widowControl/>
              <w:ind w:firstLine="0" w:firstLineChars="0"/>
              <w:jc w:val="center"/>
              <w:textAlignment w:val="center"/>
              <w:rPr>
                <w:rFonts w:hint="eastAsia" w:ascii="仿宋_GB2312" w:hAnsi="仿宋_GB2312" w:eastAsia="仿宋_GB2312" w:cs="仿宋_GB2312"/>
                <w:color w:val="auto"/>
                <w:sz w:val="22"/>
                <w:szCs w:val="22"/>
                <w:lang w:val="en-US" w:eastAsia="zh-CN"/>
              </w:rPr>
            </w:pPr>
            <w:r>
              <w:rPr>
                <w:rFonts w:hint="eastAsia" w:ascii="仿宋_GB2312" w:hAnsi="仿宋_GB2312" w:eastAsia="仿宋_GB2312" w:cs="仿宋_GB2312"/>
                <w:color w:val="auto"/>
                <w:kern w:val="0"/>
                <w:sz w:val="22"/>
                <w:szCs w:val="22"/>
                <w:lang w:val="en-US" w:eastAsia="zh-CN" w:bidi="ar"/>
              </w:rPr>
              <w:t>7</w:t>
            </w:r>
          </w:p>
        </w:tc>
        <w:tc>
          <w:tcPr>
            <w:tcW w:w="970" w:type="dxa"/>
            <w:tcBorders>
              <w:left w:val="single" w:color="000000" w:sz="4" w:space="0"/>
              <w:bottom w:val="single" w:color="auto" w:sz="4" w:space="0"/>
              <w:right w:val="single" w:color="000000" w:sz="4" w:space="0"/>
            </w:tcBorders>
            <w:noWrap/>
            <w:vAlign w:val="center"/>
          </w:tcPr>
          <w:p w14:paraId="3FCC17EA">
            <w:pPr>
              <w:widowControl/>
              <w:ind w:firstLine="0" w:firstLineChars="0"/>
              <w:jc w:val="center"/>
              <w:textAlignment w:val="center"/>
              <w:rPr>
                <w:rFonts w:hint="eastAsia"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val="en-US" w:eastAsia="zh-CN" w:bidi="ar"/>
              </w:rPr>
              <w:t>槐河</w:t>
            </w:r>
          </w:p>
          <w:p w14:paraId="351E51F0">
            <w:pPr>
              <w:widowControl/>
              <w:ind w:firstLine="0" w:firstLineChars="0"/>
              <w:jc w:val="center"/>
              <w:textAlignment w:val="center"/>
              <w:rPr>
                <w:rFonts w:hint="eastAsia" w:ascii="仿宋_GB2312" w:hAnsi="仿宋_GB2312" w:eastAsia="仿宋_GB2312" w:cs="仿宋_GB2312"/>
                <w:color w:val="auto"/>
                <w:kern w:val="0"/>
                <w:sz w:val="22"/>
                <w:szCs w:val="22"/>
                <w:lang w:eastAsia="zh-CN" w:bidi="ar"/>
              </w:rPr>
            </w:pPr>
            <w:r>
              <w:rPr>
                <w:rFonts w:hint="eastAsia" w:ascii="仿宋_GB2312" w:hAnsi="仿宋_GB2312" w:eastAsia="仿宋_GB2312" w:cs="仿宋_GB2312"/>
                <w:color w:val="auto"/>
                <w:kern w:val="0"/>
                <w:sz w:val="22"/>
                <w:szCs w:val="22"/>
                <w:lang w:val="en-US" w:eastAsia="zh-CN" w:bidi="ar"/>
              </w:rPr>
              <w:t>（包1）</w:t>
            </w:r>
          </w:p>
        </w:tc>
        <w:tc>
          <w:tcPr>
            <w:tcW w:w="1015" w:type="dxa"/>
            <w:tcBorders>
              <w:top w:val="single" w:color="000000" w:sz="4" w:space="0"/>
              <w:left w:val="single" w:color="000000" w:sz="4" w:space="0"/>
              <w:bottom w:val="single" w:color="auto" w:sz="4" w:space="0"/>
              <w:right w:val="single" w:color="000000" w:sz="4" w:space="0"/>
            </w:tcBorders>
            <w:noWrap/>
            <w:vAlign w:val="center"/>
          </w:tcPr>
          <w:p w14:paraId="7C3F9326">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i w:val="0"/>
                <w:iCs w:val="0"/>
                <w:strike w:val="0"/>
                <w:dstrike w:val="0"/>
                <w:color w:val="auto"/>
                <w:sz w:val="22"/>
                <w:szCs w:val="22"/>
                <w:highlight w:val="none"/>
                <w:u w:val="none"/>
                <w:lang w:val="en-US" w:eastAsia="zh-CN"/>
              </w:rPr>
              <w:t>元氏县</w:t>
            </w:r>
          </w:p>
        </w:tc>
        <w:tc>
          <w:tcPr>
            <w:tcW w:w="1503" w:type="dxa"/>
            <w:tcBorders>
              <w:top w:val="single" w:color="000000" w:sz="4" w:space="0"/>
              <w:left w:val="single" w:color="000000" w:sz="4" w:space="0"/>
              <w:bottom w:val="single" w:color="auto" w:sz="4" w:space="0"/>
              <w:right w:val="single" w:color="000000" w:sz="4" w:space="0"/>
            </w:tcBorders>
            <w:noWrap/>
            <w:vAlign w:val="center"/>
          </w:tcPr>
          <w:p w14:paraId="559875F6">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i w:val="0"/>
                <w:iCs w:val="0"/>
                <w:strike w:val="0"/>
                <w:dstrike w:val="0"/>
                <w:color w:val="auto"/>
                <w:sz w:val="22"/>
                <w:szCs w:val="22"/>
                <w:highlight w:val="none"/>
                <w:u w:val="none"/>
                <w:lang w:val="en-US" w:eastAsia="zh-CN"/>
              </w:rPr>
              <w:t>北岩村</w:t>
            </w:r>
          </w:p>
        </w:tc>
        <w:tc>
          <w:tcPr>
            <w:tcW w:w="1236" w:type="dxa"/>
            <w:tcBorders>
              <w:top w:val="single" w:color="000000" w:sz="4" w:space="0"/>
              <w:left w:val="single" w:color="000000" w:sz="4" w:space="0"/>
              <w:bottom w:val="single" w:color="auto" w:sz="4" w:space="0"/>
              <w:right w:val="single" w:color="000000" w:sz="4" w:space="0"/>
            </w:tcBorders>
            <w:noWrap/>
            <w:vAlign w:val="center"/>
          </w:tcPr>
          <w:p w14:paraId="57D186C5">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strike w:val="0"/>
                <w:dstrike w:val="0"/>
                <w:color w:val="auto"/>
                <w:highlight w:val="none"/>
                <w:lang w:val="en-US" w:eastAsia="zh-CN" w:bidi="ar"/>
              </w:rPr>
              <w:t>浮标站</w:t>
            </w:r>
          </w:p>
        </w:tc>
        <w:tc>
          <w:tcPr>
            <w:tcW w:w="3823" w:type="dxa"/>
            <w:tcBorders>
              <w:top w:val="single" w:color="000000" w:sz="4" w:space="0"/>
              <w:left w:val="single" w:color="000000" w:sz="4" w:space="0"/>
              <w:bottom w:val="single" w:color="auto" w:sz="4" w:space="0"/>
              <w:right w:val="single" w:color="000000" w:sz="4" w:space="0"/>
            </w:tcBorders>
            <w:noWrap/>
            <w:vAlign w:val="center"/>
          </w:tcPr>
          <w:p w14:paraId="772FE132">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i w:val="0"/>
                <w:iCs w:val="0"/>
                <w:strike w:val="0"/>
                <w:dstrike w:val="0"/>
                <w:color w:val="auto"/>
                <w:kern w:val="0"/>
                <w:sz w:val="22"/>
                <w:szCs w:val="22"/>
                <w:highlight w:val="none"/>
                <w:u w:val="none"/>
                <w:lang w:val="en-US" w:eastAsia="zh-CN" w:bidi="ar"/>
              </w:rPr>
              <w:t>化学需氧量、氨氮、酸碱度、电导率、溶解氧、浊度、水温</w:t>
            </w:r>
          </w:p>
        </w:tc>
      </w:tr>
      <w:tr w14:paraId="71992692">
        <w:tblPrEx>
          <w:tblCellMar>
            <w:top w:w="0" w:type="dxa"/>
            <w:left w:w="108" w:type="dxa"/>
            <w:bottom w:w="0" w:type="dxa"/>
            <w:right w:w="108" w:type="dxa"/>
          </w:tblCellMar>
        </w:tblPrEx>
        <w:trPr>
          <w:trHeight w:val="300" w:hRule="atLeast"/>
          <w:jc w:val="center"/>
        </w:trPr>
        <w:tc>
          <w:tcPr>
            <w:tcW w:w="514" w:type="dxa"/>
            <w:tcBorders>
              <w:top w:val="single" w:color="auto" w:sz="4" w:space="0"/>
              <w:left w:val="single" w:color="auto" w:sz="4" w:space="0"/>
              <w:bottom w:val="single" w:color="000000" w:sz="4" w:space="0"/>
              <w:right w:val="single" w:color="000000" w:sz="4" w:space="0"/>
            </w:tcBorders>
            <w:noWrap/>
            <w:vAlign w:val="center"/>
          </w:tcPr>
          <w:p w14:paraId="45961FD2">
            <w:pPr>
              <w:widowControl/>
              <w:ind w:firstLine="0" w:firstLineChars="0"/>
              <w:jc w:val="center"/>
              <w:textAlignment w:val="center"/>
              <w:rPr>
                <w:rFonts w:hint="eastAsia" w:ascii="仿宋_GB2312" w:hAnsi="仿宋_GB2312" w:eastAsia="仿宋_GB2312" w:cs="仿宋_GB2312"/>
                <w:color w:val="auto"/>
                <w:sz w:val="22"/>
                <w:szCs w:val="22"/>
                <w:lang w:val="en-US" w:eastAsia="zh-CN"/>
              </w:rPr>
            </w:pPr>
            <w:r>
              <w:rPr>
                <w:rFonts w:hint="eastAsia" w:ascii="仿宋_GB2312" w:hAnsi="仿宋_GB2312" w:eastAsia="仿宋_GB2312" w:cs="仿宋_GB2312"/>
                <w:color w:val="auto"/>
                <w:kern w:val="0"/>
                <w:sz w:val="22"/>
                <w:szCs w:val="22"/>
                <w:lang w:bidi="ar"/>
              </w:rPr>
              <w:t>8</w:t>
            </w:r>
          </w:p>
        </w:tc>
        <w:tc>
          <w:tcPr>
            <w:tcW w:w="970" w:type="dxa"/>
            <w:vMerge w:val="restart"/>
            <w:tcBorders>
              <w:top w:val="single" w:color="auto" w:sz="4" w:space="0"/>
              <w:left w:val="single" w:color="000000" w:sz="4" w:space="0"/>
              <w:right w:val="single" w:color="000000" w:sz="4" w:space="0"/>
            </w:tcBorders>
            <w:noWrap/>
            <w:vAlign w:val="center"/>
          </w:tcPr>
          <w:p w14:paraId="1369B0B9">
            <w:pPr>
              <w:widowControl/>
              <w:ind w:firstLine="0" w:firstLineChars="0"/>
              <w:jc w:val="center"/>
              <w:textAlignment w:val="center"/>
              <w:rPr>
                <w:rFonts w:hint="eastAsia" w:ascii="仿宋_GB2312" w:hAnsi="仿宋_GB2312" w:eastAsia="仿宋_GB2312" w:cs="仿宋_GB2312"/>
                <w:color w:val="auto"/>
                <w:kern w:val="0"/>
                <w:sz w:val="22"/>
                <w:szCs w:val="22"/>
                <w:lang w:eastAsia="zh-CN" w:bidi="ar"/>
              </w:rPr>
            </w:pPr>
            <w:r>
              <w:rPr>
                <w:rFonts w:hint="default" w:ascii="仿宋_GB2312" w:hAnsi="仿宋_GB2312" w:eastAsia="仿宋_GB2312" w:cs="仿宋_GB2312"/>
                <w:color w:val="auto"/>
                <w:kern w:val="0"/>
                <w:sz w:val="22"/>
                <w:szCs w:val="22"/>
                <w:lang w:eastAsia="zh-CN" w:bidi="ar"/>
              </w:rPr>
              <w:t>汪洋沟</w:t>
            </w:r>
            <w:r>
              <w:rPr>
                <w:rFonts w:hint="eastAsia" w:ascii="仿宋_GB2312" w:hAnsi="仿宋_GB2312" w:eastAsia="仿宋_GB2312" w:cs="仿宋_GB2312"/>
                <w:color w:val="auto"/>
                <w:kern w:val="0"/>
                <w:sz w:val="22"/>
                <w:szCs w:val="22"/>
                <w:lang w:eastAsia="zh-CN" w:bidi="ar"/>
              </w:rPr>
              <w:t>（包</w:t>
            </w:r>
            <w:r>
              <w:rPr>
                <w:rFonts w:hint="eastAsia" w:ascii="仿宋_GB2312" w:hAnsi="仿宋_GB2312" w:eastAsia="仿宋_GB2312" w:cs="仿宋_GB2312"/>
                <w:color w:val="auto"/>
                <w:kern w:val="0"/>
                <w:sz w:val="22"/>
                <w:szCs w:val="22"/>
                <w:lang w:val="en-US" w:eastAsia="zh-CN" w:bidi="ar"/>
              </w:rPr>
              <w:t>1</w:t>
            </w:r>
            <w:r>
              <w:rPr>
                <w:rFonts w:hint="eastAsia" w:ascii="仿宋_GB2312" w:hAnsi="仿宋_GB2312" w:eastAsia="仿宋_GB2312" w:cs="仿宋_GB2312"/>
                <w:color w:val="auto"/>
                <w:kern w:val="0"/>
                <w:sz w:val="22"/>
                <w:szCs w:val="22"/>
                <w:lang w:eastAsia="zh-CN" w:bidi="ar"/>
              </w:rPr>
              <w:t>）</w:t>
            </w:r>
          </w:p>
        </w:tc>
        <w:tc>
          <w:tcPr>
            <w:tcW w:w="1015" w:type="dxa"/>
            <w:tcBorders>
              <w:top w:val="single" w:color="auto" w:sz="4" w:space="0"/>
              <w:left w:val="single" w:color="000000" w:sz="4" w:space="0"/>
              <w:bottom w:val="single" w:color="000000" w:sz="4" w:space="0"/>
              <w:right w:val="single" w:color="000000" w:sz="4" w:space="0"/>
            </w:tcBorders>
            <w:noWrap/>
            <w:vAlign w:val="center"/>
          </w:tcPr>
          <w:p w14:paraId="5C649436">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高新区</w:t>
            </w:r>
          </w:p>
        </w:tc>
        <w:tc>
          <w:tcPr>
            <w:tcW w:w="1503" w:type="dxa"/>
            <w:tcBorders>
              <w:top w:val="single" w:color="auto" w:sz="4" w:space="0"/>
              <w:left w:val="single" w:color="000000" w:sz="4" w:space="0"/>
              <w:bottom w:val="single" w:color="000000" w:sz="4" w:space="0"/>
              <w:right w:val="single" w:color="000000" w:sz="4" w:space="0"/>
            </w:tcBorders>
            <w:noWrap/>
            <w:vAlign w:val="center"/>
          </w:tcPr>
          <w:p w14:paraId="151B2B02">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四方通信</w:t>
            </w:r>
          </w:p>
        </w:tc>
        <w:tc>
          <w:tcPr>
            <w:tcW w:w="1236" w:type="dxa"/>
            <w:tcBorders>
              <w:top w:val="single" w:color="auto" w:sz="4" w:space="0"/>
              <w:left w:val="single" w:color="000000" w:sz="4" w:space="0"/>
              <w:bottom w:val="single" w:color="000000" w:sz="4" w:space="0"/>
              <w:right w:val="single" w:color="000000" w:sz="4" w:space="0"/>
            </w:tcBorders>
            <w:noWrap/>
            <w:vAlign w:val="center"/>
          </w:tcPr>
          <w:p w14:paraId="059FD58C">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岸边站</w:t>
            </w:r>
          </w:p>
        </w:tc>
        <w:tc>
          <w:tcPr>
            <w:tcW w:w="3823" w:type="dxa"/>
            <w:tcBorders>
              <w:top w:val="single" w:color="auto" w:sz="4" w:space="0"/>
              <w:left w:val="single" w:color="000000" w:sz="4" w:space="0"/>
              <w:bottom w:val="single" w:color="000000" w:sz="4" w:space="0"/>
              <w:right w:val="single" w:color="auto" w:sz="4" w:space="0"/>
            </w:tcBorders>
            <w:noWrap/>
            <w:vAlign w:val="center"/>
          </w:tcPr>
          <w:p w14:paraId="46E22B73">
            <w:pPr>
              <w:widowControl/>
              <w:ind w:firstLine="0" w:firstLineChars="0"/>
              <w:jc w:val="center"/>
              <w:textAlignment w:val="center"/>
              <w:rPr>
                <w:rFonts w:ascii="仿宋_GB2312" w:hAnsi="仿宋_GB2312" w:eastAsia="仿宋_GB2312" w:cs="仿宋_GB2312"/>
                <w:color w:val="auto"/>
                <w:sz w:val="22"/>
                <w:szCs w:val="22"/>
              </w:rPr>
            </w:pPr>
            <w:r>
              <w:rPr>
                <w:rStyle w:val="36"/>
                <w:rFonts w:hint="default" w:ascii="仿宋_GB2312" w:hAnsi="仿宋_GB2312" w:eastAsia="仿宋_GB2312" w:cs="仿宋_GB2312"/>
                <w:color w:val="auto"/>
                <w:lang w:bidi="ar"/>
              </w:rPr>
              <w:t>化学需氧量、氨氮、酸碱度、电导率、溶解氧、浊度、水温、</w:t>
            </w:r>
            <w:r>
              <w:rPr>
                <w:rStyle w:val="51"/>
                <w:rFonts w:hint="default" w:ascii="仿宋_GB2312" w:hAnsi="仿宋_GB2312" w:eastAsia="仿宋_GB2312" w:cs="仿宋_GB2312"/>
                <w:color w:val="auto"/>
                <w:lang w:bidi="ar"/>
              </w:rPr>
              <w:t>总磷</w:t>
            </w:r>
          </w:p>
        </w:tc>
      </w:tr>
      <w:tr w14:paraId="613DF41D">
        <w:tblPrEx>
          <w:tblCellMar>
            <w:top w:w="0" w:type="dxa"/>
            <w:left w:w="108" w:type="dxa"/>
            <w:bottom w:w="0" w:type="dxa"/>
            <w:right w:w="108" w:type="dxa"/>
          </w:tblCellMar>
        </w:tblPrEx>
        <w:trPr>
          <w:trHeight w:val="300" w:hRule="atLeast"/>
          <w:jc w:val="center"/>
        </w:trPr>
        <w:tc>
          <w:tcPr>
            <w:tcW w:w="514" w:type="dxa"/>
            <w:tcBorders>
              <w:top w:val="single" w:color="000000" w:sz="4" w:space="0"/>
              <w:left w:val="single" w:color="auto" w:sz="4" w:space="0"/>
              <w:bottom w:val="single" w:color="000000" w:sz="4" w:space="0"/>
              <w:right w:val="single" w:color="000000" w:sz="4" w:space="0"/>
            </w:tcBorders>
            <w:noWrap/>
            <w:vAlign w:val="center"/>
          </w:tcPr>
          <w:p w14:paraId="6F74F381">
            <w:pPr>
              <w:widowControl/>
              <w:ind w:firstLine="0" w:firstLineChars="0"/>
              <w:jc w:val="center"/>
              <w:textAlignment w:val="center"/>
              <w:rPr>
                <w:rFonts w:hint="eastAsia" w:ascii="仿宋_GB2312" w:hAnsi="仿宋_GB2312" w:eastAsia="仿宋_GB2312" w:cs="仿宋_GB2312"/>
                <w:color w:val="auto"/>
                <w:sz w:val="22"/>
                <w:szCs w:val="22"/>
                <w:lang w:val="en-US" w:eastAsia="zh-CN"/>
              </w:rPr>
            </w:pPr>
            <w:r>
              <w:rPr>
                <w:rFonts w:hint="eastAsia" w:ascii="仿宋_GB2312" w:hAnsi="仿宋_GB2312" w:eastAsia="仿宋_GB2312" w:cs="仿宋_GB2312"/>
                <w:color w:val="auto"/>
                <w:kern w:val="0"/>
                <w:sz w:val="22"/>
                <w:szCs w:val="22"/>
                <w:lang w:bidi="ar"/>
              </w:rPr>
              <w:t>9</w:t>
            </w:r>
          </w:p>
        </w:tc>
        <w:tc>
          <w:tcPr>
            <w:tcW w:w="970" w:type="dxa"/>
            <w:vMerge w:val="continue"/>
            <w:tcBorders>
              <w:left w:val="single" w:color="000000" w:sz="4" w:space="0"/>
              <w:right w:val="single" w:color="000000" w:sz="4" w:space="0"/>
            </w:tcBorders>
            <w:noWrap/>
            <w:vAlign w:val="center"/>
          </w:tcPr>
          <w:p w14:paraId="75E26C02">
            <w:pPr>
              <w:ind w:firstLine="0" w:firstLineChars="0"/>
              <w:jc w:val="center"/>
              <w:rPr>
                <w:rFonts w:ascii="仿宋_GB2312" w:hAnsi="仿宋_GB2312" w:eastAsia="仿宋_GB2312" w:cs="仿宋_GB2312"/>
                <w:color w:val="auto"/>
                <w:sz w:val="22"/>
                <w:szCs w:val="22"/>
              </w:rPr>
            </w:pP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0672BC0E">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藁城区</w:t>
            </w:r>
          </w:p>
        </w:tc>
        <w:tc>
          <w:tcPr>
            <w:tcW w:w="1503" w:type="dxa"/>
            <w:tcBorders>
              <w:top w:val="single" w:color="000000" w:sz="4" w:space="0"/>
              <w:left w:val="single" w:color="000000" w:sz="4" w:space="0"/>
              <w:bottom w:val="single" w:color="000000" w:sz="4" w:space="0"/>
              <w:right w:val="single" w:color="000000" w:sz="4" w:space="0"/>
            </w:tcBorders>
            <w:noWrap/>
            <w:vAlign w:val="center"/>
          </w:tcPr>
          <w:p w14:paraId="42F102E8">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南席</w:t>
            </w:r>
          </w:p>
        </w:tc>
        <w:tc>
          <w:tcPr>
            <w:tcW w:w="1236" w:type="dxa"/>
            <w:tcBorders>
              <w:top w:val="single" w:color="000000" w:sz="4" w:space="0"/>
              <w:left w:val="single" w:color="000000" w:sz="4" w:space="0"/>
              <w:bottom w:val="single" w:color="000000" w:sz="4" w:space="0"/>
              <w:right w:val="single" w:color="000000" w:sz="4" w:space="0"/>
            </w:tcBorders>
            <w:noWrap/>
            <w:vAlign w:val="center"/>
          </w:tcPr>
          <w:p w14:paraId="290B2463">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浮标站</w:t>
            </w:r>
          </w:p>
        </w:tc>
        <w:tc>
          <w:tcPr>
            <w:tcW w:w="3823" w:type="dxa"/>
            <w:tcBorders>
              <w:top w:val="single" w:color="000000" w:sz="4" w:space="0"/>
              <w:left w:val="single" w:color="000000" w:sz="4" w:space="0"/>
              <w:bottom w:val="single" w:color="000000" w:sz="4" w:space="0"/>
              <w:right w:val="single" w:color="auto" w:sz="4" w:space="0"/>
            </w:tcBorders>
            <w:noWrap/>
            <w:vAlign w:val="center"/>
          </w:tcPr>
          <w:p w14:paraId="4F975DEB">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化学需氧量、氨氮、酸碱度、电导率、溶解氧、浊度、水温</w:t>
            </w:r>
          </w:p>
        </w:tc>
      </w:tr>
      <w:tr w14:paraId="6D566E90">
        <w:tblPrEx>
          <w:tblCellMar>
            <w:top w:w="0" w:type="dxa"/>
            <w:left w:w="108" w:type="dxa"/>
            <w:bottom w:w="0" w:type="dxa"/>
            <w:right w:w="108" w:type="dxa"/>
          </w:tblCellMar>
        </w:tblPrEx>
        <w:trPr>
          <w:trHeight w:val="300" w:hRule="atLeast"/>
          <w:jc w:val="center"/>
        </w:trPr>
        <w:tc>
          <w:tcPr>
            <w:tcW w:w="514" w:type="dxa"/>
            <w:tcBorders>
              <w:top w:val="single" w:color="000000" w:sz="4" w:space="0"/>
              <w:left w:val="single" w:color="auto" w:sz="4" w:space="0"/>
              <w:bottom w:val="single" w:color="000000" w:sz="4" w:space="0"/>
              <w:right w:val="single" w:color="000000" w:sz="4" w:space="0"/>
            </w:tcBorders>
            <w:noWrap/>
            <w:vAlign w:val="center"/>
          </w:tcPr>
          <w:p w14:paraId="223AF38A">
            <w:pPr>
              <w:widowControl/>
              <w:ind w:firstLine="0" w:firstLineChars="0"/>
              <w:jc w:val="center"/>
              <w:textAlignment w:val="center"/>
              <w:rPr>
                <w:rFonts w:hint="default" w:ascii="仿宋_GB2312" w:hAnsi="仿宋_GB2312" w:eastAsia="仿宋_GB2312" w:cs="仿宋_GB2312"/>
                <w:color w:val="auto"/>
                <w:sz w:val="22"/>
                <w:szCs w:val="22"/>
                <w:lang w:val="en-US" w:eastAsia="zh-CN"/>
              </w:rPr>
            </w:pPr>
            <w:r>
              <w:rPr>
                <w:rFonts w:hint="eastAsia" w:ascii="仿宋_GB2312" w:hAnsi="仿宋_GB2312" w:eastAsia="仿宋_GB2312" w:cs="仿宋_GB2312"/>
                <w:color w:val="auto"/>
                <w:kern w:val="0"/>
                <w:sz w:val="22"/>
                <w:szCs w:val="22"/>
                <w:lang w:bidi="ar"/>
              </w:rPr>
              <w:t>10</w:t>
            </w:r>
          </w:p>
        </w:tc>
        <w:tc>
          <w:tcPr>
            <w:tcW w:w="970" w:type="dxa"/>
            <w:vMerge w:val="continue"/>
            <w:tcBorders>
              <w:left w:val="single" w:color="000000" w:sz="4" w:space="0"/>
              <w:right w:val="single" w:color="000000" w:sz="4" w:space="0"/>
            </w:tcBorders>
            <w:noWrap/>
            <w:vAlign w:val="center"/>
          </w:tcPr>
          <w:p w14:paraId="0926D2BE">
            <w:pPr>
              <w:ind w:firstLine="0" w:firstLineChars="0"/>
              <w:jc w:val="center"/>
              <w:rPr>
                <w:rFonts w:ascii="仿宋_GB2312" w:hAnsi="仿宋_GB2312" w:eastAsia="仿宋_GB2312" w:cs="仿宋_GB2312"/>
                <w:color w:val="auto"/>
                <w:sz w:val="22"/>
                <w:szCs w:val="22"/>
              </w:rPr>
            </w:pP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3C8BE800">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高新区</w:t>
            </w:r>
          </w:p>
        </w:tc>
        <w:tc>
          <w:tcPr>
            <w:tcW w:w="1503" w:type="dxa"/>
            <w:tcBorders>
              <w:top w:val="single" w:color="000000" w:sz="4" w:space="0"/>
              <w:left w:val="single" w:color="000000" w:sz="4" w:space="0"/>
              <w:bottom w:val="single" w:color="000000" w:sz="4" w:space="0"/>
              <w:right w:val="single" w:color="000000" w:sz="4" w:space="0"/>
            </w:tcBorders>
            <w:noWrap/>
            <w:vAlign w:val="center"/>
          </w:tcPr>
          <w:p w14:paraId="3C17C165">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高新区</w:t>
            </w:r>
            <w:r>
              <w:rPr>
                <w:rStyle w:val="39"/>
                <w:rFonts w:hint="eastAsia" w:ascii="仿宋_GB2312" w:hAnsi="仿宋_GB2312" w:eastAsia="仿宋_GB2312" w:cs="仿宋_GB2312"/>
                <w:color w:val="auto"/>
                <w:lang w:bidi="ar"/>
              </w:rPr>
              <w:t>-</w:t>
            </w:r>
            <w:r>
              <w:rPr>
                <w:rStyle w:val="39"/>
                <w:rFonts w:hint="eastAsia" w:ascii="仿宋_GB2312" w:hAnsi="仿宋_GB2312" w:eastAsia="仿宋_GB2312" w:cs="仿宋_GB2312"/>
                <w:color w:val="auto"/>
                <w:lang w:val="en-US" w:eastAsia="zh-CN" w:bidi="ar"/>
              </w:rPr>
              <w:t>丘</w:t>
            </w:r>
            <w:r>
              <w:rPr>
                <w:rStyle w:val="50"/>
                <w:rFonts w:hint="default" w:ascii="仿宋_GB2312" w:hAnsi="仿宋_GB2312" w:eastAsia="仿宋_GB2312" w:cs="仿宋_GB2312"/>
                <w:color w:val="auto"/>
                <w:lang w:bidi="ar"/>
              </w:rPr>
              <w:t>头镇</w:t>
            </w:r>
          </w:p>
        </w:tc>
        <w:tc>
          <w:tcPr>
            <w:tcW w:w="1236" w:type="dxa"/>
            <w:tcBorders>
              <w:top w:val="single" w:color="000000" w:sz="4" w:space="0"/>
              <w:left w:val="single" w:color="000000" w:sz="4" w:space="0"/>
              <w:bottom w:val="single" w:color="000000" w:sz="4" w:space="0"/>
              <w:right w:val="single" w:color="000000" w:sz="4" w:space="0"/>
            </w:tcBorders>
            <w:noWrap/>
            <w:vAlign w:val="center"/>
          </w:tcPr>
          <w:p w14:paraId="4E611BC0">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浮标站</w:t>
            </w:r>
          </w:p>
        </w:tc>
        <w:tc>
          <w:tcPr>
            <w:tcW w:w="3823" w:type="dxa"/>
            <w:tcBorders>
              <w:top w:val="single" w:color="000000" w:sz="4" w:space="0"/>
              <w:left w:val="single" w:color="000000" w:sz="4" w:space="0"/>
              <w:bottom w:val="single" w:color="000000" w:sz="4" w:space="0"/>
              <w:right w:val="single" w:color="auto" w:sz="4" w:space="0"/>
            </w:tcBorders>
            <w:noWrap/>
            <w:vAlign w:val="center"/>
          </w:tcPr>
          <w:p w14:paraId="01A8639A">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化学需氧量、氨氮、酸碱度、电导率、溶解氧、浊度、水温</w:t>
            </w:r>
          </w:p>
        </w:tc>
      </w:tr>
      <w:tr w14:paraId="4D6429CF">
        <w:tblPrEx>
          <w:tblCellMar>
            <w:top w:w="0" w:type="dxa"/>
            <w:left w:w="108" w:type="dxa"/>
            <w:bottom w:w="0" w:type="dxa"/>
            <w:right w:w="108" w:type="dxa"/>
          </w:tblCellMar>
        </w:tblPrEx>
        <w:trPr>
          <w:trHeight w:val="300" w:hRule="atLeast"/>
          <w:jc w:val="center"/>
        </w:trPr>
        <w:tc>
          <w:tcPr>
            <w:tcW w:w="514" w:type="dxa"/>
            <w:tcBorders>
              <w:top w:val="single" w:color="000000" w:sz="4" w:space="0"/>
              <w:left w:val="single" w:color="auto" w:sz="4" w:space="0"/>
              <w:bottom w:val="single" w:color="000000" w:sz="4" w:space="0"/>
              <w:right w:val="single" w:color="000000" w:sz="4" w:space="0"/>
            </w:tcBorders>
            <w:noWrap/>
            <w:vAlign w:val="center"/>
          </w:tcPr>
          <w:p w14:paraId="0EB54CC5">
            <w:pPr>
              <w:widowControl/>
              <w:ind w:firstLine="0" w:firstLineChars="0"/>
              <w:jc w:val="center"/>
              <w:textAlignment w:val="center"/>
              <w:rPr>
                <w:rFonts w:hint="eastAsia" w:ascii="仿宋_GB2312" w:hAnsi="仿宋_GB2312" w:eastAsia="仿宋_GB2312" w:cs="仿宋_GB2312"/>
                <w:color w:val="auto"/>
                <w:sz w:val="22"/>
                <w:szCs w:val="22"/>
                <w:lang w:val="en-US" w:eastAsia="zh-CN"/>
              </w:rPr>
            </w:pPr>
            <w:r>
              <w:rPr>
                <w:rFonts w:hint="eastAsia" w:ascii="仿宋_GB2312" w:hAnsi="仿宋_GB2312" w:eastAsia="仿宋_GB2312" w:cs="仿宋_GB2312"/>
                <w:color w:val="auto"/>
                <w:kern w:val="0"/>
                <w:sz w:val="22"/>
                <w:szCs w:val="22"/>
                <w:lang w:bidi="ar"/>
              </w:rPr>
              <w:t>11</w:t>
            </w:r>
          </w:p>
        </w:tc>
        <w:tc>
          <w:tcPr>
            <w:tcW w:w="970" w:type="dxa"/>
            <w:vMerge w:val="continue"/>
            <w:tcBorders>
              <w:left w:val="single" w:color="000000" w:sz="4" w:space="0"/>
              <w:right w:val="single" w:color="000000" w:sz="4" w:space="0"/>
            </w:tcBorders>
            <w:noWrap/>
            <w:vAlign w:val="center"/>
          </w:tcPr>
          <w:p w14:paraId="7247EDB8">
            <w:pPr>
              <w:ind w:firstLine="0" w:firstLineChars="0"/>
              <w:jc w:val="center"/>
              <w:rPr>
                <w:rFonts w:ascii="仿宋_GB2312" w:hAnsi="仿宋_GB2312" w:eastAsia="仿宋_GB2312" w:cs="仿宋_GB2312"/>
                <w:color w:val="auto"/>
                <w:sz w:val="22"/>
                <w:szCs w:val="22"/>
              </w:rPr>
            </w:pP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41A67F32">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藁城区</w:t>
            </w:r>
          </w:p>
        </w:tc>
        <w:tc>
          <w:tcPr>
            <w:tcW w:w="1503" w:type="dxa"/>
            <w:tcBorders>
              <w:top w:val="single" w:color="000000" w:sz="4" w:space="0"/>
              <w:left w:val="single" w:color="000000" w:sz="4" w:space="0"/>
              <w:bottom w:val="single" w:color="000000" w:sz="4" w:space="0"/>
              <w:right w:val="single" w:color="000000" w:sz="4" w:space="0"/>
            </w:tcBorders>
            <w:noWrap/>
            <w:vAlign w:val="center"/>
          </w:tcPr>
          <w:p w14:paraId="28492362">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土山村桥</w:t>
            </w:r>
          </w:p>
        </w:tc>
        <w:tc>
          <w:tcPr>
            <w:tcW w:w="1236" w:type="dxa"/>
            <w:tcBorders>
              <w:top w:val="single" w:color="000000" w:sz="4" w:space="0"/>
              <w:left w:val="single" w:color="000000" w:sz="4" w:space="0"/>
              <w:bottom w:val="single" w:color="000000" w:sz="4" w:space="0"/>
              <w:right w:val="single" w:color="000000" w:sz="4" w:space="0"/>
            </w:tcBorders>
            <w:noWrap/>
            <w:vAlign w:val="center"/>
          </w:tcPr>
          <w:p w14:paraId="6EE3EF83">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岸边站</w:t>
            </w:r>
          </w:p>
        </w:tc>
        <w:tc>
          <w:tcPr>
            <w:tcW w:w="3823" w:type="dxa"/>
            <w:tcBorders>
              <w:top w:val="single" w:color="000000" w:sz="4" w:space="0"/>
              <w:left w:val="single" w:color="000000" w:sz="4" w:space="0"/>
              <w:bottom w:val="single" w:color="000000" w:sz="4" w:space="0"/>
              <w:right w:val="single" w:color="auto" w:sz="4" w:space="0"/>
            </w:tcBorders>
            <w:noWrap/>
            <w:vAlign w:val="center"/>
          </w:tcPr>
          <w:p w14:paraId="06F41169">
            <w:pPr>
              <w:widowControl/>
              <w:ind w:firstLine="0" w:firstLineChars="0"/>
              <w:jc w:val="center"/>
              <w:textAlignment w:val="center"/>
              <w:rPr>
                <w:rFonts w:ascii="仿宋_GB2312" w:hAnsi="仿宋_GB2312" w:eastAsia="仿宋_GB2312" w:cs="仿宋_GB2312"/>
                <w:color w:val="auto"/>
                <w:sz w:val="22"/>
                <w:szCs w:val="22"/>
              </w:rPr>
            </w:pPr>
            <w:r>
              <w:rPr>
                <w:rStyle w:val="36"/>
                <w:rFonts w:hint="default" w:ascii="仿宋_GB2312" w:hAnsi="仿宋_GB2312" w:eastAsia="仿宋_GB2312" w:cs="仿宋_GB2312"/>
                <w:color w:val="auto"/>
                <w:lang w:bidi="ar"/>
              </w:rPr>
              <w:t>化学需氧量、氨氮、酸碱度、电导率、溶解氧、浊度、水温、</w:t>
            </w:r>
            <w:r>
              <w:rPr>
                <w:rStyle w:val="51"/>
                <w:rFonts w:hint="default" w:ascii="仿宋_GB2312" w:hAnsi="仿宋_GB2312" w:eastAsia="仿宋_GB2312" w:cs="仿宋_GB2312"/>
                <w:color w:val="auto"/>
                <w:lang w:bidi="ar"/>
              </w:rPr>
              <w:t>总磷</w:t>
            </w:r>
          </w:p>
        </w:tc>
      </w:tr>
      <w:tr w14:paraId="24F7746B">
        <w:tblPrEx>
          <w:tblCellMar>
            <w:top w:w="0" w:type="dxa"/>
            <w:left w:w="108" w:type="dxa"/>
            <w:bottom w:w="0" w:type="dxa"/>
            <w:right w:w="108" w:type="dxa"/>
          </w:tblCellMar>
        </w:tblPrEx>
        <w:trPr>
          <w:trHeight w:val="300" w:hRule="atLeast"/>
          <w:jc w:val="center"/>
        </w:trPr>
        <w:tc>
          <w:tcPr>
            <w:tcW w:w="514" w:type="dxa"/>
            <w:tcBorders>
              <w:top w:val="single" w:color="000000" w:sz="4" w:space="0"/>
              <w:left w:val="single" w:color="auto" w:sz="4" w:space="0"/>
              <w:bottom w:val="single" w:color="auto" w:sz="4" w:space="0"/>
              <w:right w:val="single" w:color="000000" w:sz="4" w:space="0"/>
            </w:tcBorders>
            <w:noWrap/>
            <w:vAlign w:val="center"/>
          </w:tcPr>
          <w:p w14:paraId="60E1F64D">
            <w:pPr>
              <w:widowControl/>
              <w:ind w:firstLine="0" w:firstLineChars="0"/>
              <w:jc w:val="center"/>
              <w:textAlignment w:val="center"/>
              <w:rPr>
                <w:rFonts w:hint="eastAsia" w:ascii="仿宋_GB2312" w:hAnsi="仿宋_GB2312" w:eastAsia="仿宋_GB2312" w:cs="仿宋_GB2312"/>
                <w:color w:val="auto"/>
                <w:sz w:val="22"/>
                <w:szCs w:val="22"/>
                <w:lang w:val="en-US" w:eastAsia="zh-CN"/>
              </w:rPr>
            </w:pPr>
            <w:r>
              <w:rPr>
                <w:rFonts w:hint="eastAsia" w:ascii="仿宋_GB2312" w:hAnsi="仿宋_GB2312" w:eastAsia="仿宋_GB2312" w:cs="仿宋_GB2312"/>
                <w:color w:val="auto"/>
                <w:kern w:val="0"/>
                <w:sz w:val="22"/>
                <w:szCs w:val="22"/>
                <w:lang w:bidi="ar"/>
              </w:rPr>
              <w:t>12</w:t>
            </w:r>
          </w:p>
        </w:tc>
        <w:tc>
          <w:tcPr>
            <w:tcW w:w="970" w:type="dxa"/>
            <w:vMerge w:val="continue"/>
            <w:tcBorders>
              <w:left w:val="single" w:color="000000" w:sz="4" w:space="0"/>
              <w:bottom w:val="single" w:color="auto" w:sz="4" w:space="0"/>
              <w:right w:val="single" w:color="000000" w:sz="4" w:space="0"/>
            </w:tcBorders>
            <w:noWrap/>
            <w:vAlign w:val="center"/>
          </w:tcPr>
          <w:p w14:paraId="0CE2A8ED">
            <w:pPr>
              <w:ind w:firstLine="0" w:firstLineChars="0"/>
              <w:jc w:val="center"/>
              <w:rPr>
                <w:rFonts w:ascii="仿宋_GB2312" w:hAnsi="仿宋_GB2312" w:eastAsia="仿宋_GB2312" w:cs="仿宋_GB2312"/>
                <w:color w:val="auto"/>
                <w:sz w:val="22"/>
                <w:szCs w:val="22"/>
              </w:rPr>
            </w:pPr>
          </w:p>
        </w:tc>
        <w:tc>
          <w:tcPr>
            <w:tcW w:w="1015" w:type="dxa"/>
            <w:tcBorders>
              <w:top w:val="single" w:color="000000" w:sz="4" w:space="0"/>
              <w:left w:val="single" w:color="000000" w:sz="4" w:space="0"/>
              <w:bottom w:val="single" w:color="auto" w:sz="4" w:space="0"/>
              <w:right w:val="single" w:color="000000" w:sz="4" w:space="0"/>
            </w:tcBorders>
            <w:noWrap/>
            <w:vAlign w:val="center"/>
          </w:tcPr>
          <w:p w14:paraId="5C76DEFC">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藁城区</w:t>
            </w:r>
          </w:p>
        </w:tc>
        <w:tc>
          <w:tcPr>
            <w:tcW w:w="1503" w:type="dxa"/>
            <w:tcBorders>
              <w:top w:val="single" w:color="000000" w:sz="4" w:space="0"/>
              <w:left w:val="single" w:color="000000" w:sz="4" w:space="0"/>
              <w:bottom w:val="single" w:color="auto" w:sz="4" w:space="0"/>
              <w:right w:val="single" w:color="000000" w:sz="4" w:space="0"/>
            </w:tcBorders>
            <w:noWrap/>
            <w:vAlign w:val="center"/>
          </w:tcPr>
          <w:p w14:paraId="1AE5698A">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屯头岸边站</w:t>
            </w:r>
          </w:p>
        </w:tc>
        <w:tc>
          <w:tcPr>
            <w:tcW w:w="1236" w:type="dxa"/>
            <w:tcBorders>
              <w:top w:val="single" w:color="000000" w:sz="4" w:space="0"/>
              <w:left w:val="single" w:color="000000" w:sz="4" w:space="0"/>
              <w:bottom w:val="single" w:color="auto" w:sz="4" w:space="0"/>
              <w:right w:val="single" w:color="000000" w:sz="4" w:space="0"/>
            </w:tcBorders>
            <w:noWrap/>
            <w:vAlign w:val="center"/>
          </w:tcPr>
          <w:p w14:paraId="135F944C">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岸边站</w:t>
            </w:r>
          </w:p>
        </w:tc>
        <w:tc>
          <w:tcPr>
            <w:tcW w:w="3823" w:type="dxa"/>
            <w:tcBorders>
              <w:top w:val="single" w:color="000000" w:sz="4" w:space="0"/>
              <w:left w:val="single" w:color="000000" w:sz="4" w:space="0"/>
              <w:bottom w:val="single" w:color="auto" w:sz="4" w:space="0"/>
              <w:right w:val="single" w:color="auto" w:sz="4" w:space="0"/>
            </w:tcBorders>
            <w:noWrap/>
            <w:vAlign w:val="center"/>
          </w:tcPr>
          <w:p w14:paraId="5360E2BA">
            <w:pPr>
              <w:widowControl/>
              <w:ind w:firstLine="0" w:firstLineChars="0"/>
              <w:jc w:val="center"/>
              <w:textAlignment w:val="center"/>
              <w:rPr>
                <w:rFonts w:ascii="仿宋_GB2312" w:hAnsi="仿宋_GB2312" w:eastAsia="仿宋_GB2312" w:cs="仿宋_GB2312"/>
                <w:color w:val="auto"/>
                <w:sz w:val="22"/>
                <w:szCs w:val="22"/>
              </w:rPr>
            </w:pPr>
            <w:r>
              <w:rPr>
                <w:rStyle w:val="36"/>
                <w:rFonts w:hint="default" w:ascii="仿宋_GB2312" w:hAnsi="仿宋_GB2312" w:eastAsia="仿宋_GB2312" w:cs="仿宋_GB2312"/>
                <w:color w:val="auto"/>
                <w:lang w:bidi="ar"/>
              </w:rPr>
              <w:t>化学需氧量、氨氮、酸碱度、电导率、溶解氧、浊度、水温、</w:t>
            </w:r>
            <w:r>
              <w:rPr>
                <w:rStyle w:val="51"/>
                <w:rFonts w:hint="default" w:ascii="仿宋_GB2312" w:hAnsi="仿宋_GB2312" w:eastAsia="仿宋_GB2312" w:cs="仿宋_GB2312"/>
                <w:color w:val="auto"/>
                <w:lang w:bidi="ar"/>
              </w:rPr>
              <w:t>总磷</w:t>
            </w:r>
          </w:p>
        </w:tc>
      </w:tr>
      <w:tr w14:paraId="724F913D">
        <w:tblPrEx>
          <w:tblCellMar>
            <w:top w:w="0" w:type="dxa"/>
            <w:left w:w="108" w:type="dxa"/>
            <w:bottom w:w="0" w:type="dxa"/>
            <w:right w:w="108" w:type="dxa"/>
          </w:tblCellMar>
        </w:tblPrEx>
        <w:trPr>
          <w:trHeight w:val="300" w:hRule="atLeast"/>
          <w:jc w:val="center"/>
        </w:trPr>
        <w:tc>
          <w:tcPr>
            <w:tcW w:w="514" w:type="dxa"/>
            <w:tcBorders>
              <w:top w:val="single" w:color="auto" w:sz="4" w:space="0"/>
              <w:left w:val="single" w:color="000000" w:sz="4" w:space="0"/>
              <w:bottom w:val="single" w:color="000000" w:sz="4" w:space="0"/>
              <w:right w:val="single" w:color="000000" w:sz="4" w:space="0"/>
            </w:tcBorders>
            <w:noWrap/>
            <w:vAlign w:val="center"/>
          </w:tcPr>
          <w:p w14:paraId="763B7536">
            <w:pPr>
              <w:widowControl/>
              <w:ind w:firstLine="0" w:firstLineChars="0"/>
              <w:jc w:val="center"/>
              <w:textAlignment w:val="center"/>
              <w:rPr>
                <w:rFonts w:hint="eastAsia" w:ascii="仿宋_GB2312" w:hAnsi="仿宋_GB2312" w:eastAsia="仿宋_GB2312" w:cs="仿宋_GB2312"/>
                <w:color w:val="auto"/>
                <w:sz w:val="22"/>
                <w:szCs w:val="22"/>
                <w:lang w:val="en-US" w:eastAsia="zh-CN"/>
              </w:rPr>
            </w:pPr>
            <w:r>
              <w:rPr>
                <w:rFonts w:hint="eastAsia" w:ascii="仿宋_GB2312" w:hAnsi="仿宋_GB2312" w:eastAsia="仿宋_GB2312" w:cs="仿宋_GB2312"/>
                <w:color w:val="auto"/>
                <w:kern w:val="0"/>
                <w:sz w:val="22"/>
                <w:szCs w:val="22"/>
                <w:lang w:bidi="ar"/>
              </w:rPr>
              <w:t>13</w:t>
            </w:r>
          </w:p>
        </w:tc>
        <w:tc>
          <w:tcPr>
            <w:tcW w:w="970" w:type="dxa"/>
            <w:vMerge w:val="continue"/>
            <w:tcBorders>
              <w:top w:val="single" w:color="auto" w:sz="4" w:space="0"/>
              <w:left w:val="single" w:color="000000" w:sz="4" w:space="0"/>
              <w:right w:val="single" w:color="000000" w:sz="4" w:space="0"/>
            </w:tcBorders>
            <w:noWrap/>
            <w:vAlign w:val="center"/>
          </w:tcPr>
          <w:p w14:paraId="0F583CEE">
            <w:pPr>
              <w:ind w:firstLine="0" w:firstLineChars="0"/>
              <w:jc w:val="center"/>
              <w:rPr>
                <w:rFonts w:ascii="仿宋_GB2312" w:hAnsi="仿宋_GB2312" w:eastAsia="仿宋_GB2312" w:cs="仿宋_GB2312"/>
                <w:color w:val="auto"/>
                <w:sz w:val="22"/>
                <w:szCs w:val="22"/>
              </w:rPr>
            </w:pPr>
          </w:p>
        </w:tc>
        <w:tc>
          <w:tcPr>
            <w:tcW w:w="1015" w:type="dxa"/>
            <w:tcBorders>
              <w:top w:val="single" w:color="auto" w:sz="4" w:space="0"/>
              <w:left w:val="single" w:color="000000" w:sz="4" w:space="0"/>
              <w:bottom w:val="single" w:color="000000" w:sz="4" w:space="0"/>
              <w:right w:val="single" w:color="000000" w:sz="4" w:space="0"/>
            </w:tcBorders>
            <w:noWrap/>
            <w:vAlign w:val="center"/>
          </w:tcPr>
          <w:p w14:paraId="7FA326ED">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藁城区</w:t>
            </w:r>
          </w:p>
        </w:tc>
        <w:tc>
          <w:tcPr>
            <w:tcW w:w="1503" w:type="dxa"/>
            <w:tcBorders>
              <w:top w:val="single" w:color="auto" w:sz="4" w:space="0"/>
              <w:left w:val="single" w:color="000000" w:sz="4" w:space="0"/>
              <w:bottom w:val="single" w:color="000000" w:sz="4" w:space="0"/>
              <w:right w:val="single" w:color="000000" w:sz="4" w:space="0"/>
            </w:tcBorders>
            <w:noWrap/>
            <w:vAlign w:val="center"/>
          </w:tcPr>
          <w:p w14:paraId="0E4F911C">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南古庄</w:t>
            </w:r>
          </w:p>
        </w:tc>
        <w:tc>
          <w:tcPr>
            <w:tcW w:w="1236" w:type="dxa"/>
            <w:tcBorders>
              <w:top w:val="single" w:color="auto" w:sz="4" w:space="0"/>
              <w:left w:val="single" w:color="000000" w:sz="4" w:space="0"/>
              <w:bottom w:val="single" w:color="000000" w:sz="4" w:space="0"/>
              <w:right w:val="single" w:color="000000" w:sz="4" w:space="0"/>
            </w:tcBorders>
            <w:noWrap/>
            <w:vAlign w:val="center"/>
          </w:tcPr>
          <w:p w14:paraId="3A0814F3">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浮标站</w:t>
            </w:r>
          </w:p>
        </w:tc>
        <w:tc>
          <w:tcPr>
            <w:tcW w:w="3823" w:type="dxa"/>
            <w:tcBorders>
              <w:top w:val="single" w:color="auto" w:sz="4" w:space="0"/>
              <w:left w:val="single" w:color="000000" w:sz="4" w:space="0"/>
              <w:bottom w:val="single" w:color="000000" w:sz="4" w:space="0"/>
              <w:right w:val="single" w:color="000000" w:sz="4" w:space="0"/>
            </w:tcBorders>
            <w:noWrap/>
            <w:vAlign w:val="center"/>
          </w:tcPr>
          <w:p w14:paraId="064EF0D9">
            <w:pPr>
              <w:widowControl/>
              <w:ind w:firstLine="0" w:firstLineChars="0"/>
              <w:jc w:val="center"/>
              <w:textAlignment w:val="center"/>
              <w:rPr>
                <w:rFonts w:ascii="仿宋_GB2312" w:hAnsi="仿宋_GB2312" w:eastAsia="仿宋_GB2312" w:cs="仿宋_GB2312"/>
                <w:color w:val="auto"/>
                <w:sz w:val="22"/>
                <w:szCs w:val="22"/>
              </w:rPr>
            </w:pPr>
            <w:r>
              <w:rPr>
                <w:rStyle w:val="36"/>
                <w:rFonts w:hint="default" w:ascii="仿宋_GB2312" w:hAnsi="仿宋_GB2312" w:eastAsia="仿宋_GB2312" w:cs="仿宋_GB2312"/>
                <w:color w:val="auto"/>
                <w:lang w:bidi="ar"/>
              </w:rPr>
              <w:t>化学需氧量、氨氮、酸碱度、电导率、溶解氧、浊度、水温</w:t>
            </w:r>
          </w:p>
        </w:tc>
      </w:tr>
      <w:tr w14:paraId="3FF48E45">
        <w:tblPrEx>
          <w:tblCellMar>
            <w:top w:w="0" w:type="dxa"/>
            <w:left w:w="108" w:type="dxa"/>
            <w:bottom w:w="0" w:type="dxa"/>
            <w:right w:w="108" w:type="dxa"/>
          </w:tblCellMar>
        </w:tblPrEx>
        <w:trPr>
          <w:trHeight w:val="300" w:hRule="atLeast"/>
          <w:jc w:val="center"/>
        </w:trPr>
        <w:tc>
          <w:tcPr>
            <w:tcW w:w="514" w:type="dxa"/>
            <w:tcBorders>
              <w:top w:val="single" w:color="000000" w:sz="4" w:space="0"/>
              <w:left w:val="single" w:color="000000" w:sz="4" w:space="0"/>
              <w:bottom w:val="single" w:color="000000" w:sz="4" w:space="0"/>
              <w:right w:val="single" w:color="000000" w:sz="4" w:space="0"/>
            </w:tcBorders>
            <w:noWrap/>
            <w:vAlign w:val="center"/>
          </w:tcPr>
          <w:p w14:paraId="135DF0C0">
            <w:pPr>
              <w:widowControl/>
              <w:ind w:firstLine="0" w:firstLineChars="0"/>
              <w:jc w:val="center"/>
              <w:textAlignment w:val="center"/>
              <w:rPr>
                <w:rFonts w:hint="eastAsia" w:ascii="仿宋_GB2312" w:hAnsi="仿宋_GB2312" w:eastAsia="仿宋_GB2312" w:cs="仿宋_GB2312"/>
                <w:color w:val="auto"/>
                <w:sz w:val="22"/>
                <w:szCs w:val="22"/>
                <w:lang w:val="en-US" w:eastAsia="zh-CN"/>
              </w:rPr>
            </w:pPr>
            <w:r>
              <w:rPr>
                <w:rFonts w:hint="eastAsia" w:ascii="仿宋_GB2312" w:hAnsi="仿宋_GB2312" w:eastAsia="仿宋_GB2312" w:cs="仿宋_GB2312"/>
                <w:color w:val="auto"/>
                <w:kern w:val="0"/>
                <w:sz w:val="22"/>
                <w:szCs w:val="22"/>
                <w:lang w:bidi="ar"/>
              </w:rPr>
              <w:t>14</w:t>
            </w:r>
          </w:p>
        </w:tc>
        <w:tc>
          <w:tcPr>
            <w:tcW w:w="970" w:type="dxa"/>
            <w:vMerge w:val="continue"/>
            <w:tcBorders>
              <w:left w:val="single" w:color="000000" w:sz="4" w:space="0"/>
              <w:right w:val="single" w:color="000000" w:sz="4" w:space="0"/>
            </w:tcBorders>
            <w:noWrap/>
            <w:vAlign w:val="center"/>
          </w:tcPr>
          <w:p w14:paraId="22ACF29A">
            <w:pPr>
              <w:ind w:firstLine="0" w:firstLineChars="0"/>
              <w:jc w:val="center"/>
              <w:rPr>
                <w:rFonts w:ascii="仿宋_GB2312" w:hAnsi="仿宋_GB2312" w:eastAsia="仿宋_GB2312" w:cs="仿宋_GB2312"/>
                <w:color w:val="auto"/>
                <w:sz w:val="22"/>
                <w:szCs w:val="22"/>
              </w:rPr>
            </w:pP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0D9C1092">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赵县</w:t>
            </w:r>
          </w:p>
        </w:tc>
        <w:tc>
          <w:tcPr>
            <w:tcW w:w="1503" w:type="dxa"/>
            <w:tcBorders>
              <w:top w:val="single" w:color="000000" w:sz="4" w:space="0"/>
              <w:left w:val="single" w:color="000000" w:sz="4" w:space="0"/>
              <w:bottom w:val="single" w:color="000000" w:sz="4" w:space="0"/>
              <w:right w:val="single" w:color="000000" w:sz="4" w:space="0"/>
            </w:tcBorders>
            <w:noWrap/>
            <w:vAlign w:val="center"/>
          </w:tcPr>
          <w:p w14:paraId="779F7908">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常信村</w:t>
            </w:r>
          </w:p>
        </w:tc>
        <w:tc>
          <w:tcPr>
            <w:tcW w:w="1236" w:type="dxa"/>
            <w:tcBorders>
              <w:top w:val="single" w:color="000000" w:sz="4" w:space="0"/>
              <w:left w:val="single" w:color="000000" w:sz="4" w:space="0"/>
              <w:bottom w:val="single" w:color="000000" w:sz="4" w:space="0"/>
              <w:right w:val="single" w:color="000000" w:sz="4" w:space="0"/>
            </w:tcBorders>
            <w:noWrap/>
            <w:vAlign w:val="center"/>
          </w:tcPr>
          <w:p w14:paraId="2C5FDE53">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浮标站</w:t>
            </w:r>
          </w:p>
        </w:tc>
        <w:tc>
          <w:tcPr>
            <w:tcW w:w="3823" w:type="dxa"/>
            <w:tcBorders>
              <w:top w:val="single" w:color="000000" w:sz="4" w:space="0"/>
              <w:left w:val="single" w:color="000000" w:sz="4" w:space="0"/>
              <w:bottom w:val="single" w:color="000000" w:sz="4" w:space="0"/>
              <w:right w:val="single" w:color="000000" w:sz="4" w:space="0"/>
            </w:tcBorders>
            <w:noWrap/>
            <w:vAlign w:val="center"/>
          </w:tcPr>
          <w:p w14:paraId="78E01107">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化学需氧量、氨氮、酸碱度、电导率、溶解氧、浊度、水温</w:t>
            </w:r>
          </w:p>
        </w:tc>
      </w:tr>
      <w:tr w14:paraId="26A17472">
        <w:tblPrEx>
          <w:tblCellMar>
            <w:top w:w="0" w:type="dxa"/>
            <w:left w:w="108" w:type="dxa"/>
            <w:bottom w:w="0" w:type="dxa"/>
            <w:right w:w="108" w:type="dxa"/>
          </w:tblCellMar>
        </w:tblPrEx>
        <w:trPr>
          <w:trHeight w:val="300" w:hRule="atLeast"/>
          <w:jc w:val="center"/>
        </w:trPr>
        <w:tc>
          <w:tcPr>
            <w:tcW w:w="514" w:type="dxa"/>
            <w:tcBorders>
              <w:top w:val="single" w:color="000000" w:sz="4" w:space="0"/>
              <w:left w:val="single" w:color="000000" w:sz="4" w:space="0"/>
              <w:bottom w:val="single" w:color="000000" w:sz="4" w:space="0"/>
              <w:right w:val="single" w:color="000000" w:sz="4" w:space="0"/>
            </w:tcBorders>
            <w:noWrap/>
            <w:vAlign w:val="center"/>
          </w:tcPr>
          <w:p w14:paraId="43CF901C">
            <w:pPr>
              <w:widowControl/>
              <w:ind w:firstLine="0" w:firstLineChars="0"/>
              <w:jc w:val="center"/>
              <w:textAlignment w:val="center"/>
              <w:rPr>
                <w:rFonts w:hint="eastAsia" w:ascii="仿宋_GB2312" w:hAnsi="仿宋_GB2312" w:eastAsia="仿宋_GB2312" w:cs="仿宋_GB2312"/>
                <w:color w:val="auto"/>
                <w:sz w:val="22"/>
                <w:szCs w:val="22"/>
                <w:lang w:val="en-US" w:eastAsia="zh-CN"/>
              </w:rPr>
            </w:pPr>
            <w:r>
              <w:rPr>
                <w:rFonts w:hint="eastAsia" w:ascii="仿宋_GB2312" w:hAnsi="仿宋_GB2312" w:eastAsia="仿宋_GB2312" w:cs="仿宋_GB2312"/>
                <w:color w:val="auto"/>
                <w:kern w:val="0"/>
                <w:sz w:val="22"/>
                <w:szCs w:val="22"/>
                <w:lang w:bidi="ar"/>
              </w:rPr>
              <w:t>15</w:t>
            </w:r>
          </w:p>
        </w:tc>
        <w:tc>
          <w:tcPr>
            <w:tcW w:w="970" w:type="dxa"/>
            <w:vMerge w:val="continue"/>
            <w:tcBorders>
              <w:left w:val="single" w:color="000000" w:sz="4" w:space="0"/>
              <w:right w:val="single" w:color="000000" w:sz="4" w:space="0"/>
            </w:tcBorders>
            <w:noWrap/>
            <w:vAlign w:val="center"/>
          </w:tcPr>
          <w:p w14:paraId="4ED81EA7">
            <w:pPr>
              <w:ind w:firstLine="0" w:firstLineChars="0"/>
              <w:jc w:val="center"/>
              <w:rPr>
                <w:rFonts w:ascii="仿宋_GB2312" w:hAnsi="仿宋_GB2312" w:eastAsia="仿宋_GB2312" w:cs="仿宋_GB2312"/>
                <w:color w:val="auto"/>
                <w:sz w:val="22"/>
                <w:szCs w:val="22"/>
              </w:rPr>
            </w:pP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09822EB9">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赵县</w:t>
            </w:r>
          </w:p>
        </w:tc>
        <w:tc>
          <w:tcPr>
            <w:tcW w:w="1503" w:type="dxa"/>
            <w:tcBorders>
              <w:top w:val="single" w:color="000000" w:sz="4" w:space="0"/>
              <w:left w:val="single" w:color="000000" w:sz="4" w:space="0"/>
              <w:bottom w:val="single" w:color="000000" w:sz="4" w:space="0"/>
              <w:right w:val="single" w:color="000000" w:sz="4" w:space="0"/>
            </w:tcBorders>
            <w:noWrap/>
            <w:vAlign w:val="center"/>
          </w:tcPr>
          <w:p w14:paraId="093803C6">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南柏舍</w:t>
            </w:r>
          </w:p>
        </w:tc>
        <w:tc>
          <w:tcPr>
            <w:tcW w:w="1236" w:type="dxa"/>
            <w:tcBorders>
              <w:top w:val="single" w:color="000000" w:sz="4" w:space="0"/>
              <w:left w:val="single" w:color="000000" w:sz="4" w:space="0"/>
              <w:bottom w:val="single" w:color="000000" w:sz="4" w:space="0"/>
              <w:right w:val="single" w:color="000000" w:sz="4" w:space="0"/>
            </w:tcBorders>
            <w:noWrap/>
            <w:vAlign w:val="center"/>
          </w:tcPr>
          <w:p w14:paraId="0A9ABF66">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浮标站</w:t>
            </w:r>
          </w:p>
        </w:tc>
        <w:tc>
          <w:tcPr>
            <w:tcW w:w="3823" w:type="dxa"/>
            <w:tcBorders>
              <w:top w:val="single" w:color="000000" w:sz="4" w:space="0"/>
              <w:left w:val="single" w:color="000000" w:sz="4" w:space="0"/>
              <w:bottom w:val="single" w:color="000000" w:sz="4" w:space="0"/>
              <w:right w:val="single" w:color="000000" w:sz="4" w:space="0"/>
            </w:tcBorders>
            <w:noWrap/>
            <w:vAlign w:val="center"/>
          </w:tcPr>
          <w:p w14:paraId="279AC06C">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化学需氧量、氨氮、酸碱度、电导率、溶解氧、浊度、水温</w:t>
            </w:r>
          </w:p>
        </w:tc>
      </w:tr>
      <w:tr w14:paraId="3AB35CE8">
        <w:tblPrEx>
          <w:tblCellMar>
            <w:top w:w="0" w:type="dxa"/>
            <w:left w:w="108" w:type="dxa"/>
            <w:bottom w:w="0" w:type="dxa"/>
            <w:right w:w="108" w:type="dxa"/>
          </w:tblCellMar>
        </w:tblPrEx>
        <w:trPr>
          <w:trHeight w:val="300" w:hRule="atLeast"/>
          <w:jc w:val="center"/>
        </w:trPr>
        <w:tc>
          <w:tcPr>
            <w:tcW w:w="514" w:type="dxa"/>
            <w:tcBorders>
              <w:top w:val="single" w:color="000000" w:sz="4" w:space="0"/>
              <w:left w:val="single" w:color="000000" w:sz="4" w:space="0"/>
              <w:bottom w:val="single" w:color="000000" w:sz="4" w:space="0"/>
              <w:right w:val="single" w:color="000000" w:sz="4" w:space="0"/>
            </w:tcBorders>
            <w:noWrap/>
            <w:vAlign w:val="center"/>
          </w:tcPr>
          <w:p w14:paraId="7DFE71A6">
            <w:pPr>
              <w:widowControl/>
              <w:ind w:firstLine="0" w:firstLineChars="0"/>
              <w:jc w:val="center"/>
              <w:textAlignment w:val="center"/>
              <w:rPr>
                <w:rFonts w:hint="eastAsia" w:ascii="仿宋_GB2312" w:hAnsi="仿宋_GB2312" w:eastAsia="仿宋_GB2312" w:cs="仿宋_GB2312"/>
                <w:color w:val="auto"/>
                <w:sz w:val="22"/>
                <w:szCs w:val="22"/>
                <w:lang w:val="en-US" w:eastAsia="zh-CN"/>
              </w:rPr>
            </w:pPr>
            <w:r>
              <w:rPr>
                <w:rFonts w:hint="eastAsia" w:ascii="仿宋_GB2312" w:hAnsi="仿宋_GB2312" w:eastAsia="仿宋_GB2312" w:cs="仿宋_GB2312"/>
                <w:color w:val="auto"/>
                <w:kern w:val="0"/>
                <w:sz w:val="22"/>
                <w:szCs w:val="22"/>
                <w:lang w:bidi="ar"/>
              </w:rPr>
              <w:t>16</w:t>
            </w:r>
          </w:p>
        </w:tc>
        <w:tc>
          <w:tcPr>
            <w:tcW w:w="970" w:type="dxa"/>
            <w:vMerge w:val="continue"/>
            <w:tcBorders>
              <w:left w:val="single" w:color="000000" w:sz="4" w:space="0"/>
              <w:right w:val="single" w:color="000000" w:sz="4" w:space="0"/>
            </w:tcBorders>
            <w:noWrap/>
            <w:vAlign w:val="center"/>
          </w:tcPr>
          <w:p w14:paraId="40935440">
            <w:pPr>
              <w:ind w:firstLine="0" w:firstLineChars="0"/>
              <w:jc w:val="center"/>
              <w:rPr>
                <w:rFonts w:ascii="仿宋_GB2312" w:hAnsi="仿宋_GB2312" w:eastAsia="仿宋_GB2312" w:cs="仿宋_GB2312"/>
                <w:color w:val="auto"/>
                <w:sz w:val="22"/>
                <w:szCs w:val="22"/>
              </w:rPr>
            </w:pP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7126D640">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赵县</w:t>
            </w:r>
          </w:p>
        </w:tc>
        <w:tc>
          <w:tcPr>
            <w:tcW w:w="1503" w:type="dxa"/>
            <w:tcBorders>
              <w:top w:val="single" w:color="000000" w:sz="4" w:space="0"/>
              <w:left w:val="single" w:color="000000" w:sz="4" w:space="0"/>
              <w:bottom w:val="single" w:color="000000" w:sz="4" w:space="0"/>
              <w:right w:val="single" w:color="000000" w:sz="4" w:space="0"/>
            </w:tcBorders>
            <w:noWrap/>
            <w:vAlign w:val="center"/>
          </w:tcPr>
          <w:p w14:paraId="0F2AF14A">
            <w:pPr>
              <w:widowControl/>
              <w:ind w:firstLine="0" w:firstLineChars="0"/>
              <w:jc w:val="center"/>
              <w:textAlignment w:val="center"/>
              <w:rPr>
                <w:rFonts w:ascii="仿宋_GB2312" w:hAnsi="仿宋_GB2312" w:eastAsia="仿宋_GB2312" w:cs="仿宋_GB2312"/>
                <w:color w:val="auto"/>
                <w:sz w:val="22"/>
                <w:szCs w:val="22"/>
              </w:rPr>
            </w:pPr>
            <w:r>
              <w:rPr>
                <w:rStyle w:val="50"/>
                <w:rFonts w:hint="eastAsia" w:ascii="仿宋_GB2312" w:hAnsi="仿宋_GB2312" w:eastAsia="仿宋_GB2312" w:cs="仿宋_GB2312"/>
                <w:color w:val="auto"/>
                <w:lang w:val="en-US" w:eastAsia="zh-CN" w:bidi="ar"/>
              </w:rPr>
              <w:t>高庄</w:t>
            </w:r>
            <w:r>
              <w:rPr>
                <w:rStyle w:val="50"/>
                <w:rFonts w:hint="default" w:ascii="仿宋_GB2312" w:hAnsi="仿宋_GB2312" w:eastAsia="仿宋_GB2312" w:cs="仿宋_GB2312"/>
                <w:color w:val="auto"/>
                <w:lang w:bidi="ar"/>
              </w:rPr>
              <w:t>岸边站</w:t>
            </w:r>
          </w:p>
        </w:tc>
        <w:tc>
          <w:tcPr>
            <w:tcW w:w="1236" w:type="dxa"/>
            <w:tcBorders>
              <w:top w:val="single" w:color="000000" w:sz="4" w:space="0"/>
              <w:left w:val="single" w:color="000000" w:sz="4" w:space="0"/>
              <w:bottom w:val="single" w:color="000000" w:sz="4" w:space="0"/>
              <w:right w:val="single" w:color="000000" w:sz="4" w:space="0"/>
            </w:tcBorders>
            <w:noWrap/>
            <w:vAlign w:val="center"/>
          </w:tcPr>
          <w:p w14:paraId="68D6B451">
            <w:pPr>
              <w:widowControl/>
              <w:ind w:firstLine="0" w:firstLineChars="0"/>
              <w:jc w:val="center"/>
              <w:textAlignment w:val="center"/>
              <w:rPr>
                <w:rFonts w:ascii="仿宋_GB2312" w:hAnsi="仿宋_GB2312" w:eastAsia="仿宋_GB2312" w:cs="仿宋_GB2312"/>
                <w:color w:val="auto"/>
                <w:sz w:val="22"/>
                <w:szCs w:val="22"/>
              </w:rPr>
            </w:pPr>
            <w:r>
              <w:rPr>
                <w:rStyle w:val="50"/>
                <w:rFonts w:hint="default" w:ascii="仿宋_GB2312" w:hAnsi="仿宋_GB2312" w:eastAsia="仿宋_GB2312" w:cs="仿宋_GB2312"/>
                <w:color w:val="auto"/>
                <w:lang w:bidi="ar"/>
              </w:rPr>
              <w:t>岸边站</w:t>
            </w:r>
          </w:p>
        </w:tc>
        <w:tc>
          <w:tcPr>
            <w:tcW w:w="3823" w:type="dxa"/>
            <w:tcBorders>
              <w:top w:val="single" w:color="000000" w:sz="4" w:space="0"/>
              <w:left w:val="single" w:color="000000" w:sz="4" w:space="0"/>
              <w:bottom w:val="single" w:color="000000" w:sz="4" w:space="0"/>
              <w:right w:val="single" w:color="000000" w:sz="4" w:space="0"/>
            </w:tcBorders>
            <w:noWrap/>
            <w:vAlign w:val="center"/>
          </w:tcPr>
          <w:p w14:paraId="2A5B54B5">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化学需氧量、氨氮、酸碱度、电导率、溶解氧、浊度、水温、总磷</w:t>
            </w:r>
          </w:p>
        </w:tc>
      </w:tr>
      <w:tr w14:paraId="6DBCB29F">
        <w:tblPrEx>
          <w:tblCellMar>
            <w:top w:w="0" w:type="dxa"/>
            <w:left w:w="108" w:type="dxa"/>
            <w:bottom w:w="0" w:type="dxa"/>
            <w:right w:w="108" w:type="dxa"/>
          </w:tblCellMar>
        </w:tblPrEx>
        <w:trPr>
          <w:trHeight w:val="300" w:hRule="atLeast"/>
          <w:jc w:val="center"/>
        </w:trPr>
        <w:tc>
          <w:tcPr>
            <w:tcW w:w="514" w:type="dxa"/>
            <w:tcBorders>
              <w:top w:val="single" w:color="000000" w:sz="4" w:space="0"/>
              <w:left w:val="single" w:color="000000" w:sz="4" w:space="0"/>
              <w:bottom w:val="single" w:color="000000" w:sz="4" w:space="0"/>
              <w:right w:val="single" w:color="000000" w:sz="4" w:space="0"/>
            </w:tcBorders>
            <w:noWrap/>
            <w:vAlign w:val="center"/>
          </w:tcPr>
          <w:p w14:paraId="54A0F59D">
            <w:pPr>
              <w:widowControl/>
              <w:ind w:firstLine="0" w:firstLineChars="0"/>
              <w:jc w:val="center"/>
              <w:textAlignment w:val="center"/>
              <w:rPr>
                <w:rFonts w:hint="default" w:ascii="仿宋_GB2312" w:hAnsi="仿宋_GB2312" w:eastAsia="仿宋_GB2312" w:cs="仿宋_GB2312"/>
                <w:color w:val="auto"/>
                <w:sz w:val="22"/>
                <w:szCs w:val="22"/>
                <w:lang w:val="en-US" w:eastAsia="zh-CN"/>
              </w:rPr>
            </w:pPr>
            <w:r>
              <w:rPr>
                <w:rFonts w:hint="eastAsia" w:ascii="仿宋_GB2312" w:hAnsi="仿宋_GB2312" w:eastAsia="仿宋_GB2312" w:cs="仿宋_GB2312"/>
                <w:color w:val="auto"/>
                <w:kern w:val="0"/>
                <w:sz w:val="22"/>
                <w:szCs w:val="22"/>
                <w:lang w:bidi="ar"/>
              </w:rPr>
              <w:t>17</w:t>
            </w:r>
          </w:p>
        </w:tc>
        <w:tc>
          <w:tcPr>
            <w:tcW w:w="970" w:type="dxa"/>
            <w:tcBorders>
              <w:top w:val="single" w:color="000000" w:sz="4" w:space="0"/>
              <w:left w:val="single" w:color="000000" w:sz="4" w:space="0"/>
              <w:bottom w:val="single" w:color="000000" w:sz="4" w:space="0"/>
              <w:right w:val="single" w:color="000000" w:sz="4" w:space="0"/>
            </w:tcBorders>
            <w:noWrap/>
            <w:vAlign w:val="center"/>
          </w:tcPr>
          <w:p w14:paraId="60989F5D">
            <w:pPr>
              <w:widowControl/>
              <w:ind w:firstLine="0" w:firstLineChars="0"/>
              <w:jc w:val="center"/>
              <w:textAlignment w:val="center"/>
              <w:rPr>
                <w:rFonts w:hint="eastAsia"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bidi="ar"/>
              </w:rPr>
              <w:t>滹沱河</w:t>
            </w:r>
            <w:r>
              <w:rPr>
                <w:rFonts w:hint="eastAsia" w:ascii="仿宋_GB2312" w:hAnsi="仿宋_GB2312" w:eastAsia="仿宋_GB2312" w:cs="仿宋_GB2312"/>
                <w:color w:val="auto"/>
                <w:kern w:val="0"/>
                <w:sz w:val="22"/>
                <w:szCs w:val="22"/>
                <w:lang w:eastAsia="zh-CN" w:bidi="ar"/>
              </w:rPr>
              <w:t>（包</w:t>
            </w:r>
            <w:r>
              <w:rPr>
                <w:rFonts w:hint="eastAsia" w:ascii="仿宋_GB2312" w:hAnsi="仿宋_GB2312" w:eastAsia="仿宋_GB2312" w:cs="仿宋_GB2312"/>
                <w:color w:val="auto"/>
                <w:kern w:val="0"/>
                <w:sz w:val="22"/>
                <w:szCs w:val="22"/>
                <w:lang w:val="en-US" w:eastAsia="zh-CN" w:bidi="ar"/>
              </w:rPr>
              <w:t>2</w:t>
            </w:r>
            <w:r>
              <w:rPr>
                <w:rFonts w:hint="eastAsia" w:ascii="仿宋_GB2312" w:hAnsi="仿宋_GB2312" w:eastAsia="仿宋_GB2312" w:cs="仿宋_GB2312"/>
                <w:color w:val="auto"/>
                <w:kern w:val="0"/>
                <w:sz w:val="22"/>
                <w:szCs w:val="22"/>
                <w:lang w:eastAsia="zh-CN" w:bidi="ar"/>
              </w:rPr>
              <w:t>）</w:t>
            </w: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67FCD227">
            <w:pPr>
              <w:widowControl/>
              <w:ind w:firstLine="0" w:firstLineChars="0"/>
              <w:jc w:val="center"/>
              <w:textAlignment w:val="center"/>
              <w:rPr>
                <w:rFonts w:hint="eastAsia"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bidi="ar"/>
              </w:rPr>
              <w:t>正定新区</w:t>
            </w:r>
          </w:p>
        </w:tc>
        <w:tc>
          <w:tcPr>
            <w:tcW w:w="1503" w:type="dxa"/>
            <w:tcBorders>
              <w:top w:val="single" w:color="000000" w:sz="4" w:space="0"/>
              <w:left w:val="single" w:color="000000" w:sz="4" w:space="0"/>
              <w:bottom w:val="single" w:color="000000" w:sz="4" w:space="0"/>
              <w:right w:val="single" w:color="000000" w:sz="4" w:space="0"/>
            </w:tcBorders>
            <w:noWrap/>
            <w:vAlign w:val="center"/>
          </w:tcPr>
          <w:p w14:paraId="7D990666">
            <w:pPr>
              <w:widowControl/>
              <w:ind w:firstLine="0" w:firstLineChars="0"/>
              <w:jc w:val="center"/>
              <w:textAlignment w:val="center"/>
              <w:rPr>
                <w:rFonts w:hint="eastAsia"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bidi="ar"/>
              </w:rPr>
              <w:t>正定新区污水处理厂</w:t>
            </w:r>
          </w:p>
        </w:tc>
        <w:tc>
          <w:tcPr>
            <w:tcW w:w="1236" w:type="dxa"/>
            <w:tcBorders>
              <w:top w:val="single" w:color="000000" w:sz="4" w:space="0"/>
              <w:left w:val="single" w:color="000000" w:sz="4" w:space="0"/>
              <w:bottom w:val="single" w:color="000000" w:sz="4" w:space="0"/>
              <w:right w:val="single" w:color="000000" w:sz="4" w:space="0"/>
            </w:tcBorders>
            <w:noWrap/>
            <w:vAlign w:val="center"/>
          </w:tcPr>
          <w:p w14:paraId="6BB7FEF8">
            <w:pPr>
              <w:widowControl/>
              <w:ind w:firstLine="0" w:firstLineChars="0"/>
              <w:jc w:val="center"/>
              <w:textAlignment w:val="center"/>
              <w:rPr>
                <w:rFonts w:hint="eastAsia" w:ascii="仿宋_GB2312" w:hAnsi="仿宋_GB2312" w:eastAsia="仿宋_GB2312" w:cs="仿宋_GB2312"/>
                <w:color w:val="auto"/>
                <w:kern w:val="0"/>
                <w:sz w:val="22"/>
                <w:szCs w:val="22"/>
                <w:lang w:val="en-US" w:eastAsia="zh-CN" w:bidi="ar"/>
              </w:rPr>
            </w:pPr>
            <w:r>
              <w:rPr>
                <w:rFonts w:hint="eastAsia" w:ascii="仿宋_GB2312" w:hAnsi="仿宋_GB2312" w:eastAsia="仿宋_GB2312" w:cs="仿宋_GB2312"/>
                <w:color w:val="auto"/>
                <w:kern w:val="0"/>
                <w:sz w:val="22"/>
                <w:szCs w:val="22"/>
                <w:lang w:bidi="ar"/>
              </w:rPr>
              <w:t>岸边站</w:t>
            </w:r>
          </w:p>
        </w:tc>
        <w:tc>
          <w:tcPr>
            <w:tcW w:w="3823" w:type="dxa"/>
            <w:tcBorders>
              <w:top w:val="single" w:color="000000" w:sz="4" w:space="0"/>
              <w:left w:val="single" w:color="000000" w:sz="4" w:space="0"/>
              <w:bottom w:val="single" w:color="000000" w:sz="4" w:space="0"/>
              <w:right w:val="single" w:color="000000" w:sz="4" w:space="0"/>
            </w:tcBorders>
            <w:noWrap/>
            <w:vAlign w:val="center"/>
          </w:tcPr>
          <w:p w14:paraId="21AB77F3">
            <w:pPr>
              <w:widowControl/>
              <w:ind w:firstLine="0" w:firstLineChars="0"/>
              <w:jc w:val="center"/>
              <w:textAlignment w:val="center"/>
              <w:rPr>
                <w:rFonts w:hint="eastAsia" w:ascii="仿宋_GB2312" w:hAnsi="仿宋_GB2312" w:eastAsia="仿宋_GB2312" w:cs="仿宋_GB2312"/>
                <w:color w:val="auto"/>
                <w:kern w:val="0"/>
                <w:sz w:val="22"/>
                <w:szCs w:val="22"/>
                <w:lang w:bidi="ar"/>
              </w:rPr>
            </w:pPr>
            <w:r>
              <w:rPr>
                <w:rStyle w:val="52"/>
                <w:rFonts w:hint="default" w:ascii="仿宋_GB2312" w:hAnsi="仿宋_GB2312" w:eastAsia="仿宋_GB2312" w:cs="仿宋_GB2312"/>
                <w:color w:val="auto"/>
                <w:lang w:bidi="ar"/>
              </w:rPr>
              <w:t>化学需氧量、氨氮、酸碱度、电导率、溶解氧、浊度、水温、</w:t>
            </w:r>
            <w:r>
              <w:rPr>
                <w:rFonts w:hint="eastAsia" w:ascii="仿宋_GB2312" w:hAnsi="仿宋_GB2312" w:eastAsia="仿宋_GB2312" w:cs="仿宋_GB2312"/>
                <w:color w:val="auto"/>
                <w:kern w:val="0"/>
                <w:sz w:val="22"/>
                <w:szCs w:val="22"/>
                <w:lang w:bidi="ar"/>
              </w:rPr>
              <w:t>总磷</w:t>
            </w:r>
          </w:p>
        </w:tc>
      </w:tr>
      <w:tr w14:paraId="239C46C0">
        <w:tblPrEx>
          <w:tblCellMar>
            <w:top w:w="0" w:type="dxa"/>
            <w:left w:w="108" w:type="dxa"/>
            <w:bottom w:w="0" w:type="dxa"/>
            <w:right w:w="108" w:type="dxa"/>
          </w:tblCellMar>
        </w:tblPrEx>
        <w:trPr>
          <w:trHeight w:val="300" w:hRule="atLeast"/>
          <w:jc w:val="center"/>
        </w:trPr>
        <w:tc>
          <w:tcPr>
            <w:tcW w:w="514" w:type="dxa"/>
            <w:tcBorders>
              <w:top w:val="single" w:color="000000" w:sz="4" w:space="0"/>
              <w:left w:val="single" w:color="000000" w:sz="4" w:space="0"/>
              <w:bottom w:val="single" w:color="000000" w:sz="4" w:space="0"/>
              <w:right w:val="single" w:color="000000" w:sz="4" w:space="0"/>
            </w:tcBorders>
            <w:noWrap/>
            <w:vAlign w:val="center"/>
          </w:tcPr>
          <w:p w14:paraId="36BC710E">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rPr>
              <w:t>18</w:t>
            </w:r>
          </w:p>
        </w:tc>
        <w:tc>
          <w:tcPr>
            <w:tcW w:w="970" w:type="dxa"/>
            <w:tcBorders>
              <w:top w:val="single" w:color="000000" w:sz="4" w:space="0"/>
              <w:left w:val="single" w:color="000000" w:sz="4" w:space="0"/>
              <w:bottom w:val="single" w:color="000000" w:sz="4" w:space="0"/>
              <w:right w:val="single" w:color="000000" w:sz="4" w:space="0"/>
            </w:tcBorders>
            <w:noWrap/>
            <w:vAlign w:val="center"/>
          </w:tcPr>
          <w:p w14:paraId="69FB4617">
            <w:pPr>
              <w:widowControl/>
              <w:ind w:firstLine="0" w:firstLineChars="0"/>
              <w:jc w:val="center"/>
              <w:textAlignment w:val="center"/>
              <w:rPr>
                <w:rFonts w:hint="eastAsia" w:ascii="仿宋_GB2312" w:hAnsi="仿宋_GB2312" w:eastAsia="仿宋_GB2312" w:cs="仿宋_GB2312"/>
                <w:color w:val="auto"/>
                <w:sz w:val="22"/>
                <w:szCs w:val="22"/>
                <w:lang w:eastAsia="zh-CN"/>
              </w:rPr>
            </w:pPr>
            <w:r>
              <w:rPr>
                <w:rFonts w:hint="eastAsia" w:ascii="仿宋_GB2312" w:hAnsi="仿宋_GB2312" w:eastAsia="仿宋_GB2312" w:cs="仿宋_GB2312"/>
                <w:color w:val="auto"/>
                <w:kern w:val="0"/>
                <w:sz w:val="22"/>
                <w:szCs w:val="22"/>
                <w:lang w:bidi="ar"/>
              </w:rPr>
              <w:t>滹沱河</w:t>
            </w:r>
            <w:r>
              <w:rPr>
                <w:rFonts w:hint="eastAsia" w:ascii="仿宋_GB2312" w:hAnsi="仿宋_GB2312" w:eastAsia="仿宋_GB2312" w:cs="仿宋_GB2312"/>
                <w:color w:val="auto"/>
                <w:kern w:val="0"/>
                <w:sz w:val="22"/>
                <w:szCs w:val="22"/>
                <w:lang w:eastAsia="zh-CN" w:bidi="ar"/>
              </w:rPr>
              <w:t>（包</w:t>
            </w:r>
            <w:r>
              <w:rPr>
                <w:rFonts w:hint="eastAsia" w:ascii="仿宋_GB2312" w:hAnsi="仿宋_GB2312" w:eastAsia="仿宋_GB2312" w:cs="仿宋_GB2312"/>
                <w:color w:val="auto"/>
                <w:kern w:val="0"/>
                <w:sz w:val="22"/>
                <w:szCs w:val="22"/>
                <w:lang w:val="en-US" w:eastAsia="zh-CN" w:bidi="ar"/>
              </w:rPr>
              <w:t>2</w:t>
            </w:r>
            <w:r>
              <w:rPr>
                <w:rFonts w:hint="eastAsia" w:ascii="仿宋_GB2312" w:hAnsi="仿宋_GB2312" w:eastAsia="仿宋_GB2312" w:cs="仿宋_GB2312"/>
                <w:color w:val="auto"/>
                <w:kern w:val="0"/>
                <w:sz w:val="22"/>
                <w:szCs w:val="22"/>
                <w:lang w:eastAsia="zh-CN" w:bidi="ar"/>
              </w:rPr>
              <w:t>）</w:t>
            </w: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346D6F4F">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藁城区</w:t>
            </w:r>
          </w:p>
        </w:tc>
        <w:tc>
          <w:tcPr>
            <w:tcW w:w="1503" w:type="dxa"/>
            <w:tcBorders>
              <w:top w:val="single" w:color="000000" w:sz="4" w:space="0"/>
              <w:left w:val="single" w:color="000000" w:sz="4" w:space="0"/>
              <w:bottom w:val="single" w:color="000000" w:sz="4" w:space="0"/>
              <w:right w:val="single" w:color="000000" w:sz="4" w:space="0"/>
            </w:tcBorders>
            <w:noWrap/>
            <w:vAlign w:val="center"/>
          </w:tcPr>
          <w:p w14:paraId="5C5EB324">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藁城区水处理中心排口</w:t>
            </w:r>
          </w:p>
        </w:tc>
        <w:tc>
          <w:tcPr>
            <w:tcW w:w="1236" w:type="dxa"/>
            <w:tcBorders>
              <w:top w:val="single" w:color="000000" w:sz="4" w:space="0"/>
              <w:left w:val="single" w:color="000000" w:sz="4" w:space="0"/>
              <w:bottom w:val="single" w:color="000000" w:sz="4" w:space="0"/>
              <w:right w:val="single" w:color="000000" w:sz="4" w:space="0"/>
            </w:tcBorders>
            <w:noWrap/>
            <w:vAlign w:val="center"/>
          </w:tcPr>
          <w:p w14:paraId="21A19440">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浮标站</w:t>
            </w:r>
          </w:p>
        </w:tc>
        <w:tc>
          <w:tcPr>
            <w:tcW w:w="3823" w:type="dxa"/>
            <w:tcBorders>
              <w:top w:val="single" w:color="000000" w:sz="4" w:space="0"/>
              <w:left w:val="single" w:color="000000" w:sz="4" w:space="0"/>
              <w:bottom w:val="single" w:color="000000" w:sz="4" w:space="0"/>
              <w:right w:val="single" w:color="000000" w:sz="4" w:space="0"/>
            </w:tcBorders>
            <w:noWrap/>
            <w:vAlign w:val="center"/>
          </w:tcPr>
          <w:p w14:paraId="1BBD678F">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化学需氧量、氨氮、酸碱度、电导率、溶解氧、浊度、水温</w:t>
            </w:r>
          </w:p>
        </w:tc>
      </w:tr>
      <w:tr w14:paraId="7EB8FBB1">
        <w:tblPrEx>
          <w:tblCellMar>
            <w:top w:w="0" w:type="dxa"/>
            <w:left w:w="108" w:type="dxa"/>
            <w:bottom w:w="0" w:type="dxa"/>
            <w:right w:w="108" w:type="dxa"/>
          </w:tblCellMar>
        </w:tblPrEx>
        <w:trPr>
          <w:trHeight w:val="300" w:hRule="atLeast"/>
          <w:jc w:val="center"/>
        </w:trPr>
        <w:tc>
          <w:tcPr>
            <w:tcW w:w="514" w:type="dxa"/>
            <w:tcBorders>
              <w:top w:val="single" w:color="000000" w:sz="4" w:space="0"/>
              <w:left w:val="single" w:color="000000" w:sz="4" w:space="0"/>
              <w:bottom w:val="single" w:color="000000" w:sz="4" w:space="0"/>
              <w:right w:val="single" w:color="000000" w:sz="4" w:space="0"/>
            </w:tcBorders>
            <w:noWrap/>
            <w:vAlign w:val="center"/>
          </w:tcPr>
          <w:p w14:paraId="0BC5D1E4">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rPr>
              <w:t>19</w:t>
            </w:r>
          </w:p>
        </w:tc>
        <w:tc>
          <w:tcPr>
            <w:tcW w:w="970" w:type="dxa"/>
            <w:tcBorders>
              <w:top w:val="single" w:color="000000" w:sz="4" w:space="0"/>
              <w:left w:val="single" w:color="000000" w:sz="4" w:space="0"/>
              <w:bottom w:val="single" w:color="000000" w:sz="4" w:space="0"/>
              <w:right w:val="single" w:color="000000" w:sz="4" w:space="0"/>
            </w:tcBorders>
            <w:noWrap/>
            <w:vAlign w:val="center"/>
          </w:tcPr>
          <w:p w14:paraId="7F7885E1">
            <w:pPr>
              <w:widowControl/>
              <w:ind w:firstLine="0" w:firstLineChars="0"/>
              <w:jc w:val="center"/>
              <w:textAlignment w:val="center"/>
              <w:rPr>
                <w:rFonts w:hint="eastAsia" w:ascii="仿宋_GB2312" w:hAnsi="仿宋_GB2312" w:eastAsia="仿宋_GB2312" w:cs="仿宋_GB2312"/>
                <w:color w:val="auto"/>
                <w:sz w:val="22"/>
                <w:szCs w:val="22"/>
                <w:lang w:eastAsia="zh-CN"/>
              </w:rPr>
            </w:pPr>
            <w:r>
              <w:rPr>
                <w:rFonts w:hint="eastAsia" w:ascii="仿宋_GB2312" w:hAnsi="仿宋_GB2312" w:eastAsia="仿宋_GB2312" w:cs="仿宋_GB2312"/>
                <w:color w:val="auto"/>
                <w:kern w:val="0"/>
                <w:sz w:val="22"/>
                <w:szCs w:val="22"/>
                <w:lang w:bidi="ar"/>
              </w:rPr>
              <w:t>滹沱河</w:t>
            </w:r>
            <w:r>
              <w:rPr>
                <w:rFonts w:hint="eastAsia" w:ascii="仿宋_GB2312" w:hAnsi="仿宋_GB2312" w:eastAsia="仿宋_GB2312" w:cs="仿宋_GB2312"/>
                <w:color w:val="auto"/>
                <w:kern w:val="0"/>
                <w:sz w:val="22"/>
                <w:szCs w:val="22"/>
                <w:lang w:eastAsia="zh-CN" w:bidi="ar"/>
              </w:rPr>
              <w:t>（包</w:t>
            </w:r>
            <w:r>
              <w:rPr>
                <w:rFonts w:hint="eastAsia" w:ascii="仿宋_GB2312" w:hAnsi="仿宋_GB2312" w:eastAsia="仿宋_GB2312" w:cs="仿宋_GB2312"/>
                <w:color w:val="auto"/>
                <w:kern w:val="0"/>
                <w:sz w:val="22"/>
                <w:szCs w:val="22"/>
                <w:lang w:val="en-US" w:eastAsia="zh-CN" w:bidi="ar"/>
              </w:rPr>
              <w:t>2</w:t>
            </w:r>
            <w:r>
              <w:rPr>
                <w:rFonts w:hint="eastAsia" w:ascii="仿宋_GB2312" w:hAnsi="仿宋_GB2312" w:eastAsia="仿宋_GB2312" w:cs="仿宋_GB2312"/>
                <w:color w:val="auto"/>
                <w:kern w:val="0"/>
                <w:sz w:val="22"/>
                <w:szCs w:val="22"/>
                <w:lang w:eastAsia="zh-CN" w:bidi="ar"/>
              </w:rPr>
              <w:t>）</w:t>
            </w: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0F358F49">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晋州市</w:t>
            </w:r>
          </w:p>
        </w:tc>
        <w:tc>
          <w:tcPr>
            <w:tcW w:w="1503" w:type="dxa"/>
            <w:tcBorders>
              <w:top w:val="single" w:color="000000" w:sz="4" w:space="0"/>
              <w:left w:val="single" w:color="000000" w:sz="4" w:space="0"/>
              <w:bottom w:val="single" w:color="000000" w:sz="4" w:space="0"/>
              <w:right w:val="single" w:color="000000" w:sz="4" w:space="0"/>
            </w:tcBorders>
            <w:noWrap/>
            <w:vAlign w:val="center"/>
          </w:tcPr>
          <w:p w14:paraId="04A1A199">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龙泉固</w:t>
            </w:r>
          </w:p>
        </w:tc>
        <w:tc>
          <w:tcPr>
            <w:tcW w:w="1236" w:type="dxa"/>
            <w:tcBorders>
              <w:top w:val="single" w:color="000000" w:sz="4" w:space="0"/>
              <w:left w:val="single" w:color="000000" w:sz="4" w:space="0"/>
              <w:bottom w:val="single" w:color="000000" w:sz="4" w:space="0"/>
              <w:right w:val="single" w:color="000000" w:sz="4" w:space="0"/>
            </w:tcBorders>
            <w:noWrap/>
            <w:vAlign w:val="center"/>
          </w:tcPr>
          <w:p w14:paraId="68918256">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浮标站</w:t>
            </w:r>
          </w:p>
        </w:tc>
        <w:tc>
          <w:tcPr>
            <w:tcW w:w="3823" w:type="dxa"/>
            <w:tcBorders>
              <w:top w:val="single" w:color="000000" w:sz="4" w:space="0"/>
              <w:left w:val="single" w:color="000000" w:sz="4" w:space="0"/>
              <w:bottom w:val="single" w:color="000000" w:sz="4" w:space="0"/>
              <w:right w:val="single" w:color="000000" w:sz="4" w:space="0"/>
            </w:tcBorders>
            <w:noWrap/>
            <w:vAlign w:val="center"/>
          </w:tcPr>
          <w:p w14:paraId="3B8BC07C">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化学需氧量、氨氮、酸碱度、电导率、溶解氧、浊度、水温</w:t>
            </w:r>
          </w:p>
        </w:tc>
      </w:tr>
      <w:tr w14:paraId="2F9A5F28">
        <w:tblPrEx>
          <w:tblCellMar>
            <w:top w:w="0" w:type="dxa"/>
            <w:left w:w="108" w:type="dxa"/>
            <w:bottom w:w="0" w:type="dxa"/>
            <w:right w:w="108" w:type="dxa"/>
          </w:tblCellMar>
        </w:tblPrEx>
        <w:trPr>
          <w:trHeight w:val="300" w:hRule="atLeast"/>
          <w:jc w:val="center"/>
        </w:trPr>
        <w:tc>
          <w:tcPr>
            <w:tcW w:w="514" w:type="dxa"/>
            <w:tcBorders>
              <w:top w:val="single" w:color="000000" w:sz="4" w:space="0"/>
              <w:left w:val="single" w:color="000000" w:sz="4" w:space="0"/>
              <w:bottom w:val="single" w:color="000000" w:sz="4" w:space="0"/>
              <w:right w:val="single" w:color="000000" w:sz="4" w:space="0"/>
            </w:tcBorders>
            <w:noWrap/>
            <w:vAlign w:val="center"/>
          </w:tcPr>
          <w:p w14:paraId="41439AAD">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rPr>
              <w:t>20</w:t>
            </w:r>
          </w:p>
        </w:tc>
        <w:tc>
          <w:tcPr>
            <w:tcW w:w="970" w:type="dxa"/>
            <w:tcBorders>
              <w:top w:val="single" w:color="000000" w:sz="4" w:space="0"/>
              <w:left w:val="single" w:color="000000" w:sz="4" w:space="0"/>
              <w:bottom w:val="single" w:color="000000" w:sz="4" w:space="0"/>
              <w:right w:val="single" w:color="000000" w:sz="4" w:space="0"/>
            </w:tcBorders>
            <w:noWrap/>
            <w:vAlign w:val="center"/>
          </w:tcPr>
          <w:p w14:paraId="52A38E66">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滹沱河</w:t>
            </w:r>
            <w:r>
              <w:rPr>
                <w:rFonts w:hint="eastAsia" w:ascii="仿宋_GB2312" w:hAnsi="仿宋_GB2312" w:eastAsia="仿宋_GB2312" w:cs="仿宋_GB2312"/>
                <w:color w:val="auto"/>
                <w:kern w:val="0"/>
                <w:sz w:val="22"/>
                <w:szCs w:val="22"/>
                <w:lang w:eastAsia="zh-CN" w:bidi="ar"/>
              </w:rPr>
              <w:t>（包</w:t>
            </w:r>
            <w:r>
              <w:rPr>
                <w:rFonts w:hint="eastAsia" w:ascii="仿宋_GB2312" w:hAnsi="仿宋_GB2312" w:eastAsia="仿宋_GB2312" w:cs="仿宋_GB2312"/>
                <w:color w:val="auto"/>
                <w:kern w:val="0"/>
                <w:sz w:val="22"/>
                <w:szCs w:val="22"/>
                <w:lang w:val="en-US" w:eastAsia="zh-CN" w:bidi="ar"/>
              </w:rPr>
              <w:t>2</w:t>
            </w:r>
            <w:r>
              <w:rPr>
                <w:rFonts w:hint="eastAsia" w:ascii="仿宋_GB2312" w:hAnsi="仿宋_GB2312" w:eastAsia="仿宋_GB2312" w:cs="仿宋_GB2312"/>
                <w:color w:val="auto"/>
                <w:kern w:val="0"/>
                <w:sz w:val="22"/>
                <w:szCs w:val="22"/>
                <w:lang w:eastAsia="zh-CN" w:bidi="ar"/>
              </w:rPr>
              <w:t>）</w:t>
            </w: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5220AC67">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无极县</w:t>
            </w:r>
          </w:p>
        </w:tc>
        <w:tc>
          <w:tcPr>
            <w:tcW w:w="1503" w:type="dxa"/>
            <w:tcBorders>
              <w:top w:val="single" w:color="000000" w:sz="4" w:space="0"/>
              <w:left w:val="single" w:color="000000" w:sz="4" w:space="0"/>
              <w:bottom w:val="single" w:color="000000" w:sz="4" w:space="0"/>
              <w:right w:val="single" w:color="000000" w:sz="4" w:space="0"/>
            </w:tcBorders>
            <w:noWrap/>
            <w:vAlign w:val="center"/>
          </w:tcPr>
          <w:p w14:paraId="402AC1BF">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西庄</w:t>
            </w:r>
          </w:p>
        </w:tc>
        <w:tc>
          <w:tcPr>
            <w:tcW w:w="1236" w:type="dxa"/>
            <w:tcBorders>
              <w:top w:val="single" w:color="000000" w:sz="4" w:space="0"/>
              <w:left w:val="single" w:color="000000" w:sz="4" w:space="0"/>
              <w:bottom w:val="single" w:color="000000" w:sz="4" w:space="0"/>
              <w:right w:val="single" w:color="000000" w:sz="4" w:space="0"/>
            </w:tcBorders>
            <w:noWrap/>
            <w:vAlign w:val="center"/>
          </w:tcPr>
          <w:p w14:paraId="610BEA31">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浮标站</w:t>
            </w:r>
          </w:p>
        </w:tc>
        <w:tc>
          <w:tcPr>
            <w:tcW w:w="3823" w:type="dxa"/>
            <w:tcBorders>
              <w:top w:val="single" w:color="000000" w:sz="4" w:space="0"/>
              <w:left w:val="single" w:color="000000" w:sz="4" w:space="0"/>
              <w:bottom w:val="single" w:color="000000" w:sz="4" w:space="0"/>
              <w:right w:val="single" w:color="000000" w:sz="4" w:space="0"/>
            </w:tcBorders>
            <w:noWrap/>
            <w:vAlign w:val="center"/>
          </w:tcPr>
          <w:p w14:paraId="2FBB5A50">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化学需氧量、氨氮、酸碱度、电导率、溶解氧、浊度、水温</w:t>
            </w:r>
          </w:p>
        </w:tc>
      </w:tr>
      <w:tr w14:paraId="7385B0B9">
        <w:tblPrEx>
          <w:tblCellMar>
            <w:top w:w="0" w:type="dxa"/>
            <w:left w:w="108" w:type="dxa"/>
            <w:bottom w:w="0" w:type="dxa"/>
            <w:right w:w="108" w:type="dxa"/>
          </w:tblCellMar>
        </w:tblPrEx>
        <w:trPr>
          <w:trHeight w:val="300" w:hRule="atLeast"/>
          <w:jc w:val="center"/>
        </w:trPr>
        <w:tc>
          <w:tcPr>
            <w:tcW w:w="514" w:type="dxa"/>
            <w:tcBorders>
              <w:top w:val="single" w:color="000000" w:sz="4" w:space="0"/>
              <w:left w:val="single" w:color="000000" w:sz="4" w:space="0"/>
              <w:bottom w:val="single" w:color="000000" w:sz="4" w:space="0"/>
              <w:right w:val="single" w:color="000000" w:sz="4" w:space="0"/>
            </w:tcBorders>
            <w:noWrap/>
            <w:vAlign w:val="center"/>
          </w:tcPr>
          <w:p w14:paraId="11469AC4">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rPr>
              <w:t>21</w:t>
            </w:r>
          </w:p>
        </w:tc>
        <w:tc>
          <w:tcPr>
            <w:tcW w:w="970" w:type="dxa"/>
            <w:tcBorders>
              <w:top w:val="single" w:color="000000" w:sz="4" w:space="0"/>
              <w:left w:val="single" w:color="000000" w:sz="4" w:space="0"/>
              <w:bottom w:val="single" w:color="000000" w:sz="4" w:space="0"/>
              <w:right w:val="single" w:color="000000" w:sz="4" w:space="0"/>
            </w:tcBorders>
            <w:noWrap/>
            <w:vAlign w:val="center"/>
          </w:tcPr>
          <w:p w14:paraId="47D6E8D4">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滹沱河</w:t>
            </w:r>
            <w:r>
              <w:rPr>
                <w:rFonts w:hint="eastAsia" w:ascii="仿宋_GB2312" w:hAnsi="仿宋_GB2312" w:eastAsia="仿宋_GB2312" w:cs="仿宋_GB2312"/>
                <w:color w:val="auto"/>
                <w:kern w:val="0"/>
                <w:sz w:val="22"/>
                <w:szCs w:val="22"/>
                <w:lang w:eastAsia="zh-CN" w:bidi="ar"/>
              </w:rPr>
              <w:t>（包</w:t>
            </w:r>
            <w:r>
              <w:rPr>
                <w:rFonts w:hint="eastAsia" w:ascii="仿宋_GB2312" w:hAnsi="仿宋_GB2312" w:eastAsia="仿宋_GB2312" w:cs="仿宋_GB2312"/>
                <w:color w:val="auto"/>
                <w:kern w:val="0"/>
                <w:sz w:val="22"/>
                <w:szCs w:val="22"/>
                <w:lang w:val="en-US" w:eastAsia="zh-CN" w:bidi="ar"/>
              </w:rPr>
              <w:t>2</w:t>
            </w:r>
            <w:r>
              <w:rPr>
                <w:rFonts w:hint="eastAsia" w:ascii="仿宋_GB2312" w:hAnsi="仿宋_GB2312" w:eastAsia="仿宋_GB2312" w:cs="仿宋_GB2312"/>
                <w:color w:val="auto"/>
                <w:kern w:val="0"/>
                <w:sz w:val="22"/>
                <w:szCs w:val="22"/>
                <w:lang w:eastAsia="zh-CN" w:bidi="ar"/>
              </w:rPr>
              <w:t>）</w:t>
            </w: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0C3259AE">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深泽县</w:t>
            </w:r>
          </w:p>
        </w:tc>
        <w:tc>
          <w:tcPr>
            <w:tcW w:w="1503" w:type="dxa"/>
            <w:tcBorders>
              <w:top w:val="single" w:color="000000" w:sz="4" w:space="0"/>
              <w:left w:val="single" w:color="000000" w:sz="4" w:space="0"/>
              <w:bottom w:val="single" w:color="000000" w:sz="4" w:space="0"/>
              <w:right w:val="single" w:color="000000" w:sz="4" w:space="0"/>
            </w:tcBorders>
            <w:noWrap/>
            <w:vAlign w:val="center"/>
          </w:tcPr>
          <w:p w14:paraId="79C8F6CC">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val="en-US" w:eastAsia="zh-CN" w:bidi="ar"/>
              </w:rPr>
              <w:t>枣营</w:t>
            </w:r>
          </w:p>
        </w:tc>
        <w:tc>
          <w:tcPr>
            <w:tcW w:w="1236" w:type="dxa"/>
            <w:tcBorders>
              <w:top w:val="single" w:color="000000" w:sz="4" w:space="0"/>
              <w:left w:val="single" w:color="000000" w:sz="4" w:space="0"/>
              <w:bottom w:val="single" w:color="000000" w:sz="4" w:space="0"/>
              <w:right w:val="single" w:color="000000" w:sz="4" w:space="0"/>
            </w:tcBorders>
            <w:noWrap/>
            <w:vAlign w:val="center"/>
          </w:tcPr>
          <w:p w14:paraId="46139CD5">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浮标站</w:t>
            </w:r>
          </w:p>
        </w:tc>
        <w:tc>
          <w:tcPr>
            <w:tcW w:w="3823" w:type="dxa"/>
            <w:tcBorders>
              <w:top w:val="single" w:color="000000" w:sz="4" w:space="0"/>
              <w:left w:val="single" w:color="000000" w:sz="4" w:space="0"/>
              <w:bottom w:val="single" w:color="000000" w:sz="4" w:space="0"/>
              <w:right w:val="single" w:color="000000" w:sz="4" w:space="0"/>
            </w:tcBorders>
            <w:noWrap/>
            <w:vAlign w:val="center"/>
          </w:tcPr>
          <w:p w14:paraId="2ACB3336">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化学需氧量、氨氮、酸碱度、电导率、溶解氧、浊度、水温</w:t>
            </w:r>
          </w:p>
        </w:tc>
      </w:tr>
      <w:tr w14:paraId="072F0EEA">
        <w:tblPrEx>
          <w:tblCellMar>
            <w:top w:w="0" w:type="dxa"/>
            <w:left w:w="108" w:type="dxa"/>
            <w:bottom w:w="0" w:type="dxa"/>
            <w:right w:w="108" w:type="dxa"/>
          </w:tblCellMar>
        </w:tblPrEx>
        <w:trPr>
          <w:trHeight w:val="300" w:hRule="atLeast"/>
          <w:jc w:val="center"/>
        </w:trPr>
        <w:tc>
          <w:tcPr>
            <w:tcW w:w="514" w:type="dxa"/>
            <w:tcBorders>
              <w:top w:val="single" w:color="000000" w:sz="4" w:space="0"/>
              <w:left w:val="single" w:color="000000" w:sz="4" w:space="0"/>
              <w:bottom w:val="single" w:color="000000" w:sz="4" w:space="0"/>
              <w:right w:val="single" w:color="000000" w:sz="4" w:space="0"/>
            </w:tcBorders>
            <w:noWrap/>
            <w:vAlign w:val="center"/>
          </w:tcPr>
          <w:p w14:paraId="224FD431">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rPr>
              <w:t>22</w:t>
            </w:r>
          </w:p>
        </w:tc>
        <w:tc>
          <w:tcPr>
            <w:tcW w:w="970" w:type="dxa"/>
            <w:tcBorders>
              <w:top w:val="single" w:color="000000" w:sz="4" w:space="0"/>
              <w:left w:val="single" w:color="000000" w:sz="4" w:space="0"/>
              <w:bottom w:val="single" w:color="000000" w:sz="4" w:space="0"/>
              <w:right w:val="single" w:color="000000" w:sz="4" w:space="0"/>
            </w:tcBorders>
            <w:noWrap/>
            <w:vAlign w:val="center"/>
          </w:tcPr>
          <w:p w14:paraId="3FB46667">
            <w:pPr>
              <w:widowControl/>
              <w:ind w:firstLine="0" w:firstLineChars="0"/>
              <w:jc w:val="center"/>
              <w:textAlignment w:val="center"/>
              <w:rPr>
                <w:rFonts w:hint="default" w:ascii="仿宋_GB2312" w:hAnsi="仿宋_GB2312" w:eastAsia="仿宋_GB2312" w:cs="仿宋_GB2312"/>
                <w:color w:val="auto"/>
                <w:sz w:val="22"/>
                <w:szCs w:val="22"/>
                <w:lang w:val="en-US" w:eastAsia="zh-CN"/>
              </w:rPr>
            </w:pPr>
            <w:r>
              <w:rPr>
                <w:rFonts w:hint="eastAsia" w:ascii="仿宋_GB2312" w:hAnsi="仿宋_GB2312" w:eastAsia="仿宋_GB2312" w:cs="仿宋_GB2312"/>
                <w:color w:val="auto"/>
                <w:kern w:val="0"/>
                <w:sz w:val="22"/>
                <w:szCs w:val="22"/>
                <w:lang w:bidi="ar"/>
              </w:rPr>
              <w:t>木刀沟</w:t>
            </w:r>
            <w:r>
              <w:rPr>
                <w:rFonts w:hint="eastAsia" w:ascii="仿宋_GB2312" w:hAnsi="仿宋_GB2312" w:eastAsia="仿宋_GB2312" w:cs="仿宋_GB2312"/>
                <w:color w:val="auto"/>
                <w:kern w:val="0"/>
                <w:sz w:val="22"/>
                <w:szCs w:val="22"/>
                <w:lang w:eastAsia="zh-CN" w:bidi="ar"/>
              </w:rPr>
              <w:t>（包</w:t>
            </w:r>
            <w:r>
              <w:rPr>
                <w:rFonts w:hint="eastAsia" w:ascii="仿宋_GB2312" w:hAnsi="仿宋_GB2312" w:eastAsia="仿宋_GB2312" w:cs="仿宋_GB2312"/>
                <w:color w:val="auto"/>
                <w:kern w:val="0"/>
                <w:sz w:val="22"/>
                <w:szCs w:val="22"/>
                <w:lang w:val="en-US" w:eastAsia="zh-CN" w:bidi="ar"/>
              </w:rPr>
              <w:t>2</w:t>
            </w:r>
            <w:r>
              <w:rPr>
                <w:rFonts w:hint="eastAsia" w:ascii="仿宋_GB2312" w:hAnsi="仿宋_GB2312" w:eastAsia="仿宋_GB2312" w:cs="仿宋_GB2312"/>
                <w:color w:val="auto"/>
                <w:kern w:val="0"/>
                <w:sz w:val="22"/>
                <w:szCs w:val="22"/>
                <w:lang w:eastAsia="zh-CN" w:bidi="ar"/>
              </w:rPr>
              <w:t>）</w:t>
            </w: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393C6F55">
            <w:pPr>
              <w:widowControl/>
              <w:ind w:firstLine="0" w:firstLineChars="0"/>
              <w:jc w:val="center"/>
              <w:textAlignment w:val="center"/>
              <w:rPr>
                <w:rFonts w:hint="default" w:ascii="仿宋_GB2312" w:hAnsi="仿宋_GB2312" w:eastAsia="仿宋_GB2312" w:cs="仿宋_GB2312"/>
                <w:color w:val="auto"/>
                <w:sz w:val="22"/>
                <w:szCs w:val="22"/>
                <w:lang w:val="en-US" w:eastAsia="zh-CN"/>
              </w:rPr>
            </w:pPr>
            <w:r>
              <w:rPr>
                <w:rFonts w:hint="eastAsia" w:ascii="仿宋_GB2312" w:hAnsi="仿宋_GB2312" w:eastAsia="仿宋_GB2312" w:cs="仿宋_GB2312"/>
                <w:color w:val="auto"/>
                <w:sz w:val="22"/>
                <w:szCs w:val="22"/>
                <w:lang w:val="en-US" w:eastAsia="zh-CN"/>
              </w:rPr>
              <w:t>新乐市</w:t>
            </w:r>
          </w:p>
        </w:tc>
        <w:tc>
          <w:tcPr>
            <w:tcW w:w="1503" w:type="dxa"/>
            <w:tcBorders>
              <w:top w:val="single" w:color="000000" w:sz="4" w:space="0"/>
              <w:left w:val="single" w:color="000000" w:sz="4" w:space="0"/>
              <w:bottom w:val="single" w:color="000000" w:sz="4" w:space="0"/>
              <w:right w:val="single" w:color="000000" w:sz="4" w:space="0"/>
            </w:tcBorders>
            <w:noWrap/>
            <w:vAlign w:val="center"/>
          </w:tcPr>
          <w:p w14:paraId="132F0F71">
            <w:pPr>
              <w:widowControl/>
              <w:ind w:firstLine="0" w:firstLineChars="0"/>
              <w:jc w:val="center"/>
              <w:textAlignment w:val="center"/>
              <w:rPr>
                <w:rFonts w:hint="default" w:ascii="仿宋_GB2312" w:hAnsi="仿宋_GB2312" w:eastAsia="仿宋_GB2312" w:cs="仿宋_GB2312"/>
                <w:color w:val="auto"/>
                <w:sz w:val="22"/>
                <w:szCs w:val="22"/>
                <w:lang w:val="en-US" w:eastAsia="zh-CN"/>
              </w:rPr>
            </w:pPr>
            <w:r>
              <w:rPr>
                <w:rFonts w:hint="eastAsia" w:ascii="仿宋_GB2312" w:hAnsi="仿宋_GB2312" w:eastAsia="仿宋_GB2312" w:cs="仿宋_GB2312"/>
                <w:color w:val="auto"/>
                <w:sz w:val="22"/>
                <w:szCs w:val="22"/>
                <w:lang w:val="en-US" w:eastAsia="zh-CN"/>
              </w:rPr>
              <w:t>新乐一污</w:t>
            </w:r>
          </w:p>
        </w:tc>
        <w:tc>
          <w:tcPr>
            <w:tcW w:w="1236" w:type="dxa"/>
            <w:tcBorders>
              <w:top w:val="single" w:color="000000" w:sz="4" w:space="0"/>
              <w:left w:val="single" w:color="000000" w:sz="4" w:space="0"/>
              <w:bottom w:val="single" w:color="000000" w:sz="4" w:space="0"/>
              <w:right w:val="single" w:color="000000" w:sz="4" w:space="0"/>
            </w:tcBorders>
            <w:noWrap/>
            <w:vAlign w:val="center"/>
          </w:tcPr>
          <w:p w14:paraId="15FBE24A">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浮标站</w:t>
            </w:r>
          </w:p>
        </w:tc>
        <w:tc>
          <w:tcPr>
            <w:tcW w:w="3823" w:type="dxa"/>
            <w:tcBorders>
              <w:top w:val="single" w:color="000000" w:sz="4" w:space="0"/>
              <w:left w:val="single" w:color="000000" w:sz="4" w:space="0"/>
              <w:bottom w:val="single" w:color="000000" w:sz="4" w:space="0"/>
              <w:right w:val="single" w:color="000000" w:sz="4" w:space="0"/>
            </w:tcBorders>
            <w:noWrap/>
            <w:vAlign w:val="center"/>
          </w:tcPr>
          <w:p w14:paraId="1DBB4770">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化学需氧量、氨氮、酸碱度、电导率、溶解氧、浊度、水温</w:t>
            </w:r>
          </w:p>
        </w:tc>
      </w:tr>
      <w:tr w14:paraId="40C4193C">
        <w:tblPrEx>
          <w:tblCellMar>
            <w:top w:w="0" w:type="dxa"/>
            <w:left w:w="108" w:type="dxa"/>
            <w:bottom w:w="0" w:type="dxa"/>
            <w:right w:w="108" w:type="dxa"/>
          </w:tblCellMar>
        </w:tblPrEx>
        <w:trPr>
          <w:trHeight w:val="300" w:hRule="atLeast"/>
          <w:jc w:val="center"/>
        </w:trPr>
        <w:tc>
          <w:tcPr>
            <w:tcW w:w="514" w:type="dxa"/>
            <w:tcBorders>
              <w:top w:val="single" w:color="000000" w:sz="4" w:space="0"/>
              <w:left w:val="single" w:color="000000" w:sz="4" w:space="0"/>
              <w:bottom w:val="single" w:color="000000" w:sz="4" w:space="0"/>
              <w:right w:val="single" w:color="000000" w:sz="4" w:space="0"/>
            </w:tcBorders>
            <w:noWrap/>
            <w:vAlign w:val="center"/>
          </w:tcPr>
          <w:p w14:paraId="2A1FE1D7">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rPr>
              <w:t>23</w:t>
            </w:r>
          </w:p>
        </w:tc>
        <w:tc>
          <w:tcPr>
            <w:tcW w:w="970" w:type="dxa"/>
            <w:tcBorders>
              <w:top w:val="single" w:color="000000" w:sz="4" w:space="0"/>
              <w:left w:val="single" w:color="000000" w:sz="4" w:space="0"/>
              <w:bottom w:val="single" w:color="000000" w:sz="4" w:space="0"/>
              <w:right w:val="single" w:color="000000" w:sz="4" w:space="0"/>
            </w:tcBorders>
            <w:noWrap/>
            <w:vAlign w:val="center"/>
          </w:tcPr>
          <w:p w14:paraId="000836BE">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val="en-US" w:eastAsia="zh-CN" w:bidi="ar"/>
              </w:rPr>
              <w:t>沙河</w:t>
            </w:r>
            <w:r>
              <w:rPr>
                <w:rFonts w:hint="eastAsia" w:ascii="仿宋_GB2312" w:hAnsi="仿宋_GB2312" w:eastAsia="仿宋_GB2312" w:cs="仿宋_GB2312"/>
                <w:color w:val="auto"/>
                <w:kern w:val="0"/>
                <w:sz w:val="22"/>
                <w:szCs w:val="22"/>
                <w:lang w:eastAsia="zh-CN" w:bidi="ar"/>
              </w:rPr>
              <w:t>（包</w:t>
            </w:r>
            <w:r>
              <w:rPr>
                <w:rFonts w:hint="eastAsia" w:ascii="仿宋_GB2312" w:hAnsi="仿宋_GB2312" w:eastAsia="仿宋_GB2312" w:cs="仿宋_GB2312"/>
                <w:color w:val="auto"/>
                <w:kern w:val="0"/>
                <w:sz w:val="22"/>
                <w:szCs w:val="22"/>
                <w:lang w:val="en-US" w:eastAsia="zh-CN" w:bidi="ar"/>
              </w:rPr>
              <w:t>2</w:t>
            </w:r>
            <w:r>
              <w:rPr>
                <w:rFonts w:hint="eastAsia" w:ascii="仿宋_GB2312" w:hAnsi="仿宋_GB2312" w:eastAsia="仿宋_GB2312" w:cs="仿宋_GB2312"/>
                <w:color w:val="auto"/>
                <w:kern w:val="0"/>
                <w:sz w:val="22"/>
                <w:szCs w:val="22"/>
                <w:lang w:eastAsia="zh-CN" w:bidi="ar"/>
              </w:rPr>
              <w:t>）</w:t>
            </w: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111C2B9A">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新乐市</w:t>
            </w:r>
          </w:p>
        </w:tc>
        <w:tc>
          <w:tcPr>
            <w:tcW w:w="1503" w:type="dxa"/>
            <w:tcBorders>
              <w:top w:val="single" w:color="000000" w:sz="4" w:space="0"/>
              <w:left w:val="single" w:color="000000" w:sz="4" w:space="0"/>
              <w:bottom w:val="single" w:color="000000" w:sz="4" w:space="0"/>
              <w:right w:val="single" w:color="000000" w:sz="4" w:space="0"/>
            </w:tcBorders>
            <w:noWrap/>
            <w:vAlign w:val="center"/>
          </w:tcPr>
          <w:p w14:paraId="4274E0BE">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val="en-US" w:eastAsia="zh-CN" w:bidi="ar"/>
              </w:rPr>
              <w:t>小吴村</w:t>
            </w:r>
          </w:p>
        </w:tc>
        <w:tc>
          <w:tcPr>
            <w:tcW w:w="1236" w:type="dxa"/>
            <w:tcBorders>
              <w:top w:val="single" w:color="000000" w:sz="4" w:space="0"/>
              <w:left w:val="single" w:color="000000" w:sz="4" w:space="0"/>
              <w:bottom w:val="single" w:color="000000" w:sz="4" w:space="0"/>
              <w:right w:val="single" w:color="000000" w:sz="4" w:space="0"/>
            </w:tcBorders>
            <w:noWrap/>
            <w:vAlign w:val="center"/>
          </w:tcPr>
          <w:p w14:paraId="004B8184">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浮标站</w:t>
            </w:r>
          </w:p>
        </w:tc>
        <w:tc>
          <w:tcPr>
            <w:tcW w:w="3823" w:type="dxa"/>
            <w:tcBorders>
              <w:top w:val="single" w:color="000000" w:sz="4" w:space="0"/>
              <w:left w:val="single" w:color="000000" w:sz="4" w:space="0"/>
              <w:bottom w:val="single" w:color="000000" w:sz="4" w:space="0"/>
              <w:right w:val="single" w:color="000000" w:sz="4" w:space="0"/>
            </w:tcBorders>
            <w:noWrap/>
            <w:vAlign w:val="center"/>
          </w:tcPr>
          <w:p w14:paraId="190DD433">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化学需氧量、氨氮、酸碱度、电导率、溶解氧、浊度、水温</w:t>
            </w:r>
          </w:p>
        </w:tc>
      </w:tr>
      <w:tr w14:paraId="3014EB0D">
        <w:tblPrEx>
          <w:tblCellMar>
            <w:top w:w="0" w:type="dxa"/>
            <w:left w:w="108" w:type="dxa"/>
            <w:bottom w:w="0" w:type="dxa"/>
            <w:right w:w="108" w:type="dxa"/>
          </w:tblCellMar>
        </w:tblPrEx>
        <w:trPr>
          <w:trHeight w:val="300" w:hRule="atLeast"/>
          <w:jc w:val="center"/>
        </w:trPr>
        <w:tc>
          <w:tcPr>
            <w:tcW w:w="514" w:type="dxa"/>
            <w:tcBorders>
              <w:top w:val="single" w:color="000000" w:sz="4" w:space="0"/>
              <w:left w:val="single" w:color="000000" w:sz="4" w:space="0"/>
              <w:bottom w:val="single" w:color="000000" w:sz="4" w:space="0"/>
              <w:right w:val="single" w:color="000000" w:sz="4" w:space="0"/>
            </w:tcBorders>
            <w:noWrap/>
            <w:vAlign w:val="center"/>
          </w:tcPr>
          <w:p w14:paraId="559F1260">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rPr>
              <w:t>24</w:t>
            </w:r>
          </w:p>
        </w:tc>
        <w:tc>
          <w:tcPr>
            <w:tcW w:w="970" w:type="dxa"/>
            <w:tcBorders>
              <w:top w:val="single" w:color="000000" w:sz="4" w:space="0"/>
              <w:left w:val="single" w:color="000000" w:sz="4" w:space="0"/>
              <w:bottom w:val="single" w:color="000000" w:sz="4" w:space="0"/>
              <w:right w:val="single" w:color="000000" w:sz="4" w:space="0"/>
            </w:tcBorders>
            <w:noWrap/>
            <w:vAlign w:val="center"/>
          </w:tcPr>
          <w:p w14:paraId="4790744E">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郜河</w:t>
            </w:r>
            <w:r>
              <w:rPr>
                <w:rFonts w:hint="eastAsia" w:ascii="仿宋_GB2312" w:hAnsi="仿宋_GB2312" w:eastAsia="仿宋_GB2312" w:cs="仿宋_GB2312"/>
                <w:color w:val="auto"/>
                <w:kern w:val="0"/>
                <w:sz w:val="22"/>
                <w:szCs w:val="22"/>
                <w:lang w:eastAsia="zh-CN" w:bidi="ar"/>
              </w:rPr>
              <w:t>（包</w:t>
            </w:r>
            <w:r>
              <w:rPr>
                <w:rFonts w:hint="eastAsia" w:ascii="仿宋_GB2312" w:hAnsi="仿宋_GB2312" w:eastAsia="仿宋_GB2312" w:cs="仿宋_GB2312"/>
                <w:color w:val="auto"/>
                <w:kern w:val="0"/>
                <w:sz w:val="22"/>
                <w:szCs w:val="22"/>
                <w:lang w:val="en-US" w:eastAsia="zh-CN" w:bidi="ar"/>
              </w:rPr>
              <w:t>2</w:t>
            </w:r>
            <w:r>
              <w:rPr>
                <w:rFonts w:hint="eastAsia" w:ascii="仿宋_GB2312" w:hAnsi="仿宋_GB2312" w:eastAsia="仿宋_GB2312" w:cs="仿宋_GB2312"/>
                <w:color w:val="auto"/>
                <w:kern w:val="0"/>
                <w:sz w:val="22"/>
                <w:szCs w:val="22"/>
                <w:lang w:eastAsia="zh-CN" w:bidi="ar"/>
              </w:rPr>
              <w:t>）</w:t>
            </w: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2700627F">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行唐县</w:t>
            </w:r>
          </w:p>
        </w:tc>
        <w:tc>
          <w:tcPr>
            <w:tcW w:w="1503" w:type="dxa"/>
            <w:tcBorders>
              <w:top w:val="single" w:color="000000" w:sz="4" w:space="0"/>
              <w:left w:val="single" w:color="000000" w:sz="4" w:space="0"/>
              <w:bottom w:val="single" w:color="000000" w:sz="4" w:space="0"/>
              <w:right w:val="single" w:color="000000" w:sz="4" w:space="0"/>
            </w:tcBorders>
            <w:noWrap/>
            <w:vAlign w:val="center"/>
          </w:tcPr>
          <w:p w14:paraId="37F06D5C">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行唐一污</w:t>
            </w:r>
          </w:p>
        </w:tc>
        <w:tc>
          <w:tcPr>
            <w:tcW w:w="1236" w:type="dxa"/>
            <w:tcBorders>
              <w:top w:val="single" w:color="000000" w:sz="4" w:space="0"/>
              <w:left w:val="single" w:color="000000" w:sz="4" w:space="0"/>
              <w:bottom w:val="single" w:color="000000" w:sz="4" w:space="0"/>
              <w:right w:val="single" w:color="000000" w:sz="4" w:space="0"/>
            </w:tcBorders>
            <w:noWrap/>
            <w:vAlign w:val="center"/>
          </w:tcPr>
          <w:p w14:paraId="71F4B209">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岸边站</w:t>
            </w:r>
          </w:p>
        </w:tc>
        <w:tc>
          <w:tcPr>
            <w:tcW w:w="3823" w:type="dxa"/>
            <w:tcBorders>
              <w:top w:val="single" w:color="000000" w:sz="4" w:space="0"/>
              <w:left w:val="single" w:color="000000" w:sz="4" w:space="0"/>
              <w:bottom w:val="single" w:color="000000" w:sz="4" w:space="0"/>
              <w:right w:val="single" w:color="000000" w:sz="4" w:space="0"/>
            </w:tcBorders>
            <w:noWrap/>
            <w:vAlign w:val="center"/>
          </w:tcPr>
          <w:p w14:paraId="76BABD4F">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化学需氧量、氨氮、酸碱度、电导率、溶解氧、浊度、水温</w:t>
            </w:r>
          </w:p>
        </w:tc>
      </w:tr>
      <w:tr w14:paraId="2B40831E">
        <w:tblPrEx>
          <w:tblCellMar>
            <w:top w:w="0" w:type="dxa"/>
            <w:left w:w="108" w:type="dxa"/>
            <w:bottom w:w="0" w:type="dxa"/>
            <w:right w:w="108" w:type="dxa"/>
          </w:tblCellMar>
        </w:tblPrEx>
        <w:trPr>
          <w:trHeight w:val="300" w:hRule="atLeast"/>
          <w:jc w:val="center"/>
        </w:trPr>
        <w:tc>
          <w:tcPr>
            <w:tcW w:w="514" w:type="dxa"/>
            <w:tcBorders>
              <w:top w:val="single" w:color="000000" w:sz="4" w:space="0"/>
              <w:left w:val="single" w:color="000000" w:sz="4" w:space="0"/>
              <w:bottom w:val="single" w:color="000000" w:sz="4" w:space="0"/>
              <w:right w:val="single" w:color="000000" w:sz="4" w:space="0"/>
            </w:tcBorders>
            <w:noWrap/>
            <w:vAlign w:val="center"/>
          </w:tcPr>
          <w:p w14:paraId="290A9CB5">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rPr>
              <w:t>25</w:t>
            </w:r>
          </w:p>
        </w:tc>
        <w:tc>
          <w:tcPr>
            <w:tcW w:w="970" w:type="dxa"/>
            <w:tcBorders>
              <w:top w:val="single" w:color="000000" w:sz="4" w:space="0"/>
              <w:left w:val="single" w:color="000000" w:sz="4" w:space="0"/>
              <w:bottom w:val="single" w:color="000000" w:sz="4" w:space="0"/>
              <w:right w:val="single" w:color="000000" w:sz="4" w:space="0"/>
            </w:tcBorders>
            <w:noWrap/>
            <w:vAlign w:val="center"/>
          </w:tcPr>
          <w:p w14:paraId="37E103AC">
            <w:pPr>
              <w:widowControl/>
              <w:ind w:firstLine="0" w:firstLineChars="0"/>
              <w:jc w:val="center"/>
              <w:textAlignment w:val="center"/>
              <w:rPr>
                <w:rFonts w:hint="default" w:ascii="仿宋_GB2312" w:hAnsi="仿宋_GB2312" w:eastAsia="仿宋_GB2312" w:cs="仿宋_GB2312"/>
                <w:color w:val="auto"/>
                <w:sz w:val="22"/>
                <w:szCs w:val="22"/>
                <w:lang w:val="en-US" w:eastAsia="zh-CN"/>
              </w:rPr>
            </w:pPr>
            <w:r>
              <w:rPr>
                <w:rFonts w:hint="eastAsia" w:ascii="仿宋_GB2312" w:hAnsi="仿宋_GB2312" w:eastAsia="仿宋_GB2312" w:cs="仿宋_GB2312"/>
                <w:color w:val="auto"/>
                <w:kern w:val="0"/>
                <w:sz w:val="22"/>
                <w:szCs w:val="22"/>
                <w:lang w:bidi="ar"/>
              </w:rPr>
              <w:t>郜河</w:t>
            </w:r>
            <w:r>
              <w:rPr>
                <w:rFonts w:hint="eastAsia" w:ascii="仿宋_GB2312" w:hAnsi="仿宋_GB2312" w:eastAsia="仿宋_GB2312" w:cs="仿宋_GB2312"/>
                <w:color w:val="auto"/>
                <w:kern w:val="0"/>
                <w:sz w:val="22"/>
                <w:szCs w:val="22"/>
                <w:lang w:eastAsia="zh-CN" w:bidi="ar"/>
              </w:rPr>
              <w:t>（包</w:t>
            </w:r>
            <w:r>
              <w:rPr>
                <w:rFonts w:hint="eastAsia" w:ascii="仿宋_GB2312" w:hAnsi="仿宋_GB2312" w:eastAsia="仿宋_GB2312" w:cs="仿宋_GB2312"/>
                <w:color w:val="auto"/>
                <w:kern w:val="0"/>
                <w:sz w:val="22"/>
                <w:szCs w:val="22"/>
                <w:lang w:val="en-US" w:eastAsia="zh-CN" w:bidi="ar"/>
              </w:rPr>
              <w:t>2</w:t>
            </w:r>
            <w:r>
              <w:rPr>
                <w:rFonts w:hint="eastAsia" w:ascii="仿宋_GB2312" w:hAnsi="仿宋_GB2312" w:eastAsia="仿宋_GB2312" w:cs="仿宋_GB2312"/>
                <w:color w:val="auto"/>
                <w:kern w:val="0"/>
                <w:sz w:val="22"/>
                <w:szCs w:val="22"/>
                <w:lang w:eastAsia="zh-CN" w:bidi="ar"/>
              </w:rPr>
              <w:t>）</w:t>
            </w:r>
          </w:p>
        </w:tc>
        <w:tc>
          <w:tcPr>
            <w:tcW w:w="1015" w:type="dxa"/>
            <w:tcBorders>
              <w:top w:val="single" w:color="000000" w:sz="4" w:space="0"/>
              <w:left w:val="single" w:color="000000" w:sz="4" w:space="0"/>
              <w:bottom w:val="single" w:color="000000" w:sz="4" w:space="0"/>
              <w:right w:val="single" w:color="000000" w:sz="4" w:space="0"/>
            </w:tcBorders>
            <w:noWrap/>
            <w:vAlign w:val="center"/>
          </w:tcPr>
          <w:p w14:paraId="206A94A3">
            <w:pPr>
              <w:widowControl/>
              <w:ind w:firstLine="0" w:firstLineChars="0"/>
              <w:jc w:val="center"/>
              <w:textAlignment w:val="center"/>
              <w:rPr>
                <w:rFonts w:hint="eastAsia" w:ascii="仿宋_GB2312" w:hAnsi="仿宋_GB2312" w:eastAsia="仿宋_GB2312" w:cs="仿宋_GB2312"/>
                <w:color w:val="auto"/>
                <w:sz w:val="22"/>
                <w:szCs w:val="22"/>
                <w:lang w:val="en-US" w:eastAsia="zh-CN"/>
              </w:rPr>
            </w:pPr>
            <w:r>
              <w:rPr>
                <w:rFonts w:hint="eastAsia" w:ascii="仿宋_GB2312" w:hAnsi="仿宋_GB2312" w:eastAsia="仿宋_GB2312" w:cs="仿宋_GB2312"/>
                <w:color w:val="auto"/>
                <w:kern w:val="0"/>
                <w:sz w:val="22"/>
                <w:szCs w:val="22"/>
                <w:lang w:bidi="ar"/>
              </w:rPr>
              <w:t>行唐县</w:t>
            </w:r>
          </w:p>
        </w:tc>
        <w:tc>
          <w:tcPr>
            <w:tcW w:w="1503" w:type="dxa"/>
            <w:tcBorders>
              <w:top w:val="single" w:color="000000" w:sz="4" w:space="0"/>
              <w:left w:val="single" w:color="000000" w:sz="4" w:space="0"/>
              <w:bottom w:val="single" w:color="000000" w:sz="4" w:space="0"/>
              <w:right w:val="single" w:color="000000" w:sz="4" w:space="0"/>
            </w:tcBorders>
            <w:noWrap/>
            <w:vAlign w:val="center"/>
          </w:tcPr>
          <w:p w14:paraId="351AAFA6">
            <w:pPr>
              <w:widowControl/>
              <w:ind w:firstLine="0" w:firstLineChars="0"/>
              <w:jc w:val="center"/>
              <w:textAlignment w:val="center"/>
              <w:rPr>
                <w:rFonts w:hint="eastAsia" w:ascii="仿宋_GB2312" w:hAnsi="仿宋_GB2312" w:eastAsia="仿宋_GB2312" w:cs="仿宋_GB2312"/>
                <w:color w:val="auto"/>
                <w:sz w:val="22"/>
                <w:szCs w:val="22"/>
                <w:lang w:val="en-US" w:eastAsia="zh-CN"/>
              </w:rPr>
            </w:pPr>
            <w:r>
              <w:rPr>
                <w:rFonts w:hint="eastAsia" w:ascii="仿宋_GB2312" w:hAnsi="仿宋_GB2312" w:eastAsia="仿宋_GB2312" w:cs="仿宋_GB2312"/>
                <w:color w:val="auto"/>
                <w:kern w:val="0"/>
                <w:sz w:val="22"/>
                <w:szCs w:val="22"/>
                <w:lang w:val="en-US" w:eastAsia="zh-CN" w:bidi="ar"/>
              </w:rPr>
              <w:t>行唐二污行唐二污</w:t>
            </w:r>
          </w:p>
        </w:tc>
        <w:tc>
          <w:tcPr>
            <w:tcW w:w="1236" w:type="dxa"/>
            <w:tcBorders>
              <w:top w:val="single" w:color="000000" w:sz="4" w:space="0"/>
              <w:left w:val="single" w:color="000000" w:sz="4" w:space="0"/>
              <w:bottom w:val="single" w:color="000000" w:sz="4" w:space="0"/>
              <w:right w:val="single" w:color="000000" w:sz="4" w:space="0"/>
            </w:tcBorders>
            <w:noWrap/>
            <w:vAlign w:val="center"/>
          </w:tcPr>
          <w:p w14:paraId="00251ECF">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浮标站</w:t>
            </w:r>
          </w:p>
        </w:tc>
        <w:tc>
          <w:tcPr>
            <w:tcW w:w="3823" w:type="dxa"/>
            <w:tcBorders>
              <w:top w:val="single" w:color="000000" w:sz="4" w:space="0"/>
              <w:left w:val="single" w:color="000000" w:sz="4" w:space="0"/>
              <w:bottom w:val="single" w:color="000000" w:sz="4" w:space="0"/>
              <w:right w:val="single" w:color="000000" w:sz="4" w:space="0"/>
            </w:tcBorders>
            <w:noWrap/>
            <w:vAlign w:val="center"/>
          </w:tcPr>
          <w:p w14:paraId="4FE12DA7">
            <w:pPr>
              <w:widowControl/>
              <w:ind w:firstLine="0" w:firstLineChars="0"/>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kern w:val="0"/>
                <w:sz w:val="22"/>
                <w:szCs w:val="22"/>
                <w:lang w:bidi="ar"/>
              </w:rPr>
              <w:t>化学需氧量、氨氮、酸碱度、电导率、溶解氧、浊度、水温</w:t>
            </w:r>
          </w:p>
        </w:tc>
      </w:tr>
    </w:tbl>
    <w:p w14:paraId="6F4D5F1D">
      <w:pPr>
        <w:pStyle w:val="43"/>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注：项目实际实施点位可能根据项目需求进行调整，以实际情况为准。</w:t>
      </w:r>
    </w:p>
    <w:p w14:paraId="47795FDB">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通过对辖区重点点位水环境变化的实时趋势性监测和及时预警，实现部分环境监管人力、物力的有效节约，提升突发水质变化的响应速度，缩小排查范围和明晰管控重点，进一步提高河流巡查、水质监测的监管效率。</w:t>
      </w:r>
    </w:p>
    <w:p w14:paraId="10357392">
      <w:pPr>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outlineLvl w:val="1"/>
        <w:rPr>
          <w:rFonts w:hint="eastAsia" w:ascii="黑体" w:hAnsi="黑体" w:eastAsia="黑体" w:cs="宋体"/>
          <w:color w:val="auto"/>
          <w:kern w:val="0"/>
          <w:sz w:val="32"/>
          <w:szCs w:val="32"/>
        </w:rPr>
      </w:pPr>
      <w:r>
        <w:rPr>
          <w:rFonts w:hint="eastAsia" w:ascii="黑体" w:hAnsi="黑体" w:eastAsia="黑体" w:cs="宋体"/>
          <w:color w:val="auto"/>
          <w:kern w:val="0"/>
          <w:sz w:val="32"/>
          <w:szCs w:val="32"/>
        </w:rPr>
        <w:t>三、预期效果/目的</w:t>
      </w:r>
    </w:p>
    <w:p w14:paraId="22356D24">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通过提供在洨河、汪洋沟、槐河、沙河、滹沱河和白洋淀上游流域的</w:t>
      </w:r>
      <w:r>
        <w:rPr>
          <w:rFonts w:hint="eastAsia" w:ascii="仿宋_GB2312" w:hAnsi="宋体" w:eastAsia="仿宋_GB2312"/>
          <w:color w:val="auto"/>
          <w:sz w:val="32"/>
          <w:szCs w:val="32"/>
          <w:lang w:val="en-US" w:eastAsia="zh-CN"/>
        </w:rPr>
        <w:t>考核断面、河流交汇口、重点入河排污口、污水处理厂排口</w:t>
      </w:r>
      <w:r>
        <w:rPr>
          <w:rFonts w:hint="eastAsia" w:ascii="仿宋_GB2312" w:hAnsi="仿宋_GB2312" w:eastAsia="仿宋_GB2312" w:cs="仿宋_GB2312"/>
          <w:color w:val="auto"/>
          <w:sz w:val="32"/>
          <w:szCs w:val="32"/>
          <w:highlight w:val="none"/>
          <w:lang w:val="en-US" w:eastAsia="zh-CN"/>
        </w:rPr>
        <w:t>等25个重点位置的水质应急监测预警服务。预警站常规七参数监测周期可达分钟级，可实现快速监测、预警、提前预报和污染防治支持，一定程度上填补了常规水站监测方法存在的监测盲区。具有监测效率高、建设成本和运行成本低、建设周期短、机动性强等优势。</w:t>
      </w:r>
    </w:p>
    <w:p w14:paraId="48174176">
      <w:pPr>
        <w:keepLines w:val="0"/>
        <w:pageBreakBefore w:val="0"/>
        <w:kinsoku/>
        <w:wordWrap/>
        <w:overflowPunct/>
        <w:topLinePunct w:val="0"/>
        <w:autoSpaceDE/>
        <w:autoSpaceDN/>
        <w:bidi w:val="0"/>
        <w:adjustRightInd/>
        <w:snapToGrid/>
        <w:spacing w:line="360" w:lineRule="auto"/>
        <w:ind w:firstLine="640" w:firstLineChars="200"/>
        <w:jc w:val="both"/>
        <w:textAlignment w:val="auto"/>
        <w:outlineLvl w:val="1"/>
        <w:rPr>
          <w:rFonts w:ascii="黑体" w:hAnsi="黑体" w:eastAsia="黑体" w:cs="仿宋_GB2312"/>
          <w:bCs/>
          <w:color w:val="auto"/>
          <w:sz w:val="32"/>
          <w:szCs w:val="32"/>
        </w:rPr>
      </w:pPr>
      <w:r>
        <w:rPr>
          <w:rFonts w:hint="eastAsia" w:ascii="黑体" w:hAnsi="黑体" w:eastAsia="黑体" w:cs="仿宋_GB2312"/>
          <w:bCs/>
          <w:color w:val="auto"/>
          <w:sz w:val="32"/>
          <w:szCs w:val="32"/>
        </w:rPr>
        <w:t>四、实施要求</w:t>
      </w:r>
    </w:p>
    <w:p w14:paraId="426446E7">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（一）河流应急监测预警系统</w:t>
      </w:r>
    </w:p>
    <w:p w14:paraId="42CDF6F4">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1．总体要求</w:t>
      </w:r>
    </w:p>
    <w:p w14:paraId="0A0C695B">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GB" w:eastAsia="zh-CN"/>
        </w:rPr>
        <w:t>1）服务提供方必须有较强的系统集成和运维能力，提供优质的售后服务，在业界有良好的信誉和口碑，有丰富的项目经验。提供的方案要求系统性能稳定，监测数据可靠，代表性强，系统有一定的先进性、安全性和扩展性。</w:t>
      </w:r>
    </w:p>
    <w:p w14:paraId="1D115480">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（2）服务提供方所提供的仪器设备的性能应达到或优于相关标准规范中所列技术指标。</w:t>
      </w:r>
    </w:p>
    <w:p w14:paraId="40FA58B6">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（3）系统设置具有开放性，用户可根据需要自行设置运行中的各项参数，系统具有良好的扩展性，系统兼具移动端使用功能。</w:t>
      </w:r>
    </w:p>
    <w:p w14:paraId="06B864D0">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（4）服务提供方提供核心七参数（COD、氨氮、pH、电导、溶解氧、浊度、温度）监测站点所有数据，监测数据上传周期平均不得超过3分钟。</w:t>
      </w:r>
    </w:p>
    <w:p w14:paraId="793DF9AF">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en-GB" w:eastAsia="zh-CN"/>
        </w:rPr>
        <w:t>．监测站点要求</w:t>
      </w:r>
    </w:p>
    <w:p w14:paraId="532CFBE2">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（1）自动监测站的方案设计、设备配置和安装应符合国家、行业有关技术标准和规范，设备的测量精度应符合国家、行业的有关测验规范。</w:t>
      </w:r>
    </w:p>
    <w:p w14:paraId="1B15BD93">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（2）项目涉及监测站点具有对水体 COD、氨氮、pH、电导、溶氧、浊度、温度七个参数指标的监测能力。</w:t>
      </w:r>
    </w:p>
    <w:p w14:paraId="1A5E74E1">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lang w:val="en-GB" w:eastAsia="zh-CN"/>
        </w:rPr>
      </w:pPr>
      <w:r>
        <w:rPr>
          <w:rFonts w:hint="eastAsia" w:ascii="仿宋_GB2312" w:hAnsi="仿宋_GB2312" w:eastAsia="仿宋_GB2312" w:cs="仿宋_GB2312"/>
          <w:color w:val="auto"/>
          <w:sz w:val="32"/>
          <w:szCs w:val="32"/>
          <w:highlight w:val="none"/>
          <w:lang w:val="en-GB" w:eastAsia="zh-CN"/>
        </w:rPr>
        <w:t>（3）项目涉及监测站点具有对水体 COD、氨氮、pH、电导、溶氧、浊度、温度、总磷八个参数指标的监测能力。</w:t>
      </w:r>
    </w:p>
    <w:p w14:paraId="6D8B3F64">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en-GB" w:eastAsia="zh-CN"/>
        </w:rPr>
        <w:t>．河流应急监测预警系统运行、维护要求</w:t>
      </w:r>
    </w:p>
    <w:p w14:paraId="32092FC2">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（1）系统运行要求：应急预警监测</w:t>
      </w:r>
      <w:r>
        <w:rPr>
          <w:rFonts w:hint="eastAsia" w:ascii="仿宋_GB2312" w:hAnsi="仿宋_GB2312" w:eastAsia="仿宋_GB2312" w:cs="仿宋_GB2312"/>
          <w:color w:val="auto"/>
          <w:sz w:val="32"/>
          <w:szCs w:val="32"/>
          <w:highlight w:val="none"/>
          <w:lang w:val="en-US" w:eastAsia="zh-CN"/>
        </w:rPr>
        <w:t>数据传输要</w:t>
      </w:r>
      <w:r>
        <w:rPr>
          <w:rFonts w:hint="eastAsia" w:ascii="仿宋_GB2312" w:hAnsi="仿宋_GB2312" w:eastAsia="仿宋_GB2312" w:cs="仿宋_GB2312"/>
          <w:color w:val="auto"/>
          <w:sz w:val="32"/>
          <w:szCs w:val="32"/>
          <w:highlight w:val="none"/>
          <w:lang w:val="en-GB" w:eastAsia="zh-CN"/>
        </w:rPr>
        <w:t>保持24小时不间断运行（不可抗拒因素除外，第一时间向采购人报告）。</w:t>
      </w:r>
    </w:p>
    <w:p w14:paraId="41F9F1B1">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（2）系统维护要求：每个监测站点的维护频率不少于2 次/月，每次维护完成后，将维护地点、维护时间、维护人员、维护内容、维护结果形成报告（附带维护现场照片资料），报给采购人。</w:t>
      </w:r>
    </w:p>
    <w:p w14:paraId="23FCA654">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3）维护人员要求：本项目维护人员经采购人培训合格后方可上岗，保障系统和站点设备的正常运行。维护人员需熟练驾驶车辆，系统或站点设备出现问题，运维人员必须第一时间到达现场，原则上24小时内解决问题。</w:t>
      </w:r>
    </w:p>
    <w:p w14:paraId="3C91B401">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（二）</w:t>
      </w:r>
      <w:r>
        <w:rPr>
          <w:rFonts w:hint="eastAsia" w:ascii="仿宋_GB2312" w:hAnsi="仿宋_GB2312" w:eastAsia="仿宋_GB2312" w:cs="仿宋_GB2312"/>
          <w:color w:val="auto"/>
          <w:sz w:val="32"/>
          <w:szCs w:val="32"/>
          <w:highlight w:val="none"/>
          <w:lang w:val="en-US" w:eastAsia="zh-CN"/>
        </w:rPr>
        <w:t>重点</w:t>
      </w:r>
      <w:r>
        <w:rPr>
          <w:rFonts w:hint="eastAsia" w:ascii="仿宋_GB2312" w:hAnsi="仿宋_GB2312" w:eastAsia="仿宋_GB2312" w:cs="仿宋_GB2312"/>
          <w:color w:val="auto"/>
          <w:sz w:val="32"/>
          <w:szCs w:val="32"/>
          <w:highlight w:val="none"/>
          <w:lang w:val="en-GB" w:eastAsia="zh-CN"/>
        </w:rPr>
        <w:t>河流应急监测预警1年期服务</w:t>
      </w:r>
    </w:p>
    <w:p w14:paraId="6E1303EF">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1.总体要求</w:t>
      </w:r>
    </w:p>
    <w:p w14:paraId="587C1C4B">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（1）服务提供方必须保证数据有效、及时的交由用户，数据应以电子报表或纸质报表的形式呈送。未经用户允许，不得将数据提供给任何单位和个人。</w:t>
      </w:r>
    </w:p>
    <w:p w14:paraId="3C239283">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（2）服务提供方可提供足够数量的应急备机，用于适配采购人动态监管需求、加密布点等工作要求。</w:t>
      </w:r>
    </w:p>
    <w:p w14:paraId="1E12A44F">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（3）服务提供方应为运维人员配备越野性能良好的车辆，保证运维工作的安全、顺利和效率。</w:t>
      </w:r>
    </w:p>
    <w:p w14:paraId="6A096054">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（4）服务提供方必须具有专门的数据分析团队，保障数据分析服务的及时性、有效性和准确性。</w:t>
      </w:r>
    </w:p>
    <w:p w14:paraId="0F3CC567">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5）服务提供方必须具有专业的运行、维护服务团队并且运行、维护人员经培训合格后方可上岗，保障系统和站点设备的正常运行，系统或站点设备出现问题，维护人员必须第一时间到达现场，原则上24小时内解决问题，并每日安排不少于1人</w:t>
      </w:r>
      <w:r>
        <w:rPr>
          <w:rFonts w:hint="eastAsia" w:ascii="仿宋_GB2312" w:hAnsi="仿宋_GB2312" w:eastAsia="仿宋_GB2312" w:cs="仿宋_GB2312"/>
          <w:color w:val="auto"/>
          <w:sz w:val="32"/>
          <w:szCs w:val="32"/>
          <w:highlight w:val="none"/>
          <w:lang w:val="en-US" w:eastAsia="zh-CN"/>
        </w:rPr>
        <w:t>24小时</w:t>
      </w:r>
      <w:r>
        <w:rPr>
          <w:rFonts w:hint="eastAsia" w:ascii="仿宋_GB2312" w:hAnsi="仿宋_GB2312" w:eastAsia="仿宋_GB2312" w:cs="仿宋_GB2312"/>
          <w:color w:val="auto"/>
          <w:sz w:val="32"/>
          <w:szCs w:val="32"/>
          <w:highlight w:val="none"/>
          <w:lang w:val="en-GB" w:eastAsia="zh-CN"/>
        </w:rPr>
        <w:t>驻局开展工作。</w:t>
      </w:r>
    </w:p>
    <w:p w14:paraId="784ED2A9">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2.具体要求</w:t>
      </w:r>
    </w:p>
    <w:p w14:paraId="7D0FF91D">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（1）服务提供方按照日报、周报和月报的形式定期向用户提供监测分析报告。当出现水质监测数值超标1倍或异常时，应立即上报采购人，并在24小时内，提供专题分析报告。</w:t>
      </w:r>
    </w:p>
    <w:p w14:paraId="22B074E5">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（2）服务提供方每次维护完成后，将维护地点、维护时间、维护人员、维护内容、维护结果形成报告（附带维护现场照片资料），报给采购人。</w:t>
      </w:r>
    </w:p>
    <w:p w14:paraId="1E00FAC4">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（3）数据质量要求：每个点位有效数据获取率大于等于 90％(不可抗拒因素除外)。</w:t>
      </w:r>
    </w:p>
    <w:p w14:paraId="7EF296E5">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（4）数据有效性要求：数据的有效性由用户根据服务提供方提供的监测断面历史数据、当期运维报告、质控报告等进行判断。</w:t>
      </w:r>
    </w:p>
    <w:p w14:paraId="4CF215EE">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（5）服务提供方应配套便携式水质多参数监测设备、潜望镜、管道检测机器人等设备对管网、排污口等污染问题，进行</w:t>
      </w:r>
      <w:r>
        <w:rPr>
          <w:rFonts w:hint="eastAsia" w:ascii="仿宋_GB2312" w:hAnsi="仿宋_GB2312" w:eastAsia="仿宋_GB2312" w:cs="仿宋_GB2312"/>
          <w:color w:val="auto"/>
          <w:sz w:val="32"/>
          <w:szCs w:val="32"/>
          <w:highlight w:val="none"/>
          <w:lang w:val="en-US" w:eastAsia="zh-CN"/>
        </w:rPr>
        <w:t>排查</w:t>
      </w:r>
      <w:r>
        <w:rPr>
          <w:rFonts w:hint="eastAsia" w:ascii="仿宋_GB2312" w:hAnsi="仿宋_GB2312" w:eastAsia="仿宋_GB2312" w:cs="仿宋_GB2312"/>
          <w:color w:val="auto"/>
          <w:sz w:val="32"/>
          <w:szCs w:val="32"/>
          <w:highlight w:val="none"/>
          <w:lang w:val="en-GB" w:eastAsia="zh-CN"/>
        </w:rPr>
        <w:t>溯源工作解析。</w:t>
      </w:r>
    </w:p>
    <w:p w14:paraId="0F93B0EB">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GB" w:eastAsia="zh-CN"/>
        </w:rPr>
        <w:t>（</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val="en-GB" w:eastAsia="zh-CN"/>
        </w:rPr>
        <w:t>）</w:t>
      </w:r>
      <w:r>
        <w:rPr>
          <w:rFonts w:hint="eastAsia" w:ascii="仿宋_GB2312" w:hAnsi="仿宋_GB2312" w:eastAsia="仿宋_GB2312" w:cs="仿宋_GB2312"/>
          <w:color w:val="auto"/>
          <w:sz w:val="32"/>
          <w:szCs w:val="32"/>
          <w:highlight w:val="none"/>
          <w:lang w:val="en-US" w:eastAsia="zh-CN"/>
        </w:rPr>
        <w:t>每个包段的</w:t>
      </w:r>
      <w:r>
        <w:rPr>
          <w:rFonts w:hint="eastAsia" w:ascii="仿宋_GB2312" w:hAnsi="仿宋_GB2312" w:eastAsia="仿宋_GB2312" w:cs="仿宋_GB2312"/>
          <w:color w:val="auto"/>
          <w:sz w:val="32"/>
          <w:szCs w:val="32"/>
          <w:highlight w:val="none"/>
          <w:lang w:val="en-GB" w:eastAsia="zh-CN"/>
        </w:rPr>
        <w:t>服务提供方应组建不低于</w:t>
      </w:r>
      <w:r>
        <w:rPr>
          <w:rFonts w:hint="eastAsia" w:ascii="仿宋_GB2312" w:hAnsi="仿宋_GB2312" w:eastAsia="仿宋_GB2312" w:cs="仿宋_GB2312"/>
          <w:color w:val="auto"/>
          <w:sz w:val="32"/>
          <w:szCs w:val="32"/>
          <w:highlight w:val="none"/>
          <w:lang w:val="en-US" w:eastAsia="zh-CN"/>
        </w:rPr>
        <w:t>5人的管理团队，项目经理1人、现场巡查2人、数据分析2人，配备</w:t>
      </w:r>
      <w:r>
        <w:rPr>
          <w:rFonts w:hint="eastAsia" w:ascii="仿宋_GB2312" w:hAnsi="仿宋_GB2312" w:eastAsia="仿宋_GB2312" w:cs="仿宋_GB2312"/>
          <w:color w:val="auto"/>
          <w:sz w:val="32"/>
          <w:szCs w:val="32"/>
          <w:highlight w:val="none"/>
          <w:lang w:val="en-GB" w:eastAsia="zh-CN"/>
        </w:rPr>
        <w:t>不低于</w:t>
      </w:r>
      <w:r>
        <w:rPr>
          <w:rFonts w:hint="eastAsia" w:ascii="仿宋_GB2312" w:hAnsi="仿宋_GB2312" w:eastAsia="仿宋_GB2312" w:cs="仿宋_GB2312"/>
          <w:color w:val="auto"/>
          <w:sz w:val="32"/>
          <w:szCs w:val="32"/>
          <w:highlight w:val="none"/>
          <w:lang w:val="en-US" w:eastAsia="zh-CN"/>
        </w:rPr>
        <w:t>1辆服务巡查车辆。服务提供方应根据实际情况，足额配备项目所需人员与车辆资源，保障项目持续平稳实施。</w:t>
      </w:r>
    </w:p>
    <w:p w14:paraId="706FE382">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lang w:val="en-GB" w:eastAsia="zh-CN"/>
        </w:rPr>
        <w:t>）投标人拟投入本项目维护人员需会驾驶车辆，如服务提供方需要更换本项目人员时，需向采购人说明情况并及时更换人员名单，未经采购人允许，不得随意调整。</w:t>
      </w:r>
    </w:p>
    <w:p w14:paraId="2F181377">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（三）服务考核要求</w:t>
      </w:r>
    </w:p>
    <w:p w14:paraId="2A01AF71">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对服务提供方每3个月一次考核，由服务提供方负责提供服务小结，包括3个月内的日报、周报和月报及出现水质监测数值超标1倍或异常时专题分析报告情况，内容包括仪器分析、数据采集、数据传输有效性准确性，反映水质的变化趋势和反映流域水体的变化趋势。运维人员及数据分析队伍的运行、运维、分析情况、备品备件库的使用情况。</w:t>
      </w:r>
    </w:p>
    <w:p w14:paraId="2DE74A55">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服务提供方要全面维护各监测站点。月运转率不低于90%（除去停水停电，性能测试及其他不可抗拒因素引起的故障）。</w:t>
      </w:r>
    </w:p>
    <w:p w14:paraId="73864987">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单台仪器月运行率=（该仪器月在线天数/月天数）×100%</w:t>
      </w:r>
    </w:p>
    <w:p w14:paraId="1841915D">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GB" w:eastAsia="zh-CN"/>
        </w:rPr>
      </w:pPr>
      <w:r>
        <w:rPr>
          <w:rFonts w:hint="eastAsia" w:ascii="仿宋_GB2312" w:hAnsi="仿宋_GB2312" w:eastAsia="仿宋_GB2312" w:cs="仿宋_GB2312"/>
          <w:color w:val="auto"/>
          <w:sz w:val="32"/>
          <w:szCs w:val="32"/>
          <w:highlight w:val="none"/>
          <w:lang w:val="en-GB" w:eastAsia="zh-CN"/>
        </w:rPr>
        <w:t>考核结果作为服务周期年度服务考核的依据。</w:t>
      </w:r>
    </w:p>
    <w:p w14:paraId="293786B8">
      <w:pPr>
        <w:keepLines w:val="0"/>
        <w:pageBreakBefore w:val="0"/>
        <w:numPr>
          <w:ilvl w:val="0"/>
          <w:numId w:val="2"/>
        </w:numPr>
        <w:kinsoku/>
        <w:wordWrap/>
        <w:overflowPunct/>
        <w:topLinePunct w:val="0"/>
        <w:autoSpaceDE/>
        <w:autoSpaceDN/>
        <w:bidi w:val="0"/>
        <w:adjustRightInd/>
        <w:snapToGrid/>
        <w:spacing w:line="360" w:lineRule="auto"/>
        <w:ind w:firstLine="640" w:firstLineChars="200"/>
        <w:jc w:val="left"/>
        <w:textAlignment w:val="auto"/>
        <w:outlineLvl w:val="1"/>
        <w:rPr>
          <w:rFonts w:ascii="黑体" w:hAnsi="黑体" w:eastAsia="黑体" w:cs="仿宋_GB2312"/>
          <w:bCs/>
          <w:color w:val="auto"/>
          <w:sz w:val="32"/>
          <w:szCs w:val="32"/>
        </w:rPr>
      </w:pPr>
      <w:r>
        <w:rPr>
          <w:rFonts w:hint="eastAsia" w:ascii="黑体" w:hAnsi="黑体" w:eastAsia="黑体" w:cs="仿宋_GB2312"/>
          <w:bCs/>
          <w:color w:val="auto"/>
          <w:sz w:val="32"/>
          <w:szCs w:val="32"/>
        </w:rPr>
        <w:t>其他要求</w:t>
      </w:r>
    </w:p>
    <w:p w14:paraId="6A0D1004">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1、服务期限：项目合同签订后1年。</w:t>
      </w:r>
    </w:p>
    <w:p w14:paraId="24B75704">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2、服务质量标准：合格。</w:t>
      </w:r>
    </w:p>
    <w:p w14:paraId="2A32155E">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3、服务地点：（包1）16个监测点位、（包2）9个监测点位，具体采购人指定点位。</w:t>
      </w:r>
    </w:p>
    <w:p w14:paraId="601C2657">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4、付款条件：按照合同支付。</w:t>
      </w:r>
    </w:p>
    <w:p w14:paraId="7BA6249C">
      <w:pPr>
        <w:keepLines w:val="0"/>
        <w:pageBreakBefore w:val="0"/>
        <w:kinsoku/>
        <w:wordWrap/>
        <w:overflowPunct/>
        <w:topLinePunct w:val="0"/>
        <w:autoSpaceDE/>
        <w:autoSpaceDN/>
        <w:bidi w:val="0"/>
        <w:adjustRightInd/>
        <w:snapToGrid/>
        <w:spacing w:line="360" w:lineRule="auto"/>
        <w:ind w:firstLine="640" w:firstLineChars="200"/>
        <w:jc w:val="left"/>
        <w:textAlignment w:val="auto"/>
        <w:outlineLvl w:val="1"/>
        <w:rPr>
          <w:color w:val="auto"/>
        </w:rPr>
      </w:pPr>
      <w:r>
        <w:rPr>
          <w:rFonts w:hint="eastAsia" w:ascii="黑体" w:hAnsi="黑体" w:eastAsia="黑体" w:cs="仿宋_GB2312"/>
          <w:bCs/>
          <w:color w:val="auto"/>
          <w:sz w:val="32"/>
          <w:szCs w:val="32"/>
        </w:rPr>
        <w:t>六、项目效益分析</w:t>
      </w:r>
    </w:p>
    <w:p w14:paraId="45AE9F5B">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1、经济效益</w:t>
      </w:r>
    </w:p>
    <w:p w14:paraId="25EE4832">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能够有效解决制约河流水质监测工作中存在的人力、物力、时效性等问题，使分散、局域性的管理更趋于系统性、整体性，增加日常管理工作的便捷性和时效性，进一步降低监测管理成本。</w:t>
      </w:r>
    </w:p>
    <w:p w14:paraId="225332B3">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2、社会效益</w:t>
      </w:r>
    </w:p>
    <w:p w14:paraId="7EBE5814">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显著提高生态环境主管部门的快速反应和指挥能力，缩短重大污染事故的处理时间，保障河流水环境，推进安全管理、提高监督检查质量和效率的必要，提高政府公共服务水平和社会化水平。</w:t>
      </w:r>
    </w:p>
    <w:p w14:paraId="5D3DF517">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3、生态效益</w:t>
      </w:r>
    </w:p>
    <w:p w14:paraId="0EF279CF">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切实减少河流水环境污染事件，解决环境治理与经济发展之间的矛盾，有效地监管河流水环境，积极预防、缓解水资源污染，从而促进全市河流水环境质量的持续改善，推动资源节约型、环境友好型城市的建设进度。</w:t>
      </w:r>
    </w:p>
    <w:p w14:paraId="629C2BFD">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4、可持续影响</w:t>
      </w:r>
    </w:p>
    <w:p w14:paraId="35EB3A6C">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通过水环境实时监测应急预警技术手段的持续应用，水质突发变化</w:t>
      </w:r>
      <w:r>
        <w:rPr>
          <w:rFonts w:hint="eastAsia" w:ascii="仿宋_GB2312" w:hAnsi="仿宋_GB2312" w:eastAsia="仿宋_GB2312" w:cs="仿宋_GB2312"/>
          <w:color w:val="auto"/>
          <w:sz w:val="32"/>
          <w:szCs w:val="32"/>
          <w:highlight w:val="none"/>
          <w:lang w:val="en-US" w:eastAsia="zh-CN"/>
        </w:rPr>
        <w:t>时</w:t>
      </w:r>
      <w:r>
        <w:rPr>
          <w:rFonts w:hint="default" w:ascii="仿宋_GB2312" w:hAnsi="仿宋_GB2312" w:eastAsia="仿宋_GB2312" w:cs="仿宋_GB2312"/>
          <w:color w:val="auto"/>
          <w:sz w:val="32"/>
          <w:szCs w:val="32"/>
          <w:highlight w:val="none"/>
          <w:lang w:val="en-US" w:eastAsia="zh-CN"/>
        </w:rPr>
        <w:t>环境执法人员对快速找到监管重点区域或点位，根据实时监测数据支持进行有针对性的现场执法检查，进一步实现</w:t>
      </w:r>
      <w:r>
        <w:rPr>
          <w:rFonts w:hint="eastAsia" w:ascii="仿宋_GB2312" w:hAnsi="仿宋_GB2312" w:eastAsia="仿宋_GB2312" w:cs="仿宋_GB2312"/>
          <w:color w:val="auto"/>
          <w:sz w:val="32"/>
          <w:szCs w:val="32"/>
          <w:highlight w:val="none"/>
          <w:lang w:val="en-US" w:eastAsia="zh-CN"/>
        </w:rPr>
        <w:t>辖区水环境的</w:t>
      </w:r>
      <w:r>
        <w:rPr>
          <w:rFonts w:hint="default" w:ascii="仿宋_GB2312" w:hAnsi="仿宋_GB2312" w:eastAsia="仿宋_GB2312" w:cs="仿宋_GB2312"/>
          <w:color w:val="auto"/>
          <w:sz w:val="32"/>
          <w:szCs w:val="32"/>
          <w:highlight w:val="none"/>
          <w:lang w:val="en-US" w:eastAsia="zh-CN"/>
        </w:rPr>
        <w:t>精准控源和长效监管</w:t>
      </w:r>
      <w:r>
        <w:rPr>
          <w:rFonts w:hint="eastAsia" w:ascii="仿宋_GB2312" w:hAnsi="仿宋_GB2312" w:eastAsia="仿宋_GB2312" w:cs="仿宋_GB2312"/>
          <w:color w:val="auto"/>
          <w:sz w:val="32"/>
          <w:szCs w:val="32"/>
          <w:highlight w:val="none"/>
          <w:lang w:val="en-US" w:eastAsia="zh-CN"/>
        </w:rPr>
        <w:t>。</w:t>
      </w:r>
    </w:p>
    <w:p w14:paraId="2AE137FF">
      <w:pPr>
        <w:pageBreakBefore w:val="0"/>
        <w:kinsoku/>
        <w:wordWrap/>
        <w:overflowPunct/>
        <w:topLinePunct w:val="0"/>
        <w:autoSpaceDE/>
        <w:autoSpaceDN/>
        <w:bidi w:val="0"/>
        <w:adjustRightInd/>
        <w:snapToGrid/>
        <w:spacing w:line="360" w:lineRule="auto"/>
        <w:ind w:firstLine="640" w:firstLineChars="200"/>
        <w:jc w:val="left"/>
        <w:textAlignment w:val="auto"/>
        <w:outlineLvl w:val="1"/>
        <w:rPr>
          <w:rFonts w:ascii="黑体" w:hAnsi="黑体" w:eastAsia="黑体" w:cs="仿宋_GB2312"/>
          <w:bCs/>
          <w:color w:val="auto"/>
          <w:sz w:val="32"/>
          <w:szCs w:val="32"/>
        </w:rPr>
      </w:pPr>
      <w:r>
        <w:rPr>
          <w:rFonts w:hint="eastAsia" w:ascii="黑体" w:hAnsi="黑体" w:eastAsia="黑体" w:cs="仿宋_GB2312"/>
          <w:bCs/>
          <w:color w:val="auto"/>
          <w:sz w:val="32"/>
          <w:szCs w:val="32"/>
        </w:rPr>
        <w:t>七、项目验收方案及要求</w:t>
      </w:r>
    </w:p>
    <w:p w14:paraId="76410DDA">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服务方提供的服务应符合招标文件、投标文件和项目合同约定的相关要求，服务期满并达到履约要求后，采购人向局采购办报《履约验收申请表》，并组织局采购领导小组成员单位对本项目进行验收，并出具确认意见或验收报告。</w:t>
      </w:r>
    </w:p>
    <w:p w14:paraId="34379F4B">
      <w:pPr>
        <w:pStyle w:val="3"/>
        <w:keepNext w:val="0"/>
        <w:keepLines w:val="0"/>
        <w:pageBreakBefore w:val="0"/>
        <w:kinsoku/>
        <w:wordWrap/>
        <w:overflowPunct/>
        <w:topLinePunct w:val="0"/>
        <w:autoSpaceDE/>
        <w:autoSpaceDN/>
        <w:bidi w:val="0"/>
        <w:adjustRightInd w:val="0"/>
        <w:spacing w:line="560" w:lineRule="exact"/>
        <w:ind w:right="0" w:rightChars="0" w:firstLine="640"/>
        <w:jc w:val="left"/>
        <w:textAlignment w:val="auto"/>
        <w:rPr>
          <w:rFonts w:hint="eastAsia" w:ascii="仿宋_GB2312" w:hAnsi="仿宋_GB2312" w:eastAsia="仿宋_GB2312" w:cs="仿宋_GB2312"/>
          <w:b w:val="0"/>
          <w:bCs/>
          <w:color w:val="auto"/>
          <w:sz w:val="32"/>
          <w:szCs w:val="32"/>
          <w:lang w:val="en-US" w:eastAsia="zh-CN"/>
        </w:rPr>
      </w:pPr>
    </w:p>
    <w:p w14:paraId="6FC7E551">
      <w:pPr>
        <w:pStyle w:val="3"/>
        <w:keepNext w:val="0"/>
        <w:keepLines w:val="0"/>
        <w:pageBreakBefore w:val="0"/>
        <w:kinsoku/>
        <w:wordWrap/>
        <w:overflowPunct/>
        <w:topLinePunct w:val="0"/>
        <w:autoSpaceDE/>
        <w:autoSpaceDN/>
        <w:bidi w:val="0"/>
        <w:adjustRightInd w:val="0"/>
        <w:spacing w:line="560" w:lineRule="exact"/>
        <w:ind w:right="0" w:rightChars="0" w:firstLine="640"/>
        <w:jc w:val="left"/>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br w:type="page"/>
      </w:r>
    </w:p>
    <w:p w14:paraId="56CE1E7A">
      <w:pPr>
        <w:pStyle w:val="3"/>
        <w:keepNext w:val="0"/>
        <w:keepLines w:val="0"/>
        <w:pageBreakBefore w:val="0"/>
        <w:kinsoku/>
        <w:wordWrap/>
        <w:overflowPunct/>
        <w:topLinePunct w:val="0"/>
        <w:autoSpaceDE/>
        <w:autoSpaceDN/>
        <w:bidi w:val="0"/>
        <w:adjustRightInd w:val="0"/>
        <w:spacing w:line="560" w:lineRule="exact"/>
        <w:ind w:right="0" w:rightChars="0"/>
        <w:jc w:val="left"/>
        <w:textAlignment w:val="auto"/>
        <w:rPr>
          <w:rFonts w:ascii="黑体" w:hAnsi="黑体" w:eastAsia="黑体" w:cs="黑体"/>
          <w:color w:val="auto"/>
          <w:sz w:val="28"/>
          <w:szCs w:val="28"/>
        </w:rPr>
      </w:pPr>
      <w:r>
        <w:rPr>
          <w:rFonts w:hint="eastAsia" w:ascii="黑体" w:hAnsi="黑体" w:eastAsia="黑体" w:cs="黑体"/>
          <w:b w:val="0"/>
          <w:bCs/>
          <w:color w:val="auto"/>
          <w:sz w:val="32"/>
          <w:szCs w:val="32"/>
        </w:rPr>
        <w:t>附件3</w:t>
      </w:r>
    </w:p>
    <w:p w14:paraId="58B40BC4">
      <w:pPr>
        <w:keepNext w:val="0"/>
        <w:keepLines w:val="0"/>
        <w:pageBreakBefore w:val="0"/>
        <w:kinsoku/>
        <w:wordWrap/>
        <w:overflowPunct/>
        <w:topLinePunct w:val="0"/>
        <w:autoSpaceDE/>
        <w:autoSpaceDN/>
        <w:bidi w:val="0"/>
        <w:spacing w:line="560" w:lineRule="exact"/>
        <w:ind w:left="1500" w:right="0" w:rightChars="0"/>
        <w:jc w:val="right"/>
        <w:textAlignment w:val="auto"/>
        <w:rPr>
          <w:rFonts w:ascii="仿宋_GB2312" w:hAnsi="仿宋_GB2312" w:eastAsia="仿宋_GB2312" w:cs="仿宋_GB2312"/>
          <w:b/>
          <w:color w:val="auto"/>
          <w:sz w:val="36"/>
        </w:rPr>
      </w:pPr>
      <w:r>
        <w:rPr>
          <w:rFonts w:hint="eastAsia" w:ascii="仿宋_GB2312" w:hAnsi="仿宋_GB2312" w:eastAsia="仿宋_GB2312" w:cs="仿宋_GB2312"/>
          <w:b/>
          <w:color w:val="auto"/>
          <w:sz w:val="36"/>
        </w:rPr>
        <w:t>正本(副本)</w:t>
      </w:r>
    </w:p>
    <w:p w14:paraId="7364DC19">
      <w:pPr>
        <w:keepNext w:val="0"/>
        <w:keepLines w:val="0"/>
        <w:pageBreakBefore w:val="0"/>
        <w:kinsoku/>
        <w:wordWrap/>
        <w:overflowPunct/>
        <w:topLinePunct w:val="0"/>
        <w:autoSpaceDE/>
        <w:autoSpaceDN/>
        <w:bidi w:val="0"/>
        <w:spacing w:line="560" w:lineRule="exact"/>
        <w:ind w:left="1500" w:right="0" w:rightChars="0"/>
        <w:jc w:val="right"/>
        <w:textAlignment w:val="auto"/>
        <w:rPr>
          <w:rFonts w:ascii="仿宋_GB2312" w:hAnsi="仿宋_GB2312" w:eastAsia="仿宋_GB2312" w:cs="仿宋_GB2312"/>
          <w:b/>
          <w:color w:val="auto"/>
          <w:sz w:val="36"/>
        </w:rPr>
      </w:pPr>
    </w:p>
    <w:p w14:paraId="44E75487">
      <w:pPr>
        <w:keepNext w:val="0"/>
        <w:keepLines w:val="0"/>
        <w:pageBreakBefore w:val="0"/>
        <w:kinsoku/>
        <w:wordWrap/>
        <w:overflowPunct/>
        <w:topLinePunct w:val="0"/>
        <w:autoSpaceDE/>
        <w:autoSpaceDN/>
        <w:bidi w:val="0"/>
        <w:spacing w:line="560" w:lineRule="exact"/>
        <w:ind w:left="1500" w:right="0" w:rightChars="0"/>
        <w:jc w:val="right"/>
        <w:textAlignment w:val="auto"/>
        <w:rPr>
          <w:rFonts w:ascii="仿宋_GB2312" w:hAnsi="仿宋_GB2312" w:eastAsia="仿宋_GB2312" w:cs="仿宋_GB2312"/>
          <w:b/>
          <w:color w:val="auto"/>
          <w:sz w:val="36"/>
        </w:rPr>
      </w:pPr>
    </w:p>
    <w:p w14:paraId="67E9C500">
      <w:pPr>
        <w:keepNext w:val="0"/>
        <w:keepLines w:val="0"/>
        <w:pageBreakBefore w:val="0"/>
        <w:kinsoku/>
        <w:wordWrap/>
        <w:overflowPunct/>
        <w:topLinePunct w:val="0"/>
        <w:autoSpaceDE/>
        <w:autoSpaceDN/>
        <w:bidi w:val="0"/>
        <w:spacing w:line="560" w:lineRule="exact"/>
        <w:ind w:right="0" w:rightChars="0"/>
        <w:textAlignment w:val="auto"/>
        <w:rPr>
          <w:rFonts w:ascii="仿宋_GB2312" w:hAnsi="仿宋_GB2312" w:eastAsia="仿宋_GB2312" w:cs="仿宋_GB2312"/>
          <w:color w:val="auto"/>
        </w:rPr>
      </w:pPr>
    </w:p>
    <w:p w14:paraId="0DD83F0C">
      <w:pPr>
        <w:keepNext w:val="0"/>
        <w:keepLines w:val="0"/>
        <w:pageBreakBefore w:val="0"/>
        <w:kinsoku/>
        <w:wordWrap/>
        <w:overflowPunct/>
        <w:topLinePunct w:val="0"/>
        <w:autoSpaceDE/>
        <w:autoSpaceDN/>
        <w:bidi w:val="0"/>
        <w:spacing w:line="560" w:lineRule="exact"/>
        <w:ind w:right="0" w:rightChars="0"/>
        <w:textAlignment w:val="auto"/>
        <w:rPr>
          <w:rFonts w:ascii="仿宋_GB2312" w:hAnsi="仿宋_GB2312" w:eastAsia="仿宋_GB2312" w:cs="仿宋_GB2312"/>
          <w:color w:val="auto"/>
        </w:rPr>
      </w:pPr>
    </w:p>
    <w:p w14:paraId="1025DE99">
      <w:pPr>
        <w:keepNext w:val="0"/>
        <w:keepLines w:val="0"/>
        <w:pageBreakBefore w:val="0"/>
        <w:kinsoku/>
        <w:wordWrap/>
        <w:overflowPunct/>
        <w:topLinePunct w:val="0"/>
        <w:autoSpaceDE/>
        <w:autoSpaceDN/>
        <w:bidi w:val="0"/>
        <w:spacing w:line="560" w:lineRule="exact"/>
        <w:ind w:left="1500" w:right="0" w:rightChars="0"/>
        <w:textAlignment w:val="auto"/>
        <w:rPr>
          <w:rFonts w:ascii="仿宋_GB2312" w:hAnsi="仿宋_GB2312" w:eastAsia="仿宋_GB2312" w:cs="仿宋_GB2312"/>
          <w:b/>
          <w:color w:val="auto"/>
          <w:sz w:val="36"/>
        </w:rPr>
      </w:pPr>
      <w:r>
        <w:rPr>
          <w:rFonts w:hint="eastAsia" w:ascii="仿宋_GB2312" w:hAnsi="仿宋_GB2312" w:eastAsia="仿宋_GB2312" w:cs="仿宋_GB2312"/>
          <w:bCs/>
          <w:color w:val="auto"/>
          <w:sz w:val="36"/>
          <w:u w:val="single"/>
        </w:rPr>
        <w:t xml:space="preserve">                             </w:t>
      </w:r>
      <w:r>
        <w:rPr>
          <w:rFonts w:hint="eastAsia" w:ascii="仿宋_GB2312" w:hAnsi="仿宋_GB2312" w:eastAsia="仿宋_GB2312" w:cs="仿宋_GB2312"/>
          <w:b/>
          <w:color w:val="auto"/>
          <w:sz w:val="36"/>
        </w:rPr>
        <w:t>项目</w:t>
      </w:r>
    </w:p>
    <w:p w14:paraId="73080869">
      <w:pPr>
        <w:keepNext w:val="0"/>
        <w:keepLines w:val="0"/>
        <w:pageBreakBefore w:val="0"/>
        <w:kinsoku/>
        <w:wordWrap/>
        <w:overflowPunct/>
        <w:topLinePunct w:val="0"/>
        <w:autoSpaceDE/>
        <w:autoSpaceDN/>
        <w:bidi w:val="0"/>
        <w:spacing w:line="560" w:lineRule="exact"/>
        <w:ind w:right="0" w:rightChars="0"/>
        <w:jc w:val="center"/>
        <w:textAlignment w:val="auto"/>
        <w:rPr>
          <w:rFonts w:ascii="仿宋_GB2312" w:hAnsi="仿宋_GB2312" w:eastAsia="仿宋_GB2312" w:cs="仿宋_GB2312"/>
          <w:b/>
          <w:color w:val="auto"/>
          <w:sz w:val="72"/>
        </w:rPr>
      </w:pPr>
    </w:p>
    <w:p w14:paraId="26F5AB4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ascii="仿宋_GB2312" w:hAnsi="仿宋_GB2312" w:eastAsia="仿宋_GB2312" w:cs="仿宋_GB2312"/>
          <w:b/>
          <w:color w:val="auto"/>
          <w:sz w:val="72"/>
        </w:rPr>
      </w:pPr>
      <w:r>
        <w:rPr>
          <w:rFonts w:hint="eastAsia" w:ascii="仿宋_GB2312" w:hAnsi="仿宋_GB2312" w:eastAsia="仿宋_GB2312" w:cs="仿宋_GB2312"/>
          <w:b/>
          <w:color w:val="auto"/>
          <w:sz w:val="72"/>
        </w:rPr>
        <w:t>询价响应文件</w:t>
      </w:r>
    </w:p>
    <w:p w14:paraId="4FD590EA">
      <w:pPr>
        <w:keepNext w:val="0"/>
        <w:keepLines w:val="0"/>
        <w:pageBreakBefore w:val="0"/>
        <w:kinsoku/>
        <w:wordWrap/>
        <w:overflowPunct/>
        <w:topLinePunct w:val="0"/>
        <w:autoSpaceDE/>
        <w:autoSpaceDN/>
        <w:bidi w:val="0"/>
        <w:spacing w:line="560" w:lineRule="exact"/>
        <w:ind w:right="0" w:rightChars="0"/>
        <w:jc w:val="center"/>
        <w:textAlignment w:val="auto"/>
        <w:rPr>
          <w:rFonts w:ascii="仿宋_GB2312" w:hAnsi="仿宋_GB2312" w:eastAsia="仿宋_GB2312" w:cs="仿宋_GB2312"/>
          <w:b/>
          <w:color w:val="auto"/>
          <w:sz w:val="48"/>
        </w:rPr>
      </w:pPr>
    </w:p>
    <w:p w14:paraId="2D8000CB">
      <w:pPr>
        <w:keepNext w:val="0"/>
        <w:keepLines w:val="0"/>
        <w:pageBreakBefore w:val="0"/>
        <w:kinsoku/>
        <w:wordWrap/>
        <w:overflowPunct/>
        <w:topLinePunct w:val="0"/>
        <w:autoSpaceDE/>
        <w:autoSpaceDN/>
        <w:bidi w:val="0"/>
        <w:spacing w:line="560" w:lineRule="exact"/>
        <w:ind w:right="0" w:rightChars="0"/>
        <w:textAlignment w:val="auto"/>
        <w:rPr>
          <w:rFonts w:ascii="仿宋_GB2312" w:hAnsi="仿宋_GB2312" w:eastAsia="仿宋_GB2312" w:cs="仿宋_GB2312"/>
          <w:b/>
          <w:color w:val="auto"/>
          <w:sz w:val="48"/>
        </w:rPr>
      </w:pPr>
    </w:p>
    <w:p w14:paraId="352B6D78">
      <w:pPr>
        <w:pStyle w:val="2"/>
        <w:rPr>
          <w:rFonts w:ascii="仿宋_GB2312" w:hAnsi="仿宋_GB2312" w:eastAsia="仿宋_GB2312" w:cs="仿宋_GB2312"/>
          <w:b/>
          <w:color w:val="auto"/>
          <w:sz w:val="48"/>
        </w:rPr>
      </w:pPr>
    </w:p>
    <w:p w14:paraId="101F344E">
      <w:pPr>
        <w:pStyle w:val="5"/>
        <w:rPr>
          <w:color w:val="auto"/>
        </w:rPr>
      </w:pPr>
    </w:p>
    <w:p w14:paraId="0F63D81C">
      <w:pPr>
        <w:keepNext w:val="0"/>
        <w:keepLines w:val="0"/>
        <w:pageBreakBefore w:val="0"/>
        <w:kinsoku/>
        <w:wordWrap/>
        <w:overflowPunct/>
        <w:topLinePunct w:val="0"/>
        <w:autoSpaceDE/>
        <w:autoSpaceDN/>
        <w:bidi w:val="0"/>
        <w:snapToGrid w:val="0"/>
        <w:spacing w:line="560" w:lineRule="exact"/>
        <w:ind w:right="0" w:rightChars="0" w:firstLine="658" w:firstLineChars="200"/>
        <w:textAlignment w:val="auto"/>
        <w:rPr>
          <w:rFonts w:hint="eastAsia" w:ascii="仿宋_GB2312" w:hAnsi="仿宋_GB2312" w:eastAsia="仿宋_GB2312" w:cs="仿宋_GB2312"/>
          <w:b/>
          <w:color w:val="auto"/>
          <w:sz w:val="30"/>
          <w:u w:val="single"/>
        </w:rPr>
      </w:pPr>
      <w:r>
        <w:rPr>
          <w:rFonts w:hint="eastAsia" w:ascii="仿宋_GB2312" w:hAnsi="仿宋_GB2312" w:eastAsia="仿宋_GB2312" w:cs="仿宋_GB2312"/>
          <w:b/>
          <w:color w:val="auto"/>
          <w:spacing w:val="14"/>
          <w:sz w:val="30"/>
          <w:szCs w:val="30"/>
        </w:rPr>
        <w:t>项目名称</w:t>
      </w:r>
      <w:r>
        <w:rPr>
          <w:rFonts w:hint="eastAsia" w:ascii="仿宋_GB2312" w:hAnsi="仿宋_GB2312" w:eastAsia="仿宋_GB2312" w:cs="仿宋_GB2312"/>
          <w:b/>
          <w:color w:val="auto"/>
          <w:sz w:val="30"/>
          <w:szCs w:val="30"/>
        </w:rPr>
        <w:t>：</w:t>
      </w:r>
      <w:r>
        <w:rPr>
          <w:rFonts w:hint="eastAsia" w:ascii="仿宋_GB2312" w:hAnsi="仿宋_GB2312" w:eastAsia="仿宋_GB2312" w:cs="仿宋_GB2312"/>
          <w:b/>
          <w:color w:val="auto"/>
          <w:sz w:val="30"/>
          <w:u w:val="single"/>
        </w:rPr>
        <w:t xml:space="preserve">       </w:t>
      </w:r>
      <w:r>
        <w:rPr>
          <w:rFonts w:hint="eastAsia" w:ascii="仿宋_GB2312" w:hAnsi="仿宋_GB2312" w:eastAsia="仿宋_GB2312" w:cs="仿宋_GB2312"/>
          <w:b/>
          <w:color w:val="auto"/>
          <w:sz w:val="30"/>
          <w:u w:val="single"/>
        </w:rPr>
        <w:tab/>
      </w:r>
      <w:r>
        <w:rPr>
          <w:rFonts w:hint="eastAsia" w:ascii="仿宋_GB2312" w:hAnsi="仿宋_GB2312" w:eastAsia="仿宋_GB2312" w:cs="仿宋_GB2312"/>
          <w:b/>
          <w:color w:val="auto"/>
          <w:sz w:val="30"/>
          <w:u w:val="single"/>
        </w:rPr>
        <w:t xml:space="preserve">               </w:t>
      </w:r>
      <w:r>
        <w:rPr>
          <w:rFonts w:hint="eastAsia" w:ascii="仿宋_GB2312" w:hAnsi="仿宋_GB2312" w:eastAsia="仿宋_GB2312" w:cs="仿宋_GB2312"/>
          <w:b/>
          <w:color w:val="auto"/>
          <w:sz w:val="30"/>
          <w:u w:val="single"/>
        </w:rPr>
        <w:tab/>
      </w:r>
      <w:r>
        <w:rPr>
          <w:rFonts w:hint="eastAsia" w:ascii="仿宋_GB2312" w:hAnsi="仿宋_GB2312" w:eastAsia="仿宋_GB2312" w:cs="仿宋_GB2312"/>
          <w:b/>
          <w:color w:val="auto"/>
          <w:sz w:val="30"/>
          <w:u w:val="single"/>
        </w:rPr>
        <w:tab/>
      </w:r>
      <w:r>
        <w:rPr>
          <w:rFonts w:hint="eastAsia" w:ascii="仿宋_GB2312" w:hAnsi="仿宋_GB2312" w:eastAsia="仿宋_GB2312" w:cs="仿宋_GB2312"/>
          <w:b/>
          <w:color w:val="auto"/>
          <w:sz w:val="30"/>
          <w:u w:val="single"/>
        </w:rPr>
        <w:tab/>
      </w:r>
      <w:r>
        <w:rPr>
          <w:rFonts w:hint="eastAsia" w:ascii="仿宋_GB2312" w:hAnsi="仿宋_GB2312" w:eastAsia="仿宋_GB2312" w:cs="仿宋_GB2312"/>
          <w:b/>
          <w:color w:val="auto"/>
          <w:sz w:val="30"/>
          <w:u w:val="single"/>
        </w:rPr>
        <w:t xml:space="preserve"> </w:t>
      </w:r>
    </w:p>
    <w:p w14:paraId="71DA88B1">
      <w:pPr>
        <w:pStyle w:val="2"/>
        <w:rPr>
          <w:color w:val="auto"/>
        </w:rPr>
      </w:pPr>
    </w:p>
    <w:p w14:paraId="62A3C9A7">
      <w:pPr>
        <w:pStyle w:val="5"/>
        <w:rPr>
          <w:color w:val="auto"/>
        </w:rPr>
      </w:pPr>
    </w:p>
    <w:p w14:paraId="19FE1F42">
      <w:pPr>
        <w:keepNext w:val="0"/>
        <w:keepLines w:val="0"/>
        <w:pageBreakBefore w:val="0"/>
        <w:kinsoku/>
        <w:wordWrap/>
        <w:overflowPunct/>
        <w:topLinePunct w:val="0"/>
        <w:autoSpaceDE/>
        <w:autoSpaceDN/>
        <w:bidi w:val="0"/>
        <w:snapToGrid w:val="0"/>
        <w:spacing w:line="560" w:lineRule="exact"/>
        <w:ind w:right="0" w:rightChars="0" w:firstLine="602" w:firstLineChars="200"/>
        <w:textAlignment w:val="auto"/>
        <w:rPr>
          <w:rFonts w:hint="eastAsia" w:ascii="仿宋_GB2312" w:hAnsi="仿宋_GB2312" w:eastAsia="仿宋_GB2312" w:cs="仿宋_GB2312"/>
          <w:b/>
          <w:color w:val="auto"/>
          <w:sz w:val="30"/>
          <w:u w:val="single"/>
        </w:rPr>
      </w:pPr>
      <w:r>
        <w:rPr>
          <w:rFonts w:hint="eastAsia" w:ascii="仿宋_GB2312" w:hAnsi="仿宋_GB2312" w:eastAsia="仿宋_GB2312" w:cs="仿宋_GB2312"/>
          <w:b/>
          <w:color w:val="auto"/>
          <w:sz w:val="30"/>
        </w:rPr>
        <w:t>报价单位：</w:t>
      </w:r>
      <w:r>
        <w:rPr>
          <w:rFonts w:hint="eastAsia" w:ascii="仿宋_GB2312" w:hAnsi="仿宋_GB2312" w:eastAsia="仿宋_GB2312" w:cs="仿宋_GB2312"/>
          <w:b/>
          <w:color w:val="auto"/>
          <w:sz w:val="30"/>
          <w:u w:val="single"/>
        </w:rPr>
        <w:t xml:space="preserve">          </w:t>
      </w:r>
      <w:r>
        <w:rPr>
          <w:rFonts w:hint="eastAsia" w:ascii="仿宋_GB2312" w:hAnsi="仿宋_GB2312" w:eastAsia="仿宋_GB2312" w:cs="仿宋_GB2312"/>
          <w:b/>
          <w:color w:val="auto"/>
          <w:sz w:val="30"/>
          <w:u w:val="single"/>
        </w:rPr>
        <w:tab/>
      </w:r>
      <w:r>
        <w:rPr>
          <w:rFonts w:hint="eastAsia" w:ascii="仿宋_GB2312" w:hAnsi="仿宋_GB2312" w:eastAsia="仿宋_GB2312" w:cs="仿宋_GB2312"/>
          <w:b/>
          <w:color w:val="auto"/>
          <w:sz w:val="30"/>
          <w:u w:val="single"/>
        </w:rPr>
        <w:tab/>
      </w:r>
      <w:r>
        <w:rPr>
          <w:rFonts w:hint="eastAsia" w:ascii="仿宋_GB2312" w:hAnsi="仿宋_GB2312" w:eastAsia="仿宋_GB2312" w:cs="仿宋_GB2312"/>
          <w:b/>
          <w:color w:val="auto"/>
          <w:sz w:val="30"/>
          <w:u w:val="single"/>
        </w:rPr>
        <w:t xml:space="preserve">          （公章）</w:t>
      </w:r>
    </w:p>
    <w:p w14:paraId="1040D771">
      <w:pPr>
        <w:pStyle w:val="2"/>
        <w:rPr>
          <w:color w:val="auto"/>
        </w:rPr>
      </w:pPr>
    </w:p>
    <w:p w14:paraId="25CA460A">
      <w:pPr>
        <w:pStyle w:val="5"/>
        <w:rPr>
          <w:color w:val="auto"/>
        </w:rPr>
      </w:pPr>
    </w:p>
    <w:p w14:paraId="447E3A4A">
      <w:pPr>
        <w:keepNext w:val="0"/>
        <w:keepLines w:val="0"/>
        <w:pageBreakBefore w:val="0"/>
        <w:kinsoku/>
        <w:wordWrap/>
        <w:overflowPunct/>
        <w:topLinePunct w:val="0"/>
        <w:autoSpaceDE/>
        <w:autoSpaceDN/>
        <w:bidi w:val="0"/>
        <w:snapToGrid w:val="0"/>
        <w:spacing w:line="560" w:lineRule="exact"/>
        <w:ind w:right="0" w:rightChars="0" w:firstLine="602" w:firstLineChars="200"/>
        <w:textAlignment w:val="auto"/>
        <w:rPr>
          <w:rFonts w:hint="eastAsia" w:ascii="仿宋_GB2312" w:hAnsi="仿宋_GB2312" w:eastAsia="仿宋_GB2312" w:cs="仿宋_GB2312"/>
          <w:b/>
          <w:color w:val="auto"/>
          <w:sz w:val="30"/>
          <w:u w:val="single"/>
        </w:rPr>
      </w:pPr>
      <w:r>
        <w:rPr>
          <w:rFonts w:hint="eastAsia" w:ascii="仿宋_GB2312" w:hAnsi="仿宋_GB2312" w:eastAsia="仿宋_GB2312" w:cs="仿宋_GB2312"/>
          <w:b/>
          <w:color w:val="auto"/>
          <w:sz w:val="30"/>
        </w:rPr>
        <w:t>法定代表人：</w:t>
      </w:r>
      <w:r>
        <w:rPr>
          <w:rFonts w:hint="eastAsia" w:ascii="仿宋_GB2312" w:hAnsi="仿宋_GB2312" w:eastAsia="仿宋_GB2312" w:cs="仿宋_GB2312"/>
          <w:b/>
          <w:color w:val="auto"/>
          <w:sz w:val="30"/>
          <w:u w:val="single"/>
        </w:rPr>
        <w:t xml:space="preserve">          </w:t>
      </w:r>
      <w:r>
        <w:rPr>
          <w:rFonts w:hint="eastAsia" w:ascii="仿宋_GB2312" w:hAnsi="仿宋_GB2312" w:eastAsia="仿宋_GB2312" w:cs="仿宋_GB2312"/>
          <w:b/>
          <w:color w:val="auto"/>
          <w:sz w:val="30"/>
          <w:u w:val="single"/>
        </w:rPr>
        <w:tab/>
      </w:r>
      <w:r>
        <w:rPr>
          <w:rFonts w:hint="eastAsia" w:ascii="仿宋_GB2312" w:hAnsi="仿宋_GB2312" w:eastAsia="仿宋_GB2312" w:cs="仿宋_GB2312"/>
          <w:b/>
          <w:color w:val="auto"/>
          <w:sz w:val="30"/>
          <w:u w:val="single"/>
        </w:rPr>
        <w:tab/>
      </w:r>
      <w:r>
        <w:rPr>
          <w:rFonts w:hint="eastAsia" w:ascii="仿宋_GB2312" w:hAnsi="仿宋_GB2312" w:eastAsia="仿宋_GB2312" w:cs="仿宋_GB2312"/>
          <w:b/>
          <w:color w:val="auto"/>
          <w:sz w:val="30"/>
          <w:u w:val="single"/>
        </w:rPr>
        <w:t xml:space="preserve">       （印鉴）</w:t>
      </w:r>
    </w:p>
    <w:p w14:paraId="79D7EE3E">
      <w:pPr>
        <w:pStyle w:val="2"/>
        <w:rPr>
          <w:color w:val="auto"/>
        </w:rPr>
      </w:pPr>
    </w:p>
    <w:p w14:paraId="614D3A34">
      <w:pPr>
        <w:keepNext w:val="0"/>
        <w:keepLines w:val="0"/>
        <w:pageBreakBefore w:val="0"/>
        <w:kinsoku/>
        <w:wordWrap/>
        <w:overflowPunct/>
        <w:topLinePunct w:val="0"/>
        <w:autoSpaceDE/>
        <w:autoSpaceDN/>
        <w:bidi w:val="0"/>
        <w:spacing w:line="560" w:lineRule="exact"/>
        <w:ind w:right="0" w:rightChars="0"/>
        <w:textAlignment w:val="auto"/>
        <w:rPr>
          <w:rFonts w:ascii="仿宋_GB2312" w:hAnsi="仿宋_GB2312" w:eastAsia="仿宋_GB2312" w:cs="仿宋_GB2312"/>
          <w:b/>
          <w:color w:val="auto"/>
          <w:sz w:val="30"/>
        </w:rPr>
      </w:pPr>
      <w:r>
        <w:rPr>
          <w:rFonts w:hint="eastAsia" w:ascii="仿宋_GB2312" w:hAnsi="仿宋_GB2312" w:eastAsia="仿宋_GB2312" w:cs="仿宋_GB2312"/>
          <w:b/>
          <w:color w:val="auto"/>
          <w:sz w:val="30"/>
        </w:rPr>
        <w:t xml:space="preserve">           日  期：</w:t>
      </w:r>
      <w:r>
        <w:rPr>
          <w:rFonts w:hint="eastAsia" w:ascii="仿宋_GB2312" w:hAnsi="仿宋_GB2312" w:eastAsia="仿宋_GB2312" w:cs="仿宋_GB2312"/>
          <w:b/>
          <w:color w:val="auto"/>
          <w:sz w:val="30"/>
          <w:u w:val="single"/>
        </w:rPr>
        <w:t xml:space="preserve">       </w:t>
      </w:r>
      <w:r>
        <w:rPr>
          <w:rFonts w:hint="eastAsia" w:ascii="仿宋_GB2312" w:hAnsi="仿宋_GB2312" w:eastAsia="仿宋_GB2312" w:cs="仿宋_GB2312"/>
          <w:b/>
          <w:color w:val="auto"/>
          <w:sz w:val="30"/>
        </w:rPr>
        <w:t>年</w:t>
      </w:r>
      <w:r>
        <w:rPr>
          <w:rFonts w:hint="eastAsia" w:ascii="仿宋_GB2312" w:hAnsi="仿宋_GB2312" w:eastAsia="仿宋_GB2312" w:cs="仿宋_GB2312"/>
          <w:b/>
          <w:color w:val="auto"/>
          <w:sz w:val="30"/>
          <w:u w:val="single"/>
        </w:rPr>
        <w:t xml:space="preserve">      </w:t>
      </w:r>
      <w:r>
        <w:rPr>
          <w:rFonts w:hint="eastAsia" w:ascii="仿宋_GB2312" w:hAnsi="仿宋_GB2312" w:eastAsia="仿宋_GB2312" w:cs="仿宋_GB2312"/>
          <w:b/>
          <w:color w:val="auto"/>
          <w:sz w:val="30"/>
        </w:rPr>
        <w:t>月</w:t>
      </w:r>
      <w:r>
        <w:rPr>
          <w:rFonts w:hint="eastAsia" w:ascii="仿宋_GB2312" w:hAnsi="仿宋_GB2312" w:eastAsia="仿宋_GB2312" w:cs="仿宋_GB2312"/>
          <w:b/>
          <w:color w:val="auto"/>
          <w:sz w:val="30"/>
          <w:u w:val="single"/>
        </w:rPr>
        <w:t xml:space="preserve">      </w:t>
      </w:r>
      <w:r>
        <w:rPr>
          <w:rFonts w:hint="eastAsia" w:ascii="仿宋_GB2312" w:hAnsi="仿宋_GB2312" w:eastAsia="仿宋_GB2312" w:cs="仿宋_GB2312"/>
          <w:b/>
          <w:color w:val="auto"/>
          <w:sz w:val="30"/>
        </w:rPr>
        <w:t>日</w:t>
      </w:r>
    </w:p>
    <w:p w14:paraId="41FD50B6">
      <w:pPr>
        <w:keepNext w:val="0"/>
        <w:keepLines w:val="0"/>
        <w:pageBreakBefore w:val="0"/>
        <w:kinsoku/>
        <w:wordWrap/>
        <w:overflowPunct/>
        <w:topLinePunct w:val="0"/>
        <w:autoSpaceDE/>
        <w:autoSpaceDN/>
        <w:bidi w:val="0"/>
        <w:spacing w:line="560" w:lineRule="exact"/>
        <w:ind w:right="0" w:rightChars="0"/>
        <w:textAlignment w:val="auto"/>
        <w:rPr>
          <w:rFonts w:ascii="仿宋_GB2312" w:hAnsi="仿宋_GB2312" w:eastAsia="仿宋_GB2312" w:cs="仿宋_GB2312"/>
          <w:b/>
          <w:color w:val="auto"/>
          <w:sz w:val="30"/>
        </w:rPr>
      </w:pPr>
      <w:r>
        <w:rPr>
          <w:rFonts w:ascii="仿宋_GB2312" w:hAnsi="仿宋_GB2312" w:eastAsia="仿宋_GB2312" w:cs="仿宋_GB2312"/>
          <w:b/>
          <w:color w:val="auto"/>
          <w:sz w:val="30"/>
        </w:rPr>
        <w:br w:type="page"/>
      </w:r>
    </w:p>
    <w:p w14:paraId="41EA7523">
      <w:pPr>
        <w:keepNext w:val="0"/>
        <w:keepLines w:val="0"/>
        <w:pageBreakBefore w:val="0"/>
        <w:kinsoku/>
        <w:wordWrap/>
        <w:overflowPunct/>
        <w:topLinePunct w:val="0"/>
        <w:autoSpaceDE/>
        <w:autoSpaceDN/>
        <w:bidi w:val="0"/>
        <w:spacing w:line="560" w:lineRule="exact"/>
        <w:ind w:right="0" w:rightChars="0"/>
        <w:textAlignment w:val="auto"/>
        <w:rPr>
          <w:rFonts w:ascii="仿宋_GB2312" w:hAnsi="仿宋_GB2312" w:eastAsia="仿宋_GB2312" w:cs="仿宋_GB2312"/>
          <w:b/>
          <w:color w:val="auto"/>
          <w:sz w:val="30"/>
        </w:rPr>
      </w:pPr>
    </w:p>
    <w:p w14:paraId="7227AE8E">
      <w:pPr>
        <w:keepNext w:val="0"/>
        <w:keepLines w:val="0"/>
        <w:pageBreakBefore w:val="0"/>
        <w:kinsoku/>
        <w:wordWrap/>
        <w:overflowPunct/>
        <w:topLinePunct w:val="0"/>
        <w:autoSpaceDE/>
        <w:autoSpaceDN/>
        <w:bidi w:val="0"/>
        <w:spacing w:line="560" w:lineRule="exact"/>
        <w:ind w:right="0" w:rightChars="0"/>
        <w:jc w:val="center"/>
        <w:textAlignment w:val="auto"/>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报价承诺函</w:t>
      </w:r>
    </w:p>
    <w:p w14:paraId="14232C18">
      <w:pPr>
        <w:keepNext w:val="0"/>
        <w:keepLines w:val="0"/>
        <w:pageBreakBefore w:val="0"/>
        <w:kinsoku/>
        <w:wordWrap/>
        <w:overflowPunct/>
        <w:topLinePunct w:val="0"/>
        <w:autoSpaceDE/>
        <w:autoSpaceDN/>
        <w:bidi w:val="0"/>
        <w:spacing w:line="560" w:lineRule="exact"/>
        <w:ind w:right="0" w:rightChars="0"/>
        <w:jc w:val="center"/>
        <w:textAlignment w:val="auto"/>
        <w:rPr>
          <w:rFonts w:ascii="宋体" w:hAnsi="宋体" w:eastAsia="宋体" w:cs="宋体"/>
          <w:b/>
          <w:bCs/>
          <w:color w:val="auto"/>
          <w:sz w:val="44"/>
          <w:szCs w:val="44"/>
        </w:rPr>
      </w:pPr>
    </w:p>
    <w:p w14:paraId="54C9BD0E">
      <w:pPr>
        <w:keepNext w:val="0"/>
        <w:keepLines w:val="0"/>
        <w:pageBreakBefore w:val="0"/>
        <w:kinsoku/>
        <w:wordWrap/>
        <w:overflowPunct/>
        <w:topLinePunct w:val="0"/>
        <w:autoSpaceDE/>
        <w:autoSpaceDN/>
        <w:bidi w:val="0"/>
        <w:spacing w:line="560" w:lineRule="exact"/>
        <w:ind w:right="0" w:rightChars="0"/>
        <w:textAlignment w:val="auto"/>
        <w:rPr>
          <w:rFonts w:hint="eastAsia" w:ascii="仿宋_GB2312" w:hAnsi="仿宋_GB2312" w:eastAsia="仿宋_GB2312" w:cs="仿宋_GB2312"/>
          <w:color w:val="auto"/>
          <w:sz w:val="28"/>
        </w:rPr>
      </w:pPr>
      <w:r>
        <w:rPr>
          <w:rFonts w:hint="eastAsia" w:ascii="仿宋_GB2312" w:hAnsi="仿宋_GB2312" w:eastAsia="仿宋_GB2312" w:cs="仿宋_GB2312"/>
          <w:color w:val="auto"/>
          <w:sz w:val="28"/>
        </w:rPr>
        <w:t xml:space="preserve">致: </w:t>
      </w:r>
      <w:r>
        <w:rPr>
          <w:rFonts w:hint="eastAsia" w:ascii="仿宋_GB2312" w:hAnsi="华文仿宋" w:eastAsia="仿宋_GB2312" w:cs="仿宋_GB2312"/>
          <w:color w:val="auto"/>
          <w:sz w:val="28"/>
          <w:lang w:eastAsia="zh-CN"/>
        </w:rPr>
        <w:t>石家庄市</w:t>
      </w:r>
      <w:r>
        <w:rPr>
          <w:rFonts w:hint="eastAsia" w:ascii="仿宋_GB2312" w:hAnsi="华文仿宋" w:eastAsia="仿宋_GB2312" w:cs="仿宋_GB2312"/>
          <w:color w:val="auto"/>
          <w:sz w:val="28"/>
          <w:lang w:val="en-US" w:eastAsia="zh-CN"/>
        </w:rPr>
        <w:t>生态环境局</w:t>
      </w:r>
      <w:r>
        <w:rPr>
          <w:rFonts w:hint="eastAsia" w:ascii="仿宋_GB2312" w:hAnsi="仿宋_GB2312" w:eastAsia="仿宋_GB2312" w:cs="仿宋_GB2312"/>
          <w:color w:val="auto"/>
          <w:sz w:val="28"/>
        </w:rPr>
        <w:t>:</w:t>
      </w:r>
    </w:p>
    <w:p w14:paraId="19D3F297">
      <w:pPr>
        <w:keepNext w:val="0"/>
        <w:keepLines w:val="0"/>
        <w:pageBreakBefore w:val="0"/>
        <w:kinsoku/>
        <w:wordWrap/>
        <w:overflowPunct/>
        <w:topLinePunct w:val="0"/>
        <w:autoSpaceDE/>
        <w:autoSpaceDN/>
        <w:bidi w:val="0"/>
        <w:spacing w:line="560" w:lineRule="exact"/>
        <w:ind w:right="0" w:rightChars="0"/>
        <w:textAlignment w:val="auto"/>
        <w:rPr>
          <w:rFonts w:hint="eastAsia" w:ascii="仿宋_GB2312" w:hAnsi="仿宋_GB2312" w:eastAsia="仿宋_GB2312" w:cs="仿宋_GB2312"/>
          <w:color w:val="auto"/>
          <w:sz w:val="28"/>
        </w:rPr>
      </w:pPr>
      <w:r>
        <w:rPr>
          <w:rFonts w:hint="eastAsia" w:ascii="仿宋_GB2312" w:hAnsi="仿宋_GB2312" w:eastAsia="仿宋_GB2312" w:cs="仿宋_GB2312"/>
          <w:color w:val="auto"/>
          <w:sz w:val="28"/>
        </w:rPr>
        <w:t xml:space="preserve">    </w:t>
      </w:r>
      <w:r>
        <w:rPr>
          <w:rFonts w:hint="eastAsia" w:ascii="仿宋_GB2312" w:hAnsi="仿宋_GB2312" w:eastAsia="仿宋_GB2312" w:cs="仿宋_GB2312"/>
          <w:color w:val="auto"/>
          <w:sz w:val="28"/>
          <w:u w:val="single"/>
        </w:rPr>
        <w:t xml:space="preserve">                           </w:t>
      </w:r>
      <w:r>
        <w:rPr>
          <w:rFonts w:hint="eastAsia" w:ascii="仿宋_GB2312" w:hAnsi="仿宋_GB2312" w:eastAsia="仿宋_GB2312" w:cs="仿宋_GB2312"/>
          <w:color w:val="auto"/>
          <w:sz w:val="28"/>
        </w:rPr>
        <w:t>授权</w:t>
      </w:r>
      <w:r>
        <w:rPr>
          <w:rFonts w:hint="eastAsia" w:ascii="仿宋_GB2312" w:hAnsi="仿宋_GB2312" w:eastAsia="仿宋_GB2312" w:cs="仿宋_GB2312"/>
          <w:color w:val="auto"/>
          <w:sz w:val="28"/>
          <w:u w:val="single"/>
        </w:rPr>
        <w:t xml:space="preserve">         </w:t>
      </w:r>
      <w:r>
        <w:rPr>
          <w:rFonts w:hint="eastAsia" w:ascii="仿宋_GB2312" w:hAnsi="仿宋_GB2312" w:eastAsia="仿宋_GB2312" w:cs="仿宋_GB2312"/>
          <w:color w:val="auto"/>
          <w:sz w:val="28"/>
        </w:rPr>
        <w:t>为全权代表,参加贵单位</w:t>
      </w:r>
      <w:r>
        <w:rPr>
          <w:rFonts w:hint="eastAsia" w:ascii="仿宋_GB2312" w:hAnsi="仿宋_GB2312" w:eastAsia="仿宋_GB2312" w:cs="仿宋_GB2312"/>
          <w:color w:val="auto"/>
          <w:sz w:val="28"/>
          <w:u w:val="single"/>
          <w:lang w:val="en-US" w:eastAsia="zh-CN"/>
        </w:rPr>
        <w:t xml:space="preserve">                  </w:t>
      </w:r>
      <w:r>
        <w:rPr>
          <w:rFonts w:hint="eastAsia" w:ascii="仿宋_GB2312" w:hAnsi="仿宋_GB2312" w:eastAsia="仿宋_GB2312" w:cs="仿宋_GB2312"/>
          <w:color w:val="auto"/>
          <w:sz w:val="28"/>
        </w:rPr>
        <w:t>采购项目询价的有关活动并报价。为此，我方郑重声明以下诸点：</w:t>
      </w:r>
    </w:p>
    <w:p w14:paraId="4EFD8526">
      <w:pPr>
        <w:keepNext w:val="0"/>
        <w:keepLines w:val="0"/>
        <w:pageBreakBefore w:val="0"/>
        <w:numPr>
          <w:ilvl w:val="0"/>
          <w:numId w:val="3"/>
        </w:numPr>
        <w:kinsoku/>
        <w:wordWrap/>
        <w:overflowPunct/>
        <w:topLinePunct w:val="0"/>
        <w:autoSpaceDE/>
        <w:autoSpaceDN/>
        <w:bidi w:val="0"/>
        <w:spacing w:line="560" w:lineRule="exact"/>
        <w:ind w:right="0" w:rightChars="0" w:firstLine="560" w:firstLineChars="200"/>
        <w:textAlignment w:val="auto"/>
        <w:rPr>
          <w:rFonts w:ascii="黑体" w:hAnsi="黑体" w:eastAsia="黑体" w:cs="黑体"/>
          <w:color w:val="auto"/>
          <w:sz w:val="28"/>
        </w:rPr>
      </w:pPr>
      <w:r>
        <w:rPr>
          <w:rFonts w:hint="eastAsia" w:ascii="黑体" w:hAnsi="黑体" w:eastAsia="黑体" w:cs="黑体"/>
          <w:color w:val="auto"/>
          <w:sz w:val="28"/>
        </w:rPr>
        <w:t>提交下述文件正本一份和副本贰份</w:t>
      </w:r>
    </w:p>
    <w:p w14:paraId="6127B571">
      <w:pPr>
        <w:keepNext w:val="0"/>
        <w:keepLines w:val="0"/>
        <w:pageBreakBefore w:val="0"/>
        <w:numPr>
          <w:ilvl w:val="0"/>
          <w:numId w:val="4"/>
        </w:numPr>
        <w:kinsoku/>
        <w:wordWrap/>
        <w:overflowPunct/>
        <w:topLinePunct w:val="0"/>
        <w:autoSpaceDE/>
        <w:autoSpaceDN/>
        <w:bidi w:val="0"/>
        <w:spacing w:line="560" w:lineRule="exact"/>
        <w:ind w:right="0" w:rightChars="0" w:firstLine="560" w:firstLineChars="200"/>
        <w:textAlignment w:val="auto"/>
        <w:rPr>
          <w:rFonts w:hint="eastAsia" w:ascii="仿宋_GB2312" w:hAnsi="仿宋_GB2312" w:eastAsia="仿宋_GB2312" w:cs="仿宋_GB2312"/>
          <w:color w:val="auto"/>
          <w:sz w:val="28"/>
        </w:rPr>
      </w:pPr>
      <w:r>
        <w:rPr>
          <w:rFonts w:hint="eastAsia" w:ascii="仿宋_GB2312" w:hAnsi="仿宋_GB2312" w:eastAsia="仿宋_GB2312" w:cs="仿宋_GB2312"/>
          <w:color w:val="auto"/>
          <w:sz w:val="28"/>
        </w:rPr>
        <w:t>初始报价表</w:t>
      </w:r>
    </w:p>
    <w:p w14:paraId="064A1A26">
      <w:pPr>
        <w:keepNext w:val="0"/>
        <w:keepLines w:val="0"/>
        <w:pageBreakBefore w:val="0"/>
        <w:numPr>
          <w:ilvl w:val="0"/>
          <w:numId w:val="4"/>
        </w:numPr>
        <w:kinsoku/>
        <w:wordWrap/>
        <w:overflowPunct/>
        <w:topLinePunct w:val="0"/>
        <w:autoSpaceDE/>
        <w:autoSpaceDN/>
        <w:bidi w:val="0"/>
        <w:spacing w:line="560" w:lineRule="exact"/>
        <w:ind w:right="0" w:rightChars="0" w:firstLine="560" w:firstLineChars="200"/>
        <w:textAlignment w:val="auto"/>
        <w:rPr>
          <w:rFonts w:hint="eastAsia" w:ascii="仿宋_GB2312" w:hAnsi="仿宋_GB2312" w:eastAsia="仿宋_GB2312" w:cs="仿宋_GB2312"/>
          <w:color w:val="auto"/>
          <w:sz w:val="28"/>
        </w:rPr>
      </w:pPr>
      <w:r>
        <w:rPr>
          <w:rFonts w:hint="eastAsia" w:ascii="仿宋_GB2312" w:hAnsi="仿宋_GB2312" w:eastAsia="仿宋_GB2312" w:cs="仿宋_GB2312"/>
          <w:color w:val="auto"/>
          <w:sz w:val="28"/>
        </w:rPr>
        <w:t>采购项目报价简要说明</w:t>
      </w:r>
    </w:p>
    <w:p w14:paraId="2BA22171">
      <w:pPr>
        <w:keepNext w:val="0"/>
        <w:keepLines w:val="0"/>
        <w:pageBreakBefore w:val="0"/>
        <w:numPr>
          <w:ilvl w:val="0"/>
          <w:numId w:val="4"/>
        </w:numPr>
        <w:kinsoku/>
        <w:wordWrap/>
        <w:overflowPunct/>
        <w:topLinePunct w:val="0"/>
        <w:autoSpaceDE/>
        <w:autoSpaceDN/>
        <w:bidi w:val="0"/>
        <w:spacing w:line="560" w:lineRule="exact"/>
        <w:ind w:right="0" w:rightChars="0" w:firstLine="560" w:firstLineChars="200"/>
        <w:textAlignment w:val="auto"/>
        <w:rPr>
          <w:rFonts w:hint="eastAsia" w:ascii="仿宋_GB2312" w:hAnsi="仿宋_GB2312" w:eastAsia="仿宋_GB2312" w:cs="仿宋_GB2312"/>
          <w:color w:val="auto"/>
          <w:sz w:val="28"/>
        </w:rPr>
      </w:pPr>
      <w:r>
        <w:rPr>
          <w:rFonts w:hint="eastAsia" w:ascii="仿宋_GB2312" w:hAnsi="仿宋_GB2312" w:eastAsia="仿宋_GB2312" w:cs="仿宋_GB2312"/>
          <w:color w:val="auto"/>
          <w:sz w:val="28"/>
        </w:rPr>
        <w:t>二次报价表</w:t>
      </w:r>
    </w:p>
    <w:p w14:paraId="58FE9F7E">
      <w:pPr>
        <w:keepNext w:val="0"/>
        <w:keepLines w:val="0"/>
        <w:pageBreakBefore w:val="0"/>
        <w:numPr>
          <w:ilvl w:val="0"/>
          <w:numId w:val="3"/>
        </w:numPr>
        <w:kinsoku/>
        <w:wordWrap/>
        <w:overflowPunct/>
        <w:topLinePunct w:val="0"/>
        <w:autoSpaceDE/>
        <w:autoSpaceDN/>
        <w:bidi w:val="0"/>
        <w:spacing w:line="560" w:lineRule="exact"/>
        <w:ind w:right="0" w:rightChars="0" w:firstLine="560" w:firstLineChars="200"/>
        <w:textAlignment w:val="auto"/>
        <w:rPr>
          <w:rFonts w:ascii="黑体" w:hAnsi="黑体" w:eastAsia="黑体" w:cs="黑体"/>
          <w:color w:val="auto"/>
          <w:sz w:val="28"/>
        </w:rPr>
      </w:pPr>
      <w:r>
        <w:rPr>
          <w:rFonts w:hint="eastAsia" w:ascii="黑体" w:hAnsi="黑体" w:eastAsia="黑体" w:cs="黑体"/>
          <w:color w:val="auto"/>
          <w:sz w:val="28"/>
        </w:rPr>
        <w:t>据此函，法人授权委托代理人代表宣布如下</w:t>
      </w:r>
    </w:p>
    <w:p w14:paraId="7CA1F238">
      <w:pPr>
        <w:keepNext w:val="0"/>
        <w:keepLines w:val="0"/>
        <w:pageBreakBefore w:val="0"/>
        <w:numPr>
          <w:ilvl w:val="0"/>
          <w:numId w:val="5"/>
        </w:numPr>
        <w:kinsoku/>
        <w:wordWrap/>
        <w:overflowPunct/>
        <w:topLinePunct w:val="0"/>
        <w:autoSpaceDE/>
        <w:autoSpaceDN/>
        <w:bidi w:val="0"/>
        <w:spacing w:line="560" w:lineRule="exact"/>
        <w:ind w:right="0" w:rightChars="0" w:firstLine="560"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我公司已详细审阅项目全部的有关文件（包括但不限于</w:t>
      </w:r>
      <w:r>
        <w:rPr>
          <w:rFonts w:hint="eastAsia" w:ascii="仿宋_GB2312" w:hAnsi="仿宋_GB2312" w:eastAsia="仿宋_GB2312" w:cs="仿宋_GB2312"/>
          <w:color w:val="auto"/>
          <w:sz w:val="28"/>
          <w:szCs w:val="28"/>
          <w:lang w:eastAsia="zh-CN"/>
        </w:rPr>
        <w:t>设备</w:t>
      </w:r>
      <w:r>
        <w:rPr>
          <w:rFonts w:hint="eastAsia" w:ascii="仿宋_GB2312" w:hAnsi="仿宋_GB2312" w:eastAsia="仿宋_GB2312" w:cs="仿宋_GB2312"/>
          <w:color w:val="auto"/>
          <w:sz w:val="28"/>
          <w:szCs w:val="28"/>
        </w:rPr>
        <w:t>方案、采购明细、技术参数、实现的功能或者目标等），我们完全理解并同意放弃对此方面有不明及误解的权利。</w:t>
      </w:r>
    </w:p>
    <w:p w14:paraId="133CEA4E">
      <w:pPr>
        <w:keepNext w:val="0"/>
        <w:keepLines w:val="0"/>
        <w:pageBreakBefore w:val="0"/>
        <w:numPr>
          <w:ilvl w:val="0"/>
          <w:numId w:val="5"/>
        </w:numPr>
        <w:kinsoku/>
        <w:wordWrap/>
        <w:overflowPunct/>
        <w:topLinePunct w:val="0"/>
        <w:autoSpaceDE/>
        <w:autoSpaceDN/>
        <w:bidi w:val="0"/>
        <w:spacing w:line="560" w:lineRule="exact"/>
        <w:ind w:right="0" w:rightChars="0" w:firstLine="560"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我公司将按询价响应文件的有关承诺规定履行责任和义务。</w:t>
      </w:r>
    </w:p>
    <w:p w14:paraId="1FA44510">
      <w:pPr>
        <w:keepNext w:val="0"/>
        <w:keepLines w:val="0"/>
        <w:pageBreakBefore w:val="0"/>
        <w:numPr>
          <w:ilvl w:val="0"/>
          <w:numId w:val="5"/>
        </w:numPr>
        <w:kinsoku/>
        <w:wordWrap/>
        <w:overflowPunct/>
        <w:topLinePunct w:val="0"/>
        <w:autoSpaceDE/>
        <w:autoSpaceDN/>
        <w:bidi w:val="0"/>
        <w:spacing w:line="560" w:lineRule="exact"/>
        <w:ind w:right="0" w:rightChars="0" w:firstLine="560"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报价之日起有效期为</w:t>
      </w:r>
      <w:r>
        <w:rPr>
          <w:rFonts w:hint="eastAsia" w:ascii="仿宋_GB2312" w:hAnsi="仿宋_GB2312" w:eastAsia="仿宋_GB2312" w:cs="仿宋_GB2312"/>
          <w:color w:val="auto"/>
          <w:sz w:val="28"/>
          <w:szCs w:val="28"/>
          <w:u w:val="single"/>
        </w:rPr>
        <w:t xml:space="preserve">     </w:t>
      </w:r>
      <w:r>
        <w:rPr>
          <w:rFonts w:hint="eastAsia" w:ascii="仿宋_GB2312" w:hAnsi="仿宋_GB2312" w:eastAsia="仿宋_GB2312" w:cs="仿宋_GB2312"/>
          <w:color w:val="auto"/>
          <w:sz w:val="28"/>
          <w:szCs w:val="28"/>
        </w:rPr>
        <w:t>个日历日。</w:t>
      </w:r>
    </w:p>
    <w:p w14:paraId="3182FC3F">
      <w:pPr>
        <w:keepNext w:val="0"/>
        <w:keepLines w:val="0"/>
        <w:pageBreakBefore w:val="0"/>
        <w:numPr>
          <w:ilvl w:val="0"/>
          <w:numId w:val="5"/>
        </w:numPr>
        <w:kinsoku/>
        <w:wordWrap/>
        <w:overflowPunct/>
        <w:topLinePunct w:val="0"/>
        <w:autoSpaceDE/>
        <w:autoSpaceDN/>
        <w:bidi w:val="0"/>
        <w:spacing w:line="560" w:lineRule="exact"/>
        <w:ind w:right="0" w:rightChars="0" w:firstLine="560"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初始报价为(小写)</w:t>
      </w:r>
      <w:r>
        <w:rPr>
          <w:rFonts w:hint="eastAsia" w:ascii="仿宋_GB2312" w:hAnsi="仿宋_GB2312" w:eastAsia="仿宋_GB2312" w:cs="仿宋_GB2312"/>
          <w:color w:val="auto"/>
          <w:sz w:val="28"/>
          <w:szCs w:val="28"/>
          <w:u w:val="single"/>
        </w:rPr>
        <w:t xml:space="preserve">       </w:t>
      </w:r>
      <w:r>
        <w:rPr>
          <w:rFonts w:hint="eastAsia" w:ascii="仿宋_GB2312" w:hAnsi="仿宋_GB2312" w:eastAsia="仿宋_GB2312" w:cs="仿宋_GB2312"/>
          <w:color w:val="auto"/>
          <w:sz w:val="28"/>
          <w:szCs w:val="28"/>
        </w:rPr>
        <w:t>元；(大写)</w:t>
      </w:r>
      <w:r>
        <w:rPr>
          <w:rFonts w:hint="eastAsia" w:ascii="仿宋_GB2312" w:hAnsi="仿宋_GB2312" w:eastAsia="仿宋_GB2312" w:cs="仿宋_GB2312"/>
          <w:color w:val="auto"/>
          <w:sz w:val="28"/>
          <w:szCs w:val="28"/>
          <w:u w:val="single"/>
        </w:rPr>
        <w:t xml:space="preserve">             </w:t>
      </w:r>
      <w:r>
        <w:rPr>
          <w:rFonts w:hint="eastAsia" w:ascii="仿宋_GB2312" w:hAnsi="仿宋_GB2312" w:eastAsia="仿宋_GB2312" w:cs="仿宋_GB2312"/>
          <w:color w:val="auto"/>
          <w:sz w:val="28"/>
          <w:szCs w:val="28"/>
        </w:rPr>
        <w:t xml:space="preserve"> ； </w:t>
      </w:r>
    </w:p>
    <w:p w14:paraId="0696A82A">
      <w:pPr>
        <w:keepNext w:val="0"/>
        <w:keepLines w:val="0"/>
        <w:pageBreakBefore w:val="0"/>
        <w:kinsoku/>
        <w:wordWrap/>
        <w:overflowPunct/>
        <w:topLinePunct w:val="0"/>
        <w:autoSpaceDE/>
        <w:autoSpaceDN/>
        <w:bidi w:val="0"/>
        <w:spacing w:line="560" w:lineRule="exact"/>
        <w:ind w:right="0" w:rightChars="0"/>
        <w:textAlignment w:val="auto"/>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 xml:space="preserve">    </w:t>
      </w:r>
    </w:p>
    <w:p w14:paraId="104698C9">
      <w:pPr>
        <w:pStyle w:val="2"/>
        <w:rPr>
          <w:rFonts w:hint="eastAsia"/>
          <w:color w:val="auto"/>
        </w:rPr>
      </w:pPr>
    </w:p>
    <w:p w14:paraId="0920A90D">
      <w:pPr>
        <w:keepNext w:val="0"/>
        <w:keepLines w:val="0"/>
        <w:pageBreakBefore w:val="0"/>
        <w:kinsoku/>
        <w:wordWrap/>
        <w:overflowPunct/>
        <w:topLinePunct w:val="0"/>
        <w:autoSpaceDE/>
        <w:autoSpaceDN/>
        <w:bidi w:val="0"/>
        <w:spacing w:line="560" w:lineRule="exact"/>
        <w:ind w:right="0" w:rightChars="0" w:firstLine="560" w:firstLineChars="2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投 标 单 位：（盖章）</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t xml:space="preserve">  法人授权代表：（签字）</w:t>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tab/>
      </w:r>
      <w:r>
        <w:rPr>
          <w:rFonts w:hint="eastAsia" w:ascii="仿宋_GB2312" w:hAnsi="仿宋_GB2312" w:eastAsia="仿宋_GB2312" w:cs="仿宋_GB2312"/>
          <w:color w:val="auto"/>
          <w:sz w:val="28"/>
          <w:szCs w:val="28"/>
        </w:rPr>
        <w:t xml:space="preserve">  </w:t>
      </w:r>
    </w:p>
    <w:p w14:paraId="4E1F43EA">
      <w:pPr>
        <w:pStyle w:val="2"/>
        <w:rPr>
          <w:rFonts w:hint="eastAsia"/>
          <w:color w:val="auto"/>
        </w:rPr>
      </w:pPr>
    </w:p>
    <w:p w14:paraId="3466473D">
      <w:pPr>
        <w:keepNext w:val="0"/>
        <w:keepLines w:val="0"/>
        <w:pageBreakBefore w:val="0"/>
        <w:kinsoku/>
        <w:wordWrap/>
        <w:overflowPunct/>
        <w:topLinePunct w:val="0"/>
        <w:autoSpaceDE/>
        <w:autoSpaceDN/>
        <w:bidi w:val="0"/>
        <w:spacing w:line="560" w:lineRule="exact"/>
        <w:ind w:right="0" w:rightChars="0" w:firstLine="5880" w:firstLineChars="2100"/>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年    月    日</w:t>
      </w:r>
    </w:p>
    <w:p w14:paraId="68AF934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firstLine="281" w:firstLineChars="100"/>
        <w:textAlignment w:val="auto"/>
        <w:rPr>
          <w:rFonts w:hint="eastAsia" w:ascii="仿宋_GB2312" w:hAnsi="仿宋_GB2312" w:eastAsia="仿宋_GB2312" w:cs="仿宋_GB2312"/>
          <w:b/>
          <w:bCs/>
          <w:color w:val="auto"/>
          <w:sz w:val="28"/>
          <w:szCs w:val="28"/>
        </w:rPr>
        <w:sectPr>
          <w:footerReference r:id="rId7" w:type="first"/>
          <w:headerReference r:id="rId5" w:type="default"/>
          <w:footerReference r:id="rId6" w:type="default"/>
          <w:pgSz w:w="11907" w:h="16840"/>
          <w:pgMar w:top="1304" w:right="1418" w:bottom="1418" w:left="1418" w:header="720" w:footer="720" w:gutter="0"/>
          <w:pgNumType w:start="1"/>
          <w:cols w:space="720" w:num="1"/>
          <w:formProt w:val="0"/>
          <w:docGrid w:type="lines" w:linePitch="312" w:charSpace="0"/>
        </w:sectPr>
      </w:pPr>
    </w:p>
    <w:p w14:paraId="1CBA97A8">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firstLine="320" w:firstLineChars="100"/>
        <w:textAlignment w:val="auto"/>
        <w:rPr>
          <w:rFonts w:ascii="华文仿宋" w:hAnsi="华文仿宋" w:eastAsia="华文仿宋" w:cs="仿宋_GB2312"/>
          <w:color w:val="auto"/>
          <w:sz w:val="32"/>
        </w:rPr>
      </w:pPr>
    </w:p>
    <w:p w14:paraId="3DAAC1C8">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初始报价表</w:t>
      </w:r>
    </w:p>
    <w:p w14:paraId="749ADC72">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黑体" w:hAnsi="黑体" w:eastAsia="黑体" w:cs="黑体"/>
          <w:color w:val="auto"/>
          <w:sz w:val="44"/>
          <w:szCs w:val="44"/>
        </w:rPr>
      </w:pPr>
      <w:r>
        <w:rPr>
          <w:rFonts w:hint="eastAsia" w:ascii="黑体" w:hAnsi="黑体" w:eastAsia="黑体" w:cs="黑体"/>
          <w:color w:val="auto"/>
          <w:sz w:val="44"/>
          <w:szCs w:val="44"/>
        </w:rPr>
        <w:t xml:space="preserve">                               </w:t>
      </w:r>
      <w:r>
        <w:rPr>
          <w:rFonts w:hint="eastAsia" w:ascii="华文仿宋" w:hAnsi="华文仿宋" w:eastAsia="华文仿宋" w:cs="仿宋_GB2312"/>
          <w:color w:val="auto"/>
          <w:sz w:val="28"/>
        </w:rPr>
        <w:t>单位:元</w:t>
      </w:r>
    </w:p>
    <w:tbl>
      <w:tblPr>
        <w:tblStyle w:val="24"/>
        <w:tblW w:w="8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9"/>
        <w:gridCol w:w="6925"/>
      </w:tblGrid>
      <w:tr w14:paraId="2CCEA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2009" w:type="dxa"/>
            <w:vAlign w:val="center"/>
          </w:tcPr>
          <w:p w14:paraId="7E6498B7">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报价单位</w:t>
            </w:r>
          </w:p>
        </w:tc>
        <w:tc>
          <w:tcPr>
            <w:tcW w:w="6925" w:type="dxa"/>
          </w:tcPr>
          <w:p w14:paraId="3D708DED">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p>
        </w:tc>
      </w:tr>
      <w:tr w14:paraId="128F5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09" w:type="dxa"/>
            <w:vAlign w:val="center"/>
          </w:tcPr>
          <w:p w14:paraId="1F3FDFA9">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项目名称</w:t>
            </w:r>
          </w:p>
        </w:tc>
        <w:tc>
          <w:tcPr>
            <w:tcW w:w="6925" w:type="dxa"/>
          </w:tcPr>
          <w:p w14:paraId="4925BD0E">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firstLine="840" w:firstLineChars="300"/>
              <w:textAlignment w:val="auto"/>
              <w:rPr>
                <w:rFonts w:ascii="华文仿宋" w:hAnsi="华文仿宋" w:eastAsia="华文仿宋" w:cs="仿宋_GB2312"/>
                <w:color w:val="auto"/>
                <w:sz w:val="28"/>
              </w:rPr>
            </w:pPr>
          </w:p>
        </w:tc>
      </w:tr>
      <w:tr w14:paraId="46CF8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0" w:hRule="atLeast"/>
        </w:trPr>
        <w:tc>
          <w:tcPr>
            <w:tcW w:w="2009" w:type="dxa"/>
            <w:vAlign w:val="center"/>
          </w:tcPr>
          <w:p w14:paraId="409CF652">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初始报价</w:t>
            </w:r>
          </w:p>
          <w:p w14:paraId="75E658DE">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p>
        </w:tc>
        <w:tc>
          <w:tcPr>
            <w:tcW w:w="6925" w:type="dxa"/>
          </w:tcPr>
          <w:p w14:paraId="1F213AEE">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人民币大写：</w:t>
            </w:r>
          </w:p>
          <w:p w14:paraId="6E66E6AD">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firstLine="840" w:firstLineChars="300"/>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小写：</w:t>
            </w:r>
          </w:p>
        </w:tc>
      </w:tr>
      <w:tr w14:paraId="17E0A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2009" w:type="dxa"/>
            <w:vAlign w:val="center"/>
          </w:tcPr>
          <w:p w14:paraId="0152A63F">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质量</w:t>
            </w:r>
          </w:p>
        </w:tc>
        <w:tc>
          <w:tcPr>
            <w:tcW w:w="6925" w:type="dxa"/>
            <w:vAlign w:val="center"/>
          </w:tcPr>
          <w:p w14:paraId="3329D9AE">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达到相关行业标准或符合采购方要求</w:t>
            </w:r>
          </w:p>
        </w:tc>
      </w:tr>
      <w:tr w14:paraId="18E2E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2009" w:type="dxa"/>
            <w:vAlign w:val="center"/>
          </w:tcPr>
          <w:p w14:paraId="22C61B3D">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交付期</w:t>
            </w:r>
          </w:p>
        </w:tc>
        <w:tc>
          <w:tcPr>
            <w:tcW w:w="6925" w:type="dxa"/>
          </w:tcPr>
          <w:p w14:paraId="47823C4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r>
      <w:tr w14:paraId="66CF1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2" w:hRule="atLeast"/>
        </w:trPr>
        <w:tc>
          <w:tcPr>
            <w:tcW w:w="2009" w:type="dxa"/>
            <w:vAlign w:val="center"/>
          </w:tcPr>
          <w:p w14:paraId="4C208697">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报价单位</w:t>
            </w:r>
          </w:p>
          <w:p w14:paraId="196E52EB">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p>
        </w:tc>
        <w:tc>
          <w:tcPr>
            <w:tcW w:w="6925" w:type="dxa"/>
          </w:tcPr>
          <w:p w14:paraId="4171F258">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p w14:paraId="1C502153">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法定代表人（签字或盖章）：</w:t>
            </w:r>
          </w:p>
          <w:p w14:paraId="4318BB92">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p w14:paraId="17A8B18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委托代理人（签字或盖章）：</w:t>
            </w:r>
          </w:p>
          <w:p w14:paraId="0901574C">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 xml:space="preserve">                               </w:t>
            </w:r>
          </w:p>
          <w:p w14:paraId="15C88817">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 xml:space="preserve">                               （公章）</w:t>
            </w:r>
          </w:p>
          <w:p w14:paraId="0EB89C49">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firstLine="1960" w:firstLineChars="700"/>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 xml:space="preserve">             年     月    日</w:t>
            </w:r>
          </w:p>
        </w:tc>
      </w:tr>
    </w:tbl>
    <w:p w14:paraId="6A6F8C17">
      <w:pPr>
        <w:pStyle w:val="3"/>
        <w:keepNext w:val="0"/>
        <w:keepLines w:val="0"/>
        <w:pageBreakBefore w:val="0"/>
        <w:kinsoku/>
        <w:wordWrap/>
        <w:overflowPunct/>
        <w:topLinePunct w:val="0"/>
        <w:autoSpaceDE/>
        <w:autoSpaceDN/>
        <w:bidi w:val="0"/>
        <w:spacing w:line="560" w:lineRule="exact"/>
        <w:ind w:right="0" w:rightChars="0"/>
        <w:textAlignment w:val="auto"/>
        <w:rPr>
          <w:rFonts w:ascii="华文仿宋" w:hAnsi="华文仿宋" w:eastAsia="华文仿宋"/>
          <w:b w:val="0"/>
          <w:color w:val="auto"/>
          <w:sz w:val="21"/>
          <w:szCs w:val="21"/>
        </w:rPr>
      </w:pPr>
    </w:p>
    <w:p w14:paraId="314D27C9">
      <w:pPr>
        <w:pStyle w:val="3"/>
        <w:keepNext w:val="0"/>
        <w:keepLines w:val="0"/>
        <w:pageBreakBefore w:val="0"/>
        <w:kinsoku/>
        <w:wordWrap/>
        <w:overflowPunct/>
        <w:topLinePunct w:val="0"/>
        <w:autoSpaceDE/>
        <w:autoSpaceDN/>
        <w:bidi w:val="0"/>
        <w:spacing w:line="560" w:lineRule="exact"/>
        <w:ind w:right="0" w:rightChars="0"/>
        <w:jc w:val="both"/>
        <w:textAlignment w:val="auto"/>
        <w:rPr>
          <w:rFonts w:ascii="华文仿宋" w:hAnsi="华文仿宋" w:eastAsia="华文仿宋" w:cs="仿宋_GB2312"/>
          <w:b w:val="0"/>
          <w:bCs/>
          <w:color w:val="auto"/>
          <w:sz w:val="32"/>
        </w:rPr>
      </w:pPr>
      <w:r>
        <w:rPr>
          <w:rFonts w:hint="eastAsia" w:ascii="华文仿宋" w:hAnsi="华文仿宋" w:eastAsia="华文仿宋"/>
          <w:bCs/>
          <w:color w:val="auto"/>
          <w:sz w:val="28"/>
          <w:szCs w:val="28"/>
        </w:rPr>
        <w:t xml:space="preserve">    说明：要求内容填写清楚，准确无误。本表中的总报价应与分项报价表费用总和一致。</w:t>
      </w:r>
    </w:p>
    <w:p w14:paraId="429083C8">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b/>
          <w:bCs/>
          <w:color w:val="auto"/>
          <w:sz w:val="32"/>
        </w:rPr>
        <w:sectPr>
          <w:pgSz w:w="11906" w:h="16838"/>
          <w:pgMar w:top="1440" w:right="1800" w:bottom="1440" w:left="1800" w:header="851" w:footer="992" w:gutter="0"/>
          <w:cols w:space="720" w:num="1"/>
          <w:formProt w:val="0"/>
          <w:docGrid w:type="lines" w:linePitch="312" w:charSpace="0"/>
        </w:sectPr>
      </w:pPr>
    </w:p>
    <w:p w14:paraId="0C587C99">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采购项目报价简要说明</w:t>
      </w:r>
    </w:p>
    <w:p w14:paraId="62329BE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黑体" w:hAnsi="黑体" w:eastAsia="黑体" w:cs="黑体"/>
          <w:i/>
          <w:iCs/>
          <w:color w:val="auto"/>
          <w:sz w:val="44"/>
          <w:szCs w:val="44"/>
        </w:rPr>
      </w:pPr>
      <w:r>
        <w:rPr>
          <w:rFonts w:hint="eastAsia" w:ascii="黑体" w:hAnsi="黑体" w:eastAsia="黑体" w:cs="黑体"/>
          <w:i/>
          <w:iCs/>
          <w:color w:val="auto"/>
          <w:sz w:val="44"/>
          <w:szCs w:val="44"/>
        </w:rPr>
        <w:t>（仅做参考，可依据项目方案预算实际情况编制）</w:t>
      </w:r>
    </w:p>
    <w:p w14:paraId="43A07B5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报价单位名称:</w:t>
      </w:r>
    </w:p>
    <w:tbl>
      <w:tblPr>
        <w:tblStyle w:val="24"/>
        <w:tblW w:w="130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907"/>
        <w:gridCol w:w="1620"/>
        <w:gridCol w:w="977"/>
        <w:gridCol w:w="840"/>
        <w:gridCol w:w="810"/>
        <w:gridCol w:w="930"/>
        <w:gridCol w:w="2325"/>
        <w:gridCol w:w="1487"/>
        <w:gridCol w:w="1350"/>
      </w:tblGrid>
      <w:tr w14:paraId="72238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828" w:type="dxa"/>
            <w:vAlign w:val="center"/>
          </w:tcPr>
          <w:p w14:paraId="406E2B8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序号</w:t>
            </w:r>
          </w:p>
        </w:tc>
        <w:tc>
          <w:tcPr>
            <w:tcW w:w="1907" w:type="dxa"/>
            <w:vAlign w:val="center"/>
          </w:tcPr>
          <w:p w14:paraId="0BC5973E">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项目明细</w:t>
            </w:r>
          </w:p>
        </w:tc>
        <w:tc>
          <w:tcPr>
            <w:tcW w:w="1620" w:type="dxa"/>
          </w:tcPr>
          <w:p w14:paraId="0A391976">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型号规格</w:t>
            </w:r>
          </w:p>
          <w:p w14:paraId="621E7953">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及技术参数</w:t>
            </w:r>
          </w:p>
        </w:tc>
        <w:tc>
          <w:tcPr>
            <w:tcW w:w="977" w:type="dxa"/>
            <w:vAlign w:val="center"/>
          </w:tcPr>
          <w:p w14:paraId="1820007B">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数量</w:t>
            </w:r>
          </w:p>
        </w:tc>
        <w:tc>
          <w:tcPr>
            <w:tcW w:w="840" w:type="dxa"/>
            <w:vAlign w:val="center"/>
          </w:tcPr>
          <w:p w14:paraId="51E98B31">
            <w:pPr>
              <w:keepNext w:val="0"/>
              <w:keepLines w:val="0"/>
              <w:pageBreakBefore w:val="0"/>
              <w:tabs>
                <w:tab w:val="left" w:pos="277"/>
                <w:tab w:val="left" w:pos="2772"/>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单价</w:t>
            </w:r>
          </w:p>
        </w:tc>
        <w:tc>
          <w:tcPr>
            <w:tcW w:w="810" w:type="dxa"/>
            <w:vAlign w:val="center"/>
          </w:tcPr>
          <w:p w14:paraId="1BFF796A">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金额</w:t>
            </w:r>
          </w:p>
        </w:tc>
        <w:tc>
          <w:tcPr>
            <w:tcW w:w="930" w:type="dxa"/>
            <w:vAlign w:val="center"/>
          </w:tcPr>
          <w:p w14:paraId="16A15C8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品牌</w:t>
            </w:r>
          </w:p>
        </w:tc>
        <w:tc>
          <w:tcPr>
            <w:tcW w:w="2325" w:type="dxa"/>
            <w:vAlign w:val="center"/>
          </w:tcPr>
          <w:p w14:paraId="159D0C1B">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产地及制造厂商</w:t>
            </w:r>
          </w:p>
        </w:tc>
        <w:tc>
          <w:tcPr>
            <w:tcW w:w="1487" w:type="dxa"/>
            <w:vAlign w:val="center"/>
          </w:tcPr>
          <w:p w14:paraId="26AC172C">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性能说明</w:t>
            </w:r>
          </w:p>
        </w:tc>
        <w:tc>
          <w:tcPr>
            <w:tcW w:w="1350" w:type="dxa"/>
            <w:vAlign w:val="center"/>
          </w:tcPr>
          <w:p w14:paraId="4C6BAFA2">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备   注</w:t>
            </w:r>
          </w:p>
        </w:tc>
      </w:tr>
      <w:tr w14:paraId="642D1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828" w:type="dxa"/>
          </w:tcPr>
          <w:p w14:paraId="486BEDBC">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1</w:t>
            </w:r>
          </w:p>
        </w:tc>
        <w:tc>
          <w:tcPr>
            <w:tcW w:w="1907" w:type="dxa"/>
          </w:tcPr>
          <w:p w14:paraId="3B35CE9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1620" w:type="dxa"/>
          </w:tcPr>
          <w:p w14:paraId="49C9046D">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977" w:type="dxa"/>
          </w:tcPr>
          <w:p w14:paraId="7EA033DD">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840" w:type="dxa"/>
          </w:tcPr>
          <w:p w14:paraId="2083E8F6">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810" w:type="dxa"/>
          </w:tcPr>
          <w:p w14:paraId="570F458B">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930" w:type="dxa"/>
          </w:tcPr>
          <w:p w14:paraId="4071174F">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2325" w:type="dxa"/>
          </w:tcPr>
          <w:p w14:paraId="4CB72D55">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1487" w:type="dxa"/>
          </w:tcPr>
          <w:p w14:paraId="5E6489DD">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1350" w:type="dxa"/>
          </w:tcPr>
          <w:p w14:paraId="0C29EFC7">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r>
      <w:tr w14:paraId="57ED1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828" w:type="dxa"/>
          </w:tcPr>
          <w:p w14:paraId="10E1CAAB">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2</w:t>
            </w:r>
          </w:p>
        </w:tc>
        <w:tc>
          <w:tcPr>
            <w:tcW w:w="1907" w:type="dxa"/>
          </w:tcPr>
          <w:p w14:paraId="294DC793">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1620" w:type="dxa"/>
          </w:tcPr>
          <w:p w14:paraId="47BC2D8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977" w:type="dxa"/>
          </w:tcPr>
          <w:p w14:paraId="3F6FB37F">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840" w:type="dxa"/>
          </w:tcPr>
          <w:p w14:paraId="67EB00B3">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810" w:type="dxa"/>
          </w:tcPr>
          <w:p w14:paraId="2CCF5D93">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930" w:type="dxa"/>
          </w:tcPr>
          <w:p w14:paraId="3ADB6383">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2325" w:type="dxa"/>
          </w:tcPr>
          <w:p w14:paraId="1ADA4768">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1487" w:type="dxa"/>
          </w:tcPr>
          <w:p w14:paraId="0C6C587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1350" w:type="dxa"/>
          </w:tcPr>
          <w:p w14:paraId="53941B42">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r>
      <w:tr w14:paraId="2BA9D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828" w:type="dxa"/>
          </w:tcPr>
          <w:p w14:paraId="1629199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w:t>
            </w:r>
          </w:p>
        </w:tc>
        <w:tc>
          <w:tcPr>
            <w:tcW w:w="1907" w:type="dxa"/>
          </w:tcPr>
          <w:p w14:paraId="38EA3E77">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1620" w:type="dxa"/>
          </w:tcPr>
          <w:p w14:paraId="5299F35E">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977" w:type="dxa"/>
          </w:tcPr>
          <w:p w14:paraId="61A982D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840" w:type="dxa"/>
          </w:tcPr>
          <w:p w14:paraId="48E38215">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810" w:type="dxa"/>
          </w:tcPr>
          <w:p w14:paraId="76B2F0FC">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930" w:type="dxa"/>
          </w:tcPr>
          <w:p w14:paraId="3E31610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2325" w:type="dxa"/>
          </w:tcPr>
          <w:p w14:paraId="1DC2514D">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1487" w:type="dxa"/>
          </w:tcPr>
          <w:p w14:paraId="2AF41D1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1350" w:type="dxa"/>
          </w:tcPr>
          <w:p w14:paraId="230D6797">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r>
      <w:tr w14:paraId="26BE6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4355" w:type="dxa"/>
            <w:gridSpan w:val="3"/>
          </w:tcPr>
          <w:p w14:paraId="5B0DD712">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b/>
                <w:bCs/>
                <w:color w:val="auto"/>
                <w:sz w:val="28"/>
              </w:rPr>
            </w:pPr>
            <w:r>
              <w:rPr>
                <w:rFonts w:hint="eastAsia" w:ascii="华文仿宋" w:hAnsi="华文仿宋" w:eastAsia="华文仿宋" w:cs="仿宋_GB2312"/>
                <w:b/>
                <w:bCs/>
                <w:color w:val="auto"/>
                <w:sz w:val="28"/>
              </w:rPr>
              <w:t>初始报价总价</w:t>
            </w:r>
          </w:p>
        </w:tc>
        <w:tc>
          <w:tcPr>
            <w:tcW w:w="7369" w:type="dxa"/>
            <w:gridSpan w:val="6"/>
          </w:tcPr>
          <w:p w14:paraId="521C0A47">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c>
          <w:tcPr>
            <w:tcW w:w="1350" w:type="dxa"/>
          </w:tcPr>
          <w:p w14:paraId="5A7EF728">
            <w:pPr>
              <w:keepNext w:val="0"/>
              <w:keepLines w:val="0"/>
              <w:pageBreakBefore w:val="0"/>
              <w:tabs>
                <w:tab w:val="left" w:pos="249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单位：元</w:t>
            </w:r>
          </w:p>
        </w:tc>
      </w:tr>
    </w:tbl>
    <w:p w14:paraId="3B3D9757">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p w14:paraId="1794B0BA">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报价单位代表（签字或盖章）:____________________</w:t>
      </w:r>
    </w:p>
    <w:p w14:paraId="0AB70B03">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p w14:paraId="2F37BD6B">
      <w:pPr>
        <w:keepNext w:val="0"/>
        <w:keepLines w:val="0"/>
        <w:pageBreakBefore w:val="0"/>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p w14:paraId="53D4BED0">
      <w:pPr>
        <w:keepNext w:val="0"/>
        <w:keepLines w:val="0"/>
        <w:pageBreakBefore w:val="0"/>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sectPr>
          <w:pgSz w:w="16838" w:h="11906" w:orient="landscape"/>
          <w:pgMar w:top="1803" w:right="1440" w:bottom="1803" w:left="1440" w:header="851" w:footer="992" w:gutter="0"/>
          <w:cols w:space="720" w:num="1"/>
          <w:formProt w:val="0"/>
          <w:docGrid w:type="lines" w:linePitch="319" w:charSpace="0"/>
        </w:sectPr>
      </w:pPr>
    </w:p>
    <w:p w14:paraId="5870DDCD">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二次报价表</w:t>
      </w:r>
    </w:p>
    <w:p w14:paraId="16DBFBF6">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黑体" w:hAnsi="黑体" w:eastAsia="黑体" w:cs="仿宋_GB2312"/>
          <w:color w:val="auto"/>
          <w:sz w:val="44"/>
          <w:szCs w:val="44"/>
        </w:rPr>
      </w:pPr>
      <w:r>
        <w:rPr>
          <w:rFonts w:hint="eastAsia" w:ascii="华文仿宋" w:hAnsi="华文仿宋" w:eastAsia="华文仿宋" w:cs="仿宋_GB2312"/>
          <w:color w:val="auto"/>
          <w:sz w:val="28"/>
        </w:rPr>
        <w:t xml:space="preserve">                                                 单位:元</w:t>
      </w:r>
    </w:p>
    <w:tbl>
      <w:tblPr>
        <w:tblStyle w:val="24"/>
        <w:tblW w:w="8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9"/>
        <w:gridCol w:w="6925"/>
      </w:tblGrid>
      <w:tr w14:paraId="5BFC8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2009" w:type="dxa"/>
            <w:vAlign w:val="center"/>
          </w:tcPr>
          <w:p w14:paraId="52188489">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报价单位</w:t>
            </w:r>
          </w:p>
        </w:tc>
        <w:tc>
          <w:tcPr>
            <w:tcW w:w="6925" w:type="dxa"/>
          </w:tcPr>
          <w:p w14:paraId="7FAE617E">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p>
        </w:tc>
      </w:tr>
      <w:tr w14:paraId="59295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2009" w:type="dxa"/>
            <w:vAlign w:val="center"/>
          </w:tcPr>
          <w:p w14:paraId="353EC047">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项目名称</w:t>
            </w:r>
          </w:p>
        </w:tc>
        <w:tc>
          <w:tcPr>
            <w:tcW w:w="6925" w:type="dxa"/>
          </w:tcPr>
          <w:p w14:paraId="72426B50">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firstLine="840" w:firstLineChars="300"/>
              <w:textAlignment w:val="auto"/>
              <w:rPr>
                <w:rFonts w:ascii="华文仿宋" w:hAnsi="华文仿宋" w:eastAsia="华文仿宋" w:cs="仿宋_GB2312"/>
                <w:color w:val="auto"/>
                <w:sz w:val="28"/>
              </w:rPr>
            </w:pPr>
          </w:p>
        </w:tc>
      </w:tr>
      <w:tr w14:paraId="452F8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0" w:hRule="atLeast"/>
        </w:trPr>
        <w:tc>
          <w:tcPr>
            <w:tcW w:w="2009" w:type="dxa"/>
            <w:vAlign w:val="center"/>
          </w:tcPr>
          <w:p w14:paraId="4FD5238F">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二次报价</w:t>
            </w:r>
          </w:p>
          <w:p w14:paraId="7977464C">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p>
        </w:tc>
        <w:tc>
          <w:tcPr>
            <w:tcW w:w="6925" w:type="dxa"/>
          </w:tcPr>
          <w:p w14:paraId="02E06972">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p w14:paraId="3964B166">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人民币大写：</w:t>
            </w:r>
          </w:p>
          <w:p w14:paraId="10AF34AA">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firstLine="840" w:firstLineChars="300"/>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小写：</w:t>
            </w:r>
          </w:p>
        </w:tc>
      </w:tr>
      <w:tr w14:paraId="0C669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2009" w:type="dxa"/>
            <w:vAlign w:val="center"/>
          </w:tcPr>
          <w:p w14:paraId="1499602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质量</w:t>
            </w:r>
          </w:p>
        </w:tc>
        <w:tc>
          <w:tcPr>
            <w:tcW w:w="6925" w:type="dxa"/>
            <w:vAlign w:val="center"/>
          </w:tcPr>
          <w:p w14:paraId="2A1B9F86">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达到相关行业标准或符合采购方要求</w:t>
            </w:r>
          </w:p>
        </w:tc>
      </w:tr>
      <w:tr w14:paraId="221AA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2009" w:type="dxa"/>
            <w:vAlign w:val="center"/>
          </w:tcPr>
          <w:p w14:paraId="7A4FB425">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交付期</w:t>
            </w:r>
          </w:p>
        </w:tc>
        <w:tc>
          <w:tcPr>
            <w:tcW w:w="6925" w:type="dxa"/>
          </w:tcPr>
          <w:p w14:paraId="33B0BA71">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tc>
      </w:tr>
      <w:tr w14:paraId="54056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2" w:hRule="atLeast"/>
        </w:trPr>
        <w:tc>
          <w:tcPr>
            <w:tcW w:w="2009" w:type="dxa"/>
            <w:vAlign w:val="center"/>
          </w:tcPr>
          <w:p w14:paraId="08F4708C">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报价单位</w:t>
            </w:r>
          </w:p>
          <w:p w14:paraId="5DC72709">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jc w:val="center"/>
              <w:textAlignment w:val="auto"/>
              <w:rPr>
                <w:rFonts w:ascii="华文仿宋" w:hAnsi="华文仿宋" w:eastAsia="华文仿宋" w:cs="仿宋_GB2312"/>
                <w:color w:val="auto"/>
                <w:sz w:val="28"/>
              </w:rPr>
            </w:pPr>
          </w:p>
        </w:tc>
        <w:tc>
          <w:tcPr>
            <w:tcW w:w="6925" w:type="dxa"/>
          </w:tcPr>
          <w:p w14:paraId="49162795">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p w14:paraId="4E6D87AD">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法定代表人（签字或盖章）：</w:t>
            </w:r>
          </w:p>
          <w:p w14:paraId="6B6E1B7E">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p>
          <w:p w14:paraId="284A4244">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委托代理人（签字或盖章）：</w:t>
            </w:r>
          </w:p>
          <w:p w14:paraId="37A7CF62">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 xml:space="preserve">                                    </w:t>
            </w:r>
          </w:p>
          <w:p w14:paraId="612BB88B">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 xml:space="preserve">                               （公章）</w:t>
            </w:r>
          </w:p>
          <w:p w14:paraId="63AB0FC5">
            <w:pPr>
              <w:keepNext w:val="0"/>
              <w:keepLines w:val="0"/>
              <w:pageBreakBefore w:val="0"/>
              <w:tabs>
                <w:tab w:val="left" w:pos="277"/>
                <w:tab w:val="left" w:pos="2493"/>
                <w:tab w:val="left" w:pos="5263"/>
              </w:tabs>
              <w:kinsoku/>
              <w:wordWrap/>
              <w:overflowPunct/>
              <w:topLinePunct w:val="0"/>
              <w:autoSpaceDE/>
              <w:autoSpaceDN/>
              <w:bidi w:val="0"/>
              <w:spacing w:line="560" w:lineRule="exact"/>
              <w:ind w:right="0" w:rightChars="0" w:firstLine="1960" w:firstLineChars="700"/>
              <w:textAlignment w:val="auto"/>
              <w:rPr>
                <w:rFonts w:ascii="华文仿宋" w:hAnsi="华文仿宋" w:eastAsia="华文仿宋" w:cs="仿宋_GB2312"/>
                <w:color w:val="auto"/>
                <w:sz w:val="28"/>
              </w:rPr>
            </w:pPr>
            <w:r>
              <w:rPr>
                <w:rFonts w:hint="eastAsia" w:ascii="华文仿宋" w:hAnsi="华文仿宋" w:eastAsia="华文仿宋" w:cs="仿宋_GB2312"/>
                <w:color w:val="auto"/>
                <w:sz w:val="28"/>
              </w:rPr>
              <w:t xml:space="preserve">             年     月    日</w:t>
            </w:r>
          </w:p>
        </w:tc>
      </w:tr>
    </w:tbl>
    <w:p w14:paraId="7E8B1738">
      <w:pPr>
        <w:pStyle w:val="3"/>
        <w:keepNext w:val="0"/>
        <w:keepLines w:val="0"/>
        <w:pageBreakBefore w:val="0"/>
        <w:kinsoku/>
        <w:wordWrap/>
        <w:overflowPunct/>
        <w:topLinePunct w:val="0"/>
        <w:autoSpaceDE/>
        <w:autoSpaceDN/>
        <w:bidi w:val="0"/>
        <w:spacing w:line="560" w:lineRule="exact"/>
        <w:ind w:right="0" w:rightChars="0"/>
        <w:textAlignment w:val="auto"/>
        <w:rPr>
          <w:rFonts w:ascii="华文仿宋" w:hAnsi="华文仿宋" w:eastAsia="华文仿宋"/>
          <w:b w:val="0"/>
          <w:color w:val="auto"/>
          <w:sz w:val="21"/>
          <w:szCs w:val="21"/>
        </w:rPr>
      </w:pPr>
    </w:p>
    <w:p w14:paraId="0D2B2992">
      <w:pPr>
        <w:pStyle w:val="3"/>
        <w:keepNext w:val="0"/>
        <w:keepLines w:val="0"/>
        <w:pageBreakBefore w:val="0"/>
        <w:kinsoku/>
        <w:wordWrap/>
        <w:overflowPunct/>
        <w:topLinePunct w:val="0"/>
        <w:autoSpaceDE/>
        <w:autoSpaceDN/>
        <w:bidi w:val="0"/>
        <w:spacing w:line="560" w:lineRule="exact"/>
        <w:ind w:right="0" w:rightChars="0"/>
        <w:jc w:val="both"/>
        <w:textAlignment w:val="auto"/>
        <w:rPr>
          <w:rFonts w:ascii="华文仿宋" w:hAnsi="华文仿宋" w:eastAsia="华文仿宋"/>
          <w:color w:val="auto"/>
          <w:sz w:val="21"/>
          <w:szCs w:val="21"/>
        </w:rPr>
      </w:pPr>
      <w:r>
        <w:rPr>
          <w:rFonts w:hint="eastAsia" w:ascii="黑体" w:hAnsi="黑体" w:eastAsia="黑体" w:cs="黑体"/>
          <w:b w:val="0"/>
          <w:bCs/>
          <w:color w:val="auto"/>
          <w:sz w:val="28"/>
        </w:rPr>
        <w:t xml:space="preserve">    </w:t>
      </w:r>
      <w:r>
        <w:rPr>
          <w:rFonts w:hint="eastAsia" w:ascii="黑体" w:hAnsi="黑体" w:eastAsia="黑体" w:cs="黑体"/>
          <w:color w:val="auto"/>
          <w:sz w:val="28"/>
        </w:rPr>
        <w:t>注：本次询价分初始报价和二次报价，经与采购方询价小组谈判后，再填制二次报价表（手工填写）。</w:t>
      </w:r>
    </w:p>
    <w:p w14:paraId="4B7D310C">
      <w:pPr>
        <w:keepNext w:val="0"/>
        <w:keepLines w:val="0"/>
        <w:pageBreakBefore w:val="0"/>
        <w:kinsoku/>
        <w:wordWrap/>
        <w:overflowPunct/>
        <w:topLinePunct w:val="0"/>
        <w:autoSpaceDE/>
        <w:autoSpaceDN/>
        <w:bidi w:val="0"/>
        <w:spacing w:line="560" w:lineRule="exact"/>
        <w:ind w:right="0" w:rightChars="0"/>
        <w:textAlignment w:val="auto"/>
        <w:rPr>
          <w:rFonts w:ascii="华文仿宋" w:hAnsi="华文仿宋" w:eastAsia="华文仿宋" w:cs="仿宋_GB2312"/>
          <w:b/>
          <w:color w:val="auto"/>
          <w:sz w:val="28"/>
        </w:rPr>
        <w:sectPr>
          <w:pgSz w:w="11906" w:h="16838"/>
          <w:pgMar w:top="1440" w:right="1800" w:bottom="1440" w:left="1800" w:header="851" w:footer="992" w:gutter="0"/>
          <w:cols w:space="720" w:num="1"/>
          <w:formProt w:val="0"/>
          <w:docGrid w:type="lines" w:linePitch="312" w:charSpace="0"/>
        </w:sectPr>
      </w:pPr>
    </w:p>
    <w:p w14:paraId="142E0E4F">
      <w:pPr>
        <w:keepNext w:val="0"/>
        <w:keepLines w:val="0"/>
        <w:pageBreakBefore w:val="0"/>
        <w:kinsoku/>
        <w:wordWrap/>
        <w:overflowPunct/>
        <w:topLinePunct w:val="0"/>
        <w:autoSpaceDE/>
        <w:autoSpaceDN/>
        <w:bidi w:val="0"/>
        <w:spacing w:line="560" w:lineRule="exact"/>
        <w:ind w:right="0" w:rightChars="0"/>
        <w:jc w:val="center"/>
        <w:textAlignment w:val="auto"/>
        <w:rPr>
          <w:rFonts w:hint="eastAsia" w:ascii="方正小标宋简体" w:hAnsi="方正小标宋简体" w:eastAsia="方正小标宋简体" w:cs="方正小标宋简体"/>
          <w:b w:val="0"/>
          <w:bCs w:val="0"/>
          <w:color w:val="auto"/>
          <w:sz w:val="36"/>
          <w:szCs w:val="36"/>
        </w:rPr>
      </w:pPr>
      <w:r>
        <w:rPr>
          <w:rFonts w:hint="eastAsia" w:ascii="方正小标宋简体" w:hAnsi="方正小标宋简体" w:eastAsia="方正小标宋简体" w:cs="方正小标宋简体"/>
          <w:b w:val="0"/>
          <w:bCs w:val="0"/>
          <w:color w:val="auto"/>
          <w:sz w:val="36"/>
          <w:szCs w:val="36"/>
        </w:rPr>
        <w:t>授权委托书</w:t>
      </w:r>
    </w:p>
    <w:p w14:paraId="069251D6">
      <w:pPr>
        <w:keepNext w:val="0"/>
        <w:keepLines w:val="0"/>
        <w:pageBreakBefore w:val="0"/>
        <w:kinsoku/>
        <w:wordWrap/>
        <w:overflowPunct/>
        <w:topLinePunct w:val="0"/>
        <w:autoSpaceDE/>
        <w:autoSpaceDN/>
        <w:bidi w:val="0"/>
        <w:spacing w:line="560" w:lineRule="exact"/>
        <w:ind w:right="0" w:rightChars="0"/>
        <w:jc w:val="center"/>
        <w:textAlignment w:val="auto"/>
        <w:outlineLvl w:val="0"/>
        <w:rPr>
          <w:rFonts w:ascii="华文仿宋" w:hAnsi="华文仿宋" w:eastAsia="华文仿宋" w:cs="仿宋_GB2312"/>
          <w:b/>
          <w:color w:val="auto"/>
          <w:sz w:val="32"/>
        </w:rPr>
      </w:pPr>
    </w:p>
    <w:p w14:paraId="5BB8B6D9">
      <w:pPr>
        <w:keepNext w:val="0"/>
        <w:keepLines w:val="0"/>
        <w:pageBreakBefore w:val="0"/>
        <w:kinsoku/>
        <w:wordWrap/>
        <w:overflowPunct/>
        <w:topLinePunct w:val="0"/>
        <w:autoSpaceDE/>
        <w:autoSpaceDN/>
        <w:bidi w:val="0"/>
        <w:spacing w:line="560" w:lineRule="exact"/>
        <w:ind w:right="0" w:rightChars="0" w:firstLine="570"/>
        <w:jc w:val="left"/>
        <w:textAlignment w:val="auto"/>
        <w:rPr>
          <w:rFonts w:hint="eastAsia" w:ascii="仿宋_GB2312" w:hAnsi="仿宋_GB2312" w:eastAsia="仿宋_GB2312" w:cs="仿宋_GB2312"/>
          <w:color w:val="auto"/>
          <w:sz w:val="28"/>
        </w:rPr>
      </w:pPr>
      <w:r>
        <w:rPr>
          <w:rFonts w:hint="eastAsia" w:ascii="仿宋_GB2312" w:hAnsi="仿宋_GB2312" w:eastAsia="仿宋_GB2312" w:cs="仿宋_GB2312"/>
          <w:color w:val="auto"/>
          <w:sz w:val="28"/>
        </w:rPr>
        <w:t>本授权委托书声明：我</w:t>
      </w:r>
      <w:r>
        <w:rPr>
          <w:rFonts w:hint="eastAsia" w:ascii="仿宋_GB2312" w:hAnsi="仿宋_GB2312" w:eastAsia="仿宋_GB2312" w:cs="仿宋_GB2312"/>
          <w:color w:val="auto"/>
          <w:sz w:val="28"/>
          <w:u w:val="single"/>
        </w:rPr>
        <w:t xml:space="preserve">         </w:t>
      </w:r>
      <w:r>
        <w:rPr>
          <w:rFonts w:hint="eastAsia" w:ascii="仿宋_GB2312" w:hAnsi="仿宋_GB2312" w:eastAsia="仿宋_GB2312" w:cs="仿宋_GB2312"/>
          <w:color w:val="auto"/>
          <w:sz w:val="28"/>
        </w:rPr>
        <w:t>（姓名）系</w:t>
      </w:r>
      <w:r>
        <w:rPr>
          <w:rFonts w:hint="eastAsia" w:ascii="仿宋_GB2312" w:hAnsi="仿宋_GB2312" w:eastAsia="仿宋_GB2312" w:cs="仿宋_GB2312"/>
          <w:color w:val="auto"/>
          <w:sz w:val="28"/>
          <w:u w:val="single"/>
        </w:rPr>
        <w:t xml:space="preserve">              </w:t>
      </w:r>
      <w:r>
        <w:rPr>
          <w:rFonts w:hint="eastAsia" w:ascii="仿宋_GB2312" w:hAnsi="仿宋_GB2312" w:eastAsia="仿宋_GB2312" w:cs="仿宋_GB2312"/>
          <w:color w:val="auto"/>
          <w:sz w:val="28"/>
        </w:rPr>
        <w:t>（</w:t>
      </w:r>
      <w:r>
        <w:rPr>
          <w:rFonts w:hint="eastAsia" w:ascii="仿宋_GB2312" w:hAnsi="仿宋_GB2312" w:eastAsia="仿宋_GB2312" w:cs="仿宋_GB2312"/>
          <w:color w:val="auto"/>
          <w:sz w:val="28"/>
          <w:lang w:eastAsia="zh-CN"/>
        </w:rPr>
        <w:t>单位</w:t>
      </w:r>
      <w:r>
        <w:rPr>
          <w:rFonts w:hint="eastAsia" w:ascii="仿宋_GB2312" w:hAnsi="仿宋_GB2312" w:eastAsia="仿宋_GB2312" w:cs="仿宋_GB2312"/>
          <w:color w:val="auto"/>
          <w:sz w:val="28"/>
        </w:rPr>
        <w:t>名称）的法定代表人，现授权委托</w:t>
      </w:r>
      <w:r>
        <w:rPr>
          <w:rFonts w:hint="eastAsia" w:ascii="仿宋_GB2312" w:hAnsi="仿宋_GB2312" w:eastAsia="仿宋_GB2312" w:cs="仿宋_GB2312"/>
          <w:color w:val="auto"/>
          <w:sz w:val="28"/>
          <w:u w:val="single"/>
        </w:rPr>
        <w:t xml:space="preserve">                   </w:t>
      </w:r>
      <w:r>
        <w:rPr>
          <w:rFonts w:hint="eastAsia" w:ascii="仿宋_GB2312" w:hAnsi="仿宋_GB2312" w:eastAsia="仿宋_GB2312" w:cs="仿宋_GB2312"/>
          <w:color w:val="auto"/>
          <w:sz w:val="28"/>
        </w:rPr>
        <w:t>（单位名称）的</w:t>
      </w:r>
      <w:r>
        <w:rPr>
          <w:rFonts w:hint="eastAsia" w:ascii="仿宋_GB2312" w:hAnsi="仿宋_GB2312" w:eastAsia="仿宋_GB2312" w:cs="仿宋_GB2312"/>
          <w:color w:val="auto"/>
          <w:sz w:val="28"/>
          <w:u w:val="single"/>
        </w:rPr>
        <w:t xml:space="preserve">                        </w:t>
      </w:r>
      <w:r>
        <w:rPr>
          <w:rFonts w:hint="eastAsia" w:ascii="仿宋_GB2312" w:hAnsi="仿宋_GB2312" w:eastAsia="仿宋_GB2312" w:cs="仿宋_GB2312"/>
          <w:color w:val="auto"/>
          <w:sz w:val="28"/>
        </w:rPr>
        <w:t>（姓名、职务）为我公司代理人，以本公司的名义参加</w:t>
      </w:r>
      <w:r>
        <w:rPr>
          <w:rFonts w:hint="eastAsia" w:ascii="仿宋_GB2312" w:hAnsi="仿宋_GB2312" w:eastAsia="仿宋_GB2312" w:cs="仿宋_GB2312"/>
          <w:color w:val="auto"/>
          <w:sz w:val="28"/>
          <w:u w:val="single"/>
        </w:rPr>
        <w:t xml:space="preserve"> </w:t>
      </w:r>
      <w:r>
        <w:rPr>
          <w:rFonts w:hint="eastAsia" w:ascii="仿宋_GB2312" w:hAnsi="仿宋_GB2312" w:eastAsia="仿宋_GB2312" w:cs="仿宋_GB2312"/>
          <w:color w:val="auto"/>
          <w:sz w:val="28"/>
          <w:u w:val="single"/>
          <w:lang w:val="en-US" w:eastAsia="zh-CN"/>
        </w:rPr>
        <w:t xml:space="preserve">   </w:t>
      </w:r>
      <w:r>
        <w:rPr>
          <w:rFonts w:hint="eastAsia" w:ascii="仿宋_GB2312" w:hAnsi="华文仿宋" w:eastAsia="仿宋_GB2312" w:cs="仿宋_GB2312"/>
          <w:color w:val="auto"/>
          <w:sz w:val="28"/>
          <w:u w:val="single"/>
          <w:lang w:eastAsia="zh-CN"/>
        </w:rPr>
        <w:t>石家庄市</w:t>
      </w:r>
      <w:r>
        <w:rPr>
          <w:rFonts w:hint="eastAsia" w:ascii="仿宋_GB2312" w:hAnsi="华文仿宋" w:eastAsia="仿宋_GB2312" w:cs="仿宋_GB2312"/>
          <w:color w:val="auto"/>
          <w:sz w:val="28"/>
          <w:u w:val="single"/>
          <w:lang w:val="en-US" w:eastAsia="zh-CN"/>
        </w:rPr>
        <w:t>生态环境局</w:t>
      </w:r>
      <w:r>
        <w:rPr>
          <w:rFonts w:hint="eastAsia" w:ascii="仿宋_GB2312" w:hAnsi="仿宋_GB2312" w:eastAsia="仿宋_GB2312" w:cs="仿宋_GB2312"/>
          <w:color w:val="auto"/>
          <w:sz w:val="28"/>
          <w:highlight w:val="none"/>
          <w:u w:val="single"/>
          <w:lang w:val="en-US" w:eastAsia="zh-CN"/>
        </w:rPr>
        <w:t xml:space="preserve">   </w:t>
      </w:r>
      <w:r>
        <w:rPr>
          <w:rFonts w:hint="eastAsia" w:ascii="仿宋_GB2312" w:hAnsi="仿宋_GB2312" w:eastAsia="仿宋_GB2312" w:cs="仿宋_GB2312"/>
          <w:color w:val="auto"/>
          <w:sz w:val="28"/>
          <w:highlight w:val="none"/>
          <w:u w:val="single"/>
        </w:rPr>
        <w:t xml:space="preserve"> </w:t>
      </w:r>
      <w:r>
        <w:rPr>
          <w:rFonts w:hint="eastAsia" w:ascii="仿宋_GB2312" w:hAnsi="仿宋_GB2312" w:eastAsia="仿宋_GB2312" w:cs="仿宋_GB2312"/>
          <w:color w:val="auto"/>
          <w:sz w:val="28"/>
        </w:rPr>
        <w:t>的</w:t>
      </w:r>
      <w:r>
        <w:rPr>
          <w:rFonts w:hint="eastAsia" w:ascii="仿宋_GB2312" w:hAnsi="仿宋_GB2312" w:eastAsia="仿宋_GB2312" w:cs="仿宋_GB2312"/>
          <w:color w:val="auto"/>
          <w:sz w:val="28"/>
          <w:u w:val="single"/>
        </w:rPr>
        <w:t xml:space="preserve"> </w:t>
      </w:r>
      <w:r>
        <w:rPr>
          <w:rFonts w:hint="eastAsia" w:ascii="仿宋_GB2312" w:hAnsi="仿宋_GB2312" w:eastAsia="仿宋_GB2312" w:cs="仿宋_GB2312"/>
          <w:color w:val="auto"/>
          <w:sz w:val="28"/>
          <w:u w:val="single"/>
          <w:lang w:val="en-US" w:eastAsia="zh-CN"/>
        </w:rPr>
        <w:t xml:space="preserve">      </w:t>
      </w:r>
      <w:r>
        <w:rPr>
          <w:rFonts w:hint="eastAsia" w:ascii="仿宋_GB2312" w:hAnsi="仿宋_GB2312" w:eastAsia="仿宋_GB2312" w:cs="仿宋_GB2312"/>
          <w:color w:val="auto"/>
          <w:sz w:val="28"/>
          <w:u w:val="single"/>
        </w:rPr>
        <w:t xml:space="preserve"> </w:t>
      </w:r>
      <w:r>
        <w:rPr>
          <w:rFonts w:hint="eastAsia" w:ascii="仿宋_GB2312" w:hAnsi="仿宋_GB2312" w:eastAsia="仿宋_GB2312" w:cs="仿宋_GB2312"/>
          <w:color w:val="auto"/>
          <w:sz w:val="28"/>
        </w:rPr>
        <w:t xml:space="preserve"> 项目的市场询价活动。代理人在询价谈判过程中所签署的一切文件和处理与之有关的一切事务，我均予以承认。</w:t>
      </w:r>
    </w:p>
    <w:p w14:paraId="5F8BC53D">
      <w:pPr>
        <w:keepNext w:val="0"/>
        <w:keepLines w:val="0"/>
        <w:pageBreakBefore w:val="0"/>
        <w:kinsoku/>
        <w:wordWrap/>
        <w:overflowPunct/>
        <w:topLinePunct w:val="0"/>
        <w:autoSpaceDE/>
        <w:autoSpaceDN/>
        <w:bidi w:val="0"/>
        <w:spacing w:line="560" w:lineRule="exact"/>
        <w:ind w:right="0" w:rightChars="0" w:firstLine="570"/>
        <w:jc w:val="left"/>
        <w:textAlignment w:val="auto"/>
        <w:rPr>
          <w:rFonts w:hint="eastAsia" w:ascii="仿宋_GB2312" w:hAnsi="仿宋_GB2312" w:eastAsia="仿宋_GB2312" w:cs="仿宋_GB2312"/>
          <w:color w:val="auto"/>
          <w:sz w:val="28"/>
        </w:rPr>
      </w:pPr>
      <w:r>
        <w:rPr>
          <w:rFonts w:hint="eastAsia" w:ascii="仿宋_GB2312" w:hAnsi="仿宋_GB2312" w:eastAsia="仿宋_GB2312" w:cs="仿宋_GB2312"/>
          <w:color w:val="auto"/>
          <w:sz w:val="28"/>
        </w:rPr>
        <w:t>代理人无转委托权。特此委托。</w:t>
      </w:r>
    </w:p>
    <w:p w14:paraId="257BFBA7">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color w:val="auto"/>
          <w:sz w:val="28"/>
        </w:rPr>
      </w:pPr>
    </w:p>
    <w:p w14:paraId="06FDF747">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color w:val="auto"/>
          <w:sz w:val="28"/>
        </w:rPr>
      </w:pPr>
      <w:r>
        <w:rPr>
          <w:rFonts w:hint="eastAsia" w:ascii="仿宋_GB2312" w:hAnsi="仿宋_GB2312" w:eastAsia="仿宋_GB2312" w:cs="仿宋_GB2312"/>
          <w:color w:val="auto"/>
          <w:sz w:val="28"/>
        </w:rPr>
        <w:t>代理人：                性别：    年龄：</w:t>
      </w:r>
    </w:p>
    <w:p w14:paraId="0780EEE3">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color w:val="auto"/>
          <w:sz w:val="28"/>
        </w:rPr>
      </w:pPr>
      <w:r>
        <w:rPr>
          <w:rFonts w:hint="eastAsia" w:ascii="仿宋_GB2312" w:hAnsi="仿宋_GB2312" w:eastAsia="仿宋_GB2312" w:cs="仿宋_GB2312"/>
          <w:color w:val="auto"/>
          <w:sz w:val="28"/>
        </w:rPr>
        <w:t>单位：                  职务：    身份证号：</w:t>
      </w:r>
    </w:p>
    <w:p w14:paraId="058578BC">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color w:val="auto"/>
          <w:sz w:val="28"/>
          <w:lang w:eastAsia="zh-CN"/>
        </w:rPr>
      </w:pPr>
      <w:r>
        <w:rPr>
          <w:rFonts w:hint="eastAsia" w:ascii="仿宋_GB2312" w:hAnsi="仿宋_GB2312" w:eastAsia="仿宋_GB2312" w:cs="仿宋_GB2312"/>
          <w:color w:val="auto"/>
          <w:sz w:val="28"/>
          <w:lang w:eastAsia="zh-CN"/>
        </w:rPr>
        <w:t>固定电话：</w:t>
      </w:r>
      <w:r>
        <w:rPr>
          <w:rFonts w:hint="eastAsia" w:ascii="仿宋_GB2312" w:hAnsi="仿宋_GB2312" w:eastAsia="仿宋_GB2312" w:cs="仿宋_GB2312"/>
          <w:color w:val="auto"/>
          <w:sz w:val="28"/>
          <w:lang w:val="en-US" w:eastAsia="zh-CN"/>
        </w:rPr>
        <w:t xml:space="preserve">              手机号码：</w:t>
      </w:r>
    </w:p>
    <w:p w14:paraId="11B8F885">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color w:val="auto"/>
          <w:sz w:val="28"/>
        </w:rPr>
      </w:pPr>
    </w:p>
    <w:p w14:paraId="56405350">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color w:val="auto"/>
          <w:sz w:val="28"/>
        </w:rPr>
      </w:pPr>
      <w:r>
        <w:rPr>
          <w:rFonts w:hint="eastAsia" w:ascii="仿宋_GB2312" w:hAnsi="仿宋_GB2312" w:eastAsia="仿宋_GB2312" w:cs="仿宋_GB2312"/>
          <w:color w:val="auto"/>
          <w:sz w:val="28"/>
        </w:rPr>
        <w:t>报价单位：（盖章）</w:t>
      </w:r>
    </w:p>
    <w:p w14:paraId="29033CD0">
      <w:pPr>
        <w:keepNext w:val="0"/>
        <w:keepLines w:val="0"/>
        <w:pageBreakBefore w:val="0"/>
        <w:kinsoku/>
        <w:wordWrap/>
        <w:overflowPunct/>
        <w:topLinePunct w:val="0"/>
        <w:autoSpaceDE/>
        <w:autoSpaceDN/>
        <w:bidi w:val="0"/>
        <w:spacing w:line="560" w:lineRule="exact"/>
        <w:ind w:right="0" w:rightChars="0" w:firstLine="570"/>
        <w:textAlignment w:val="auto"/>
        <w:outlineLvl w:val="0"/>
        <w:rPr>
          <w:rFonts w:hint="eastAsia" w:ascii="仿宋_GB2312" w:hAnsi="仿宋_GB2312" w:eastAsia="仿宋_GB2312" w:cs="仿宋_GB2312"/>
          <w:color w:val="auto"/>
          <w:sz w:val="28"/>
        </w:rPr>
      </w:pPr>
    </w:p>
    <w:p w14:paraId="7B45ED2C">
      <w:pPr>
        <w:keepNext w:val="0"/>
        <w:keepLines w:val="0"/>
        <w:pageBreakBefore w:val="0"/>
        <w:kinsoku/>
        <w:wordWrap/>
        <w:overflowPunct/>
        <w:topLinePunct w:val="0"/>
        <w:autoSpaceDE/>
        <w:autoSpaceDN/>
        <w:bidi w:val="0"/>
        <w:spacing w:line="560" w:lineRule="exact"/>
        <w:ind w:right="0" w:rightChars="0" w:firstLine="570"/>
        <w:textAlignment w:val="auto"/>
        <w:outlineLvl w:val="0"/>
        <w:rPr>
          <w:rFonts w:hint="eastAsia" w:ascii="仿宋_GB2312" w:hAnsi="仿宋_GB2312" w:eastAsia="仿宋_GB2312" w:cs="仿宋_GB2312"/>
          <w:color w:val="auto"/>
          <w:sz w:val="28"/>
        </w:rPr>
      </w:pPr>
    </w:p>
    <w:p w14:paraId="105296B7">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color w:val="auto"/>
          <w:sz w:val="28"/>
        </w:rPr>
      </w:pPr>
      <w:r>
        <w:rPr>
          <w:rFonts w:hint="eastAsia" w:ascii="仿宋_GB2312" w:hAnsi="仿宋_GB2312" w:eastAsia="仿宋_GB2312" w:cs="仿宋_GB2312"/>
          <w:color w:val="auto"/>
          <w:sz w:val="28"/>
        </w:rPr>
        <w:t>法定代表人：（盖章）</w:t>
      </w:r>
    </w:p>
    <w:p w14:paraId="725AE1A9">
      <w:pPr>
        <w:pStyle w:val="2"/>
        <w:rPr>
          <w:rFonts w:hint="eastAsia" w:ascii="仿宋_GB2312" w:hAnsi="仿宋_GB2312" w:eastAsia="仿宋_GB2312" w:cs="仿宋_GB2312"/>
          <w:color w:val="auto"/>
          <w:sz w:val="28"/>
        </w:rPr>
      </w:pPr>
    </w:p>
    <w:p w14:paraId="7E1EAE82">
      <w:pPr>
        <w:pStyle w:val="5"/>
        <w:rPr>
          <w:rFonts w:hint="eastAsia"/>
          <w:color w:val="auto"/>
        </w:rPr>
      </w:pPr>
    </w:p>
    <w:p w14:paraId="6950B01B">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color w:val="auto"/>
          <w:sz w:val="28"/>
        </w:rPr>
      </w:pPr>
      <w:r>
        <w:rPr>
          <w:rFonts w:hint="eastAsia" w:ascii="仿宋_GB2312" w:hAnsi="仿宋_GB2312" w:eastAsia="仿宋_GB2312" w:cs="仿宋_GB2312"/>
          <w:color w:val="auto"/>
          <w:sz w:val="28"/>
        </w:rPr>
        <w:t>有效期：  年  月  日至  年  月  日</w:t>
      </w:r>
    </w:p>
    <w:p w14:paraId="20337194">
      <w:pPr>
        <w:pStyle w:val="2"/>
        <w:rPr>
          <w:rFonts w:hint="eastAsia"/>
          <w:color w:val="auto"/>
        </w:rPr>
      </w:pPr>
    </w:p>
    <w:p w14:paraId="06A9A46D">
      <w:pPr>
        <w:keepNext w:val="0"/>
        <w:keepLines w:val="0"/>
        <w:pageBreakBefore w:val="0"/>
        <w:kinsoku/>
        <w:wordWrap/>
        <w:overflowPunct/>
        <w:topLinePunct w:val="0"/>
        <w:autoSpaceDE/>
        <w:autoSpaceDN/>
        <w:bidi w:val="0"/>
        <w:spacing w:line="560" w:lineRule="exact"/>
        <w:ind w:right="0" w:rightChars="0" w:firstLine="570"/>
        <w:textAlignment w:val="auto"/>
        <w:rPr>
          <w:rFonts w:hint="eastAsia" w:ascii="仿宋_GB2312" w:hAnsi="仿宋_GB2312" w:eastAsia="仿宋_GB2312" w:cs="仿宋_GB2312"/>
          <w:color w:val="auto"/>
          <w:sz w:val="28"/>
        </w:rPr>
      </w:pPr>
    </w:p>
    <w:p w14:paraId="1749DB7F">
      <w:pPr>
        <w:keepNext w:val="0"/>
        <w:keepLines w:val="0"/>
        <w:pageBreakBefore w:val="0"/>
        <w:kinsoku/>
        <w:wordWrap/>
        <w:overflowPunct/>
        <w:topLinePunct w:val="0"/>
        <w:autoSpaceDE/>
        <w:autoSpaceDN/>
        <w:bidi w:val="0"/>
        <w:spacing w:line="560" w:lineRule="exact"/>
        <w:ind w:left="850" w:right="0" w:rightChars="0" w:firstLine="679"/>
        <w:textAlignment w:val="auto"/>
        <w:rPr>
          <w:rFonts w:hint="eastAsia" w:ascii="仿宋_GB2312" w:hAnsi="仿宋_GB2312" w:eastAsia="仿宋_GB2312" w:cs="仿宋_GB2312"/>
          <w:color w:val="auto"/>
          <w:sz w:val="28"/>
        </w:rPr>
      </w:pPr>
      <w:r>
        <w:rPr>
          <w:rFonts w:hint="eastAsia" w:ascii="仿宋_GB2312" w:hAnsi="仿宋_GB2312" w:eastAsia="仿宋_GB2312" w:cs="仿宋_GB2312"/>
          <w:color w:val="auto"/>
          <w:sz w:val="28"/>
        </w:rPr>
        <w:t xml:space="preserve">                           日期：  年  月  日</w:t>
      </w:r>
    </w:p>
    <w:p w14:paraId="73B87EAA">
      <w:pPr>
        <w:keepNext w:val="0"/>
        <w:keepLines w:val="0"/>
        <w:pageBreakBefore w:val="0"/>
        <w:kinsoku/>
        <w:wordWrap/>
        <w:overflowPunct/>
        <w:topLinePunct w:val="0"/>
        <w:autoSpaceDE/>
        <w:autoSpaceDN/>
        <w:bidi w:val="0"/>
        <w:spacing w:line="560" w:lineRule="exact"/>
        <w:ind w:left="850" w:right="0" w:rightChars="0" w:firstLine="679"/>
        <w:textAlignment w:val="auto"/>
        <w:rPr>
          <w:rFonts w:hint="eastAsia" w:ascii="仿宋_GB2312" w:hAnsi="仿宋_GB2312" w:eastAsia="仿宋_GB2312" w:cs="仿宋_GB2312"/>
          <w:color w:val="auto"/>
          <w:sz w:val="28"/>
        </w:rPr>
        <w:sectPr>
          <w:pgSz w:w="11906" w:h="16838"/>
          <w:pgMar w:top="1440" w:right="1800" w:bottom="1440" w:left="1800" w:header="851" w:footer="992" w:gutter="0"/>
          <w:cols w:space="720" w:num="1"/>
          <w:formProt w:val="0"/>
          <w:docGrid w:type="lines" w:linePitch="312" w:charSpace="0"/>
        </w:sectPr>
      </w:pPr>
    </w:p>
    <w:p w14:paraId="5ED0C1A8">
      <w:pPr>
        <w:keepNext w:val="0"/>
        <w:keepLines w:val="0"/>
        <w:pageBreakBefore w:val="0"/>
        <w:kinsoku/>
        <w:wordWrap/>
        <w:overflowPunct/>
        <w:topLinePunct w:val="0"/>
        <w:autoSpaceDE/>
        <w:autoSpaceDN/>
        <w:bidi w:val="0"/>
        <w:spacing w:line="560" w:lineRule="exact"/>
        <w:ind w:right="0" w:rightChars="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【营业执照副本（或三证合一）复印件】（加盖单位公章和法人章）</w:t>
      </w:r>
    </w:p>
    <w:p w14:paraId="07C89C01">
      <w:pPr>
        <w:keepNext w:val="0"/>
        <w:keepLines w:val="0"/>
        <w:pageBreakBefore w:val="0"/>
        <w:kinsoku/>
        <w:wordWrap/>
        <w:overflowPunct/>
        <w:topLinePunct w:val="0"/>
        <w:autoSpaceDE/>
        <w:autoSpaceDN/>
        <w:bidi w:val="0"/>
        <w:spacing w:line="560" w:lineRule="exact"/>
        <w:ind w:right="0" w:rightChars="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【相关资质复印件】（加盖单位公章和法人章）</w:t>
      </w:r>
    </w:p>
    <w:p w14:paraId="6BCB0F69">
      <w:pPr>
        <w:keepNext w:val="0"/>
        <w:keepLines w:val="0"/>
        <w:pageBreakBefore w:val="0"/>
        <w:kinsoku/>
        <w:wordWrap/>
        <w:overflowPunct/>
        <w:topLinePunct w:val="0"/>
        <w:autoSpaceDE/>
        <w:autoSpaceDN/>
        <w:bidi w:val="0"/>
        <w:spacing w:line="560" w:lineRule="exact"/>
        <w:ind w:right="0" w:rightChars="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【被询价单位法人身份证复印件】（加盖单位公章和法人章）【被询价单位委托代理人身份证复印件】（加盖单位公章和法人章）</w:t>
      </w:r>
    </w:p>
    <w:p w14:paraId="2C4F446A">
      <w:pPr>
        <w:keepNext w:val="0"/>
        <w:keepLines w:val="0"/>
        <w:pageBreakBefore w:val="0"/>
        <w:kinsoku/>
        <w:wordWrap/>
        <w:overflowPunct/>
        <w:topLinePunct w:val="0"/>
        <w:autoSpaceDE/>
        <w:autoSpaceDN/>
        <w:bidi w:val="0"/>
        <w:spacing w:line="560" w:lineRule="exact"/>
        <w:ind w:right="0" w:rightChars="0"/>
        <w:textAlignment w:val="auto"/>
        <w:rPr>
          <w:rFonts w:ascii="楷体" w:hAnsi="楷体" w:eastAsia="楷体" w:cs="楷体"/>
          <w:color w:val="auto"/>
          <w:sz w:val="32"/>
          <w:szCs w:val="32"/>
        </w:rPr>
        <w:sectPr>
          <w:pgSz w:w="11906" w:h="16838"/>
          <w:pgMar w:top="1440" w:right="1800" w:bottom="1440" w:left="1800" w:header="851" w:footer="992" w:gutter="0"/>
          <w:cols w:space="425" w:num="1"/>
          <w:formProt w:val="0"/>
          <w:docGrid w:type="lines" w:linePitch="312" w:charSpace="0"/>
        </w:sectPr>
      </w:pPr>
      <w:r>
        <w:rPr>
          <w:rFonts w:hint="eastAsia" w:ascii="楷体" w:hAnsi="楷体" w:eastAsia="楷体" w:cs="楷体"/>
          <w:color w:val="auto"/>
          <w:sz w:val="32"/>
          <w:szCs w:val="32"/>
        </w:rPr>
        <w:t>【其他】</w:t>
      </w:r>
    </w:p>
    <w:p w14:paraId="77F9DEAD">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bCs/>
          <w:color w:val="auto"/>
          <w:sz w:val="44"/>
          <w:szCs w:val="44"/>
          <w:lang w:val="en-US" w:eastAsia="zh-CN"/>
        </w:rPr>
      </w:pPr>
      <w:r>
        <w:rPr>
          <w:rFonts w:hint="eastAsia" w:ascii="方正小标宋简体" w:hAnsi="方正小标宋简体" w:eastAsia="方正小标宋简体" w:cs="方正小标宋简体"/>
          <w:bCs/>
          <w:color w:val="auto"/>
          <w:sz w:val="44"/>
          <w:szCs w:val="44"/>
          <w:lang w:val="en-US" w:eastAsia="zh-CN"/>
        </w:rPr>
        <w:t>石家庄市生态环境局</w:t>
      </w:r>
    </w:p>
    <w:p w14:paraId="31F00D7A">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Cs/>
          <w:color w:val="auto"/>
          <w:sz w:val="44"/>
          <w:szCs w:val="44"/>
          <w:lang w:val="en-US" w:eastAsia="zh-CN"/>
        </w:rPr>
        <w:t>关于重点河流应急监测预警服务</w:t>
      </w:r>
      <w:r>
        <w:rPr>
          <w:rFonts w:hint="eastAsia" w:ascii="方正小标宋简体" w:hAnsi="方正小标宋简体" w:eastAsia="方正小标宋简体" w:cs="方正小标宋简体"/>
          <w:bCs/>
          <w:color w:val="auto"/>
          <w:sz w:val="44"/>
          <w:szCs w:val="44"/>
        </w:rPr>
        <w:t>询价</w:t>
      </w:r>
    </w:p>
    <w:p w14:paraId="4BA0BE00">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Cs/>
          <w:color w:val="auto"/>
          <w:sz w:val="44"/>
          <w:szCs w:val="44"/>
        </w:rPr>
        <w:t>告知卡</w:t>
      </w:r>
    </w:p>
    <w:p w14:paraId="6FBE3FD3">
      <w:pPr>
        <w:pStyle w:val="31"/>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ascii="方正小标宋_GBK" w:hAnsi="方正小标宋_GBK" w:eastAsia="方正小标宋_GBK" w:cs="方正小标宋_GBK"/>
          <w:color w:val="auto"/>
          <w:sz w:val="44"/>
          <w:szCs w:val="44"/>
        </w:rPr>
      </w:pPr>
    </w:p>
    <w:p w14:paraId="412F925E">
      <w:pPr>
        <w:pStyle w:val="3"/>
        <w:keepNext w:val="0"/>
        <w:keepLines w:val="0"/>
        <w:pageBreakBefore w:val="0"/>
        <w:widowControl w:val="0"/>
        <w:kinsoku/>
        <w:wordWrap/>
        <w:overflowPunct/>
        <w:topLinePunct w:val="0"/>
        <w:autoSpaceDE/>
        <w:autoSpaceDN/>
        <w:bidi w:val="0"/>
        <w:adjustRightInd/>
        <w:snapToGrid/>
        <w:spacing w:line="560" w:lineRule="exact"/>
        <w:ind w:right="0" w:rightChars="0"/>
        <w:jc w:val="left"/>
        <w:textAlignment w:val="auto"/>
        <w:outlineLvl w:val="9"/>
        <w:rPr>
          <w:rFonts w:ascii="方正小标宋_GBK" w:hAnsi="方正小标宋_GBK" w:eastAsia="方正小标宋_GBK" w:cs="方正小标宋_GBK"/>
          <w:b w:val="0"/>
          <w:bCs/>
          <w:color w:val="auto"/>
          <w:sz w:val="32"/>
          <w:szCs w:val="32"/>
          <w:u w:val="single"/>
        </w:rPr>
      </w:pPr>
      <w:r>
        <w:rPr>
          <w:rFonts w:hint="eastAsia" w:ascii="方正小标宋_GBK" w:hAnsi="方正小标宋_GBK" w:eastAsia="方正小标宋_GBK" w:cs="方正小标宋_GBK"/>
          <w:b w:val="0"/>
          <w:bCs/>
          <w:color w:val="auto"/>
          <w:sz w:val="32"/>
          <w:szCs w:val="32"/>
          <w:u w:val="single"/>
        </w:rPr>
        <w:t xml:space="preserve">                             </w:t>
      </w:r>
      <w:r>
        <w:rPr>
          <w:rFonts w:hint="eastAsia" w:ascii="方正小标宋_GBK" w:hAnsi="方正小标宋_GBK" w:eastAsia="方正小标宋_GBK" w:cs="方正小标宋_GBK"/>
          <w:b w:val="0"/>
          <w:bCs/>
          <w:color w:val="auto"/>
          <w:sz w:val="32"/>
          <w:szCs w:val="32"/>
        </w:rPr>
        <w:t xml:space="preserve"> （报价单位名称）：</w:t>
      </w:r>
    </w:p>
    <w:p w14:paraId="535403BB">
      <w:pPr>
        <w:pStyle w:val="3"/>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ascii="方正小标宋_GBK" w:hAnsi="方正小标宋_GBK" w:eastAsia="方正小标宋_GBK" w:cs="方正小标宋_GBK"/>
          <w:b w:val="0"/>
          <w:bCs/>
          <w:color w:val="auto"/>
          <w:sz w:val="32"/>
          <w:szCs w:val="32"/>
          <w:u w:val="single"/>
        </w:rPr>
      </w:pPr>
    </w:p>
    <w:p w14:paraId="562D27CA">
      <w:pPr>
        <w:pStyle w:val="3"/>
        <w:keepNext w:val="0"/>
        <w:keepLines w:val="0"/>
        <w:pageBreakBefore w:val="0"/>
        <w:widowControl w:val="0"/>
        <w:numPr>
          <w:ilvl w:val="0"/>
          <w:numId w:val="6"/>
        </w:numPr>
        <w:kinsoku/>
        <w:wordWrap/>
        <w:overflowPunct/>
        <w:topLinePunct w:val="0"/>
        <w:autoSpaceDE/>
        <w:autoSpaceDN/>
        <w:bidi w:val="0"/>
        <w:adjustRightInd/>
        <w:snapToGrid/>
        <w:spacing w:line="560" w:lineRule="exact"/>
        <w:ind w:right="0" w:rightChars="0"/>
        <w:jc w:val="both"/>
        <w:textAlignment w:val="auto"/>
        <w:outlineLvl w:val="9"/>
        <w:rPr>
          <w:rFonts w:ascii="方正小标宋_GBK" w:hAnsi="方正小标宋_GBK" w:eastAsia="方正小标宋_GBK" w:cs="方正小标宋_GBK"/>
          <w:b w:val="0"/>
          <w:bCs/>
          <w:color w:val="auto"/>
          <w:sz w:val="32"/>
          <w:szCs w:val="32"/>
        </w:rPr>
      </w:pPr>
      <w:r>
        <w:rPr>
          <w:rFonts w:hint="eastAsia" w:ascii="方正小标宋_GBK" w:hAnsi="方正小标宋_GBK" w:eastAsia="方正小标宋_GBK" w:cs="方正小标宋_GBK"/>
          <w:b w:val="0"/>
          <w:bCs/>
          <w:color w:val="auto"/>
          <w:sz w:val="32"/>
          <w:szCs w:val="32"/>
        </w:rPr>
        <w:t>我单位官网发布的“</w:t>
      </w:r>
      <w:r>
        <w:rPr>
          <w:rFonts w:hint="eastAsia" w:ascii="方正小标宋_GBK" w:hAnsi="方正小标宋_GBK" w:eastAsia="方正小标宋_GBK" w:cs="方正小标宋_GBK"/>
          <w:b w:val="0"/>
          <w:bCs/>
          <w:color w:val="auto"/>
          <w:sz w:val="32"/>
          <w:szCs w:val="32"/>
          <w:lang w:val="en-US" w:eastAsia="zh-CN"/>
        </w:rPr>
        <w:t>石家庄市生态环境局关于重点河流应急监测预警服务</w:t>
      </w:r>
      <w:r>
        <w:rPr>
          <w:rFonts w:hint="eastAsia" w:ascii="方正小标宋_GBK" w:hAnsi="方正小标宋_GBK" w:eastAsia="方正小标宋_GBK" w:cs="方正小标宋_GBK"/>
          <w:b w:val="0"/>
          <w:bCs/>
          <w:color w:val="auto"/>
          <w:sz w:val="32"/>
          <w:szCs w:val="32"/>
        </w:rPr>
        <w:t>询价信息公告”是否阅知？</w:t>
      </w:r>
    </w:p>
    <w:p w14:paraId="491FFFDE">
      <w:pPr>
        <w:pStyle w:val="3"/>
        <w:keepNext w:val="0"/>
        <w:keepLines w:val="0"/>
        <w:pageBreakBefore w:val="0"/>
        <w:widowControl w:val="0"/>
        <w:kinsoku/>
        <w:wordWrap/>
        <w:overflowPunct/>
        <w:topLinePunct w:val="0"/>
        <w:autoSpaceDE/>
        <w:autoSpaceDN/>
        <w:bidi w:val="0"/>
        <w:adjustRightInd/>
        <w:snapToGrid/>
        <w:spacing w:line="560" w:lineRule="exact"/>
        <w:ind w:left="420" w:right="0" w:rightChars="0"/>
        <w:jc w:val="both"/>
        <w:textAlignment w:val="auto"/>
        <w:outlineLvl w:val="9"/>
        <w:rPr>
          <w:rFonts w:ascii="方正小标宋_GBK" w:hAnsi="方正小标宋_GBK" w:eastAsia="方正小标宋_GBK" w:cs="方正小标宋_GBK"/>
          <w:b w:val="0"/>
          <w:bCs/>
          <w:color w:val="auto"/>
          <w:sz w:val="32"/>
          <w:szCs w:val="32"/>
          <w:u w:val="single"/>
        </w:rPr>
      </w:pPr>
      <w:r>
        <w:rPr>
          <w:rFonts w:hint="eastAsia" w:ascii="方正小标宋_GBK" w:hAnsi="方正小标宋_GBK" w:eastAsia="方正小标宋_GBK" w:cs="方正小标宋_GBK"/>
          <w:b w:val="0"/>
          <w:bCs/>
          <w:color w:val="auto"/>
          <w:sz w:val="32"/>
          <w:szCs w:val="32"/>
          <w:u w:val="single"/>
        </w:rPr>
        <w:t xml:space="preserve">             </w:t>
      </w:r>
    </w:p>
    <w:p w14:paraId="4F4BB5B5">
      <w:pPr>
        <w:pStyle w:val="3"/>
        <w:keepNext w:val="0"/>
        <w:keepLines w:val="0"/>
        <w:pageBreakBefore w:val="0"/>
        <w:widowControl w:val="0"/>
        <w:numPr>
          <w:ilvl w:val="0"/>
          <w:numId w:val="6"/>
        </w:numPr>
        <w:kinsoku/>
        <w:wordWrap/>
        <w:overflowPunct/>
        <w:topLinePunct w:val="0"/>
        <w:autoSpaceDE/>
        <w:autoSpaceDN/>
        <w:bidi w:val="0"/>
        <w:adjustRightInd/>
        <w:snapToGrid/>
        <w:spacing w:line="560" w:lineRule="exact"/>
        <w:ind w:right="0" w:rightChars="0"/>
        <w:jc w:val="both"/>
        <w:textAlignment w:val="auto"/>
        <w:outlineLvl w:val="9"/>
        <w:rPr>
          <w:rFonts w:ascii="方正小标宋_GBK" w:hAnsi="方正小标宋_GBK" w:eastAsia="方正小标宋_GBK" w:cs="方正小标宋_GBK"/>
          <w:b w:val="0"/>
          <w:bCs/>
          <w:color w:val="auto"/>
          <w:sz w:val="32"/>
          <w:szCs w:val="32"/>
        </w:rPr>
      </w:pPr>
      <w:r>
        <w:rPr>
          <w:rFonts w:hint="eastAsia" w:ascii="方正小标宋_GBK" w:hAnsi="方正小标宋_GBK" w:eastAsia="方正小标宋_GBK" w:cs="方正小标宋_GBK"/>
          <w:b w:val="0"/>
          <w:bCs/>
          <w:color w:val="auto"/>
          <w:sz w:val="32"/>
          <w:szCs w:val="32"/>
        </w:rPr>
        <w:t>我单位官网发布的“</w:t>
      </w:r>
      <w:r>
        <w:rPr>
          <w:rFonts w:hint="eastAsia" w:ascii="方正小标宋_GBK" w:hAnsi="方正小标宋_GBK" w:eastAsia="方正小标宋_GBK" w:cs="方正小标宋_GBK"/>
          <w:b w:val="0"/>
          <w:bCs/>
          <w:color w:val="auto"/>
          <w:sz w:val="32"/>
          <w:szCs w:val="32"/>
          <w:lang w:val="en-US" w:eastAsia="zh-CN"/>
        </w:rPr>
        <w:t>石家庄市生态环境局关于重点河流应急监测预警服务询价要求及流程</w:t>
      </w:r>
      <w:r>
        <w:rPr>
          <w:rFonts w:hint="eastAsia" w:ascii="方正小标宋_GBK" w:hAnsi="方正小标宋_GBK" w:eastAsia="方正小标宋_GBK" w:cs="方正小标宋_GBK"/>
          <w:b w:val="0"/>
          <w:bCs/>
          <w:color w:val="auto"/>
          <w:sz w:val="32"/>
          <w:szCs w:val="32"/>
        </w:rPr>
        <w:t>”是否阅知？</w:t>
      </w:r>
    </w:p>
    <w:p w14:paraId="7B27582D">
      <w:pPr>
        <w:pStyle w:val="3"/>
        <w:keepNext w:val="0"/>
        <w:keepLines w:val="0"/>
        <w:pageBreakBefore w:val="0"/>
        <w:widowControl w:val="0"/>
        <w:kinsoku/>
        <w:wordWrap/>
        <w:overflowPunct/>
        <w:topLinePunct w:val="0"/>
        <w:autoSpaceDE/>
        <w:autoSpaceDN/>
        <w:bidi w:val="0"/>
        <w:adjustRightInd/>
        <w:snapToGrid/>
        <w:spacing w:line="560" w:lineRule="exact"/>
        <w:ind w:left="420" w:right="0" w:rightChars="0"/>
        <w:jc w:val="both"/>
        <w:textAlignment w:val="auto"/>
        <w:outlineLvl w:val="9"/>
        <w:rPr>
          <w:rFonts w:ascii="方正小标宋_GBK" w:hAnsi="方正小标宋_GBK" w:eastAsia="方正小标宋_GBK" w:cs="方正小标宋_GBK"/>
          <w:b w:val="0"/>
          <w:bCs/>
          <w:color w:val="auto"/>
          <w:sz w:val="32"/>
          <w:szCs w:val="32"/>
          <w:u w:val="single"/>
        </w:rPr>
      </w:pPr>
      <w:r>
        <w:rPr>
          <w:rFonts w:hint="eastAsia" w:ascii="方正小标宋_GBK" w:hAnsi="方正小标宋_GBK" w:eastAsia="方正小标宋_GBK" w:cs="方正小标宋_GBK"/>
          <w:b w:val="0"/>
          <w:bCs/>
          <w:color w:val="auto"/>
          <w:sz w:val="32"/>
          <w:szCs w:val="32"/>
          <w:u w:val="single"/>
        </w:rPr>
        <w:t xml:space="preserve">              </w:t>
      </w:r>
    </w:p>
    <w:p w14:paraId="703152BA">
      <w:pPr>
        <w:pStyle w:val="3"/>
        <w:keepNext w:val="0"/>
        <w:keepLines w:val="0"/>
        <w:pageBreakBefore w:val="0"/>
        <w:widowControl w:val="0"/>
        <w:numPr>
          <w:ilvl w:val="0"/>
          <w:numId w:val="6"/>
        </w:numPr>
        <w:kinsoku/>
        <w:wordWrap/>
        <w:overflowPunct/>
        <w:topLinePunct w:val="0"/>
        <w:autoSpaceDE/>
        <w:autoSpaceDN/>
        <w:bidi w:val="0"/>
        <w:adjustRightInd/>
        <w:snapToGrid/>
        <w:spacing w:line="560" w:lineRule="exact"/>
        <w:ind w:right="0" w:rightChars="0"/>
        <w:jc w:val="both"/>
        <w:textAlignment w:val="auto"/>
        <w:outlineLvl w:val="9"/>
        <w:rPr>
          <w:rFonts w:ascii="方正小标宋_GBK" w:hAnsi="方正小标宋_GBK" w:eastAsia="方正小标宋_GBK" w:cs="方正小标宋_GBK"/>
          <w:b w:val="0"/>
          <w:bCs/>
          <w:color w:val="auto"/>
          <w:sz w:val="32"/>
          <w:szCs w:val="32"/>
        </w:rPr>
      </w:pPr>
      <w:r>
        <w:rPr>
          <w:rFonts w:hint="eastAsia" w:ascii="方正小标宋_GBK" w:hAnsi="方正小标宋_GBK" w:eastAsia="方正小标宋_GBK" w:cs="方正小标宋_GBK"/>
          <w:b w:val="0"/>
          <w:bCs/>
          <w:color w:val="auto"/>
          <w:sz w:val="32"/>
          <w:szCs w:val="32"/>
        </w:rPr>
        <w:t>我单位官网发布的“</w:t>
      </w:r>
      <w:r>
        <w:rPr>
          <w:rFonts w:hint="eastAsia" w:ascii="方正小标宋_GBK" w:hAnsi="方正小标宋_GBK" w:eastAsia="方正小标宋_GBK" w:cs="方正小标宋_GBK"/>
          <w:b w:val="0"/>
          <w:bCs/>
          <w:color w:val="auto"/>
          <w:sz w:val="32"/>
          <w:szCs w:val="32"/>
          <w:lang w:val="en-US" w:eastAsia="zh-CN"/>
        </w:rPr>
        <w:t>石家庄市生态环境局关于重点河流应急监测预警服务工作方案</w:t>
      </w:r>
      <w:r>
        <w:rPr>
          <w:rFonts w:hint="eastAsia" w:ascii="方正小标宋_GBK" w:hAnsi="方正小标宋_GBK" w:eastAsia="方正小标宋_GBK" w:cs="方正小标宋_GBK"/>
          <w:b w:val="0"/>
          <w:bCs/>
          <w:color w:val="auto"/>
          <w:sz w:val="32"/>
          <w:szCs w:val="32"/>
        </w:rPr>
        <w:t>”及采购需求是否阅知？</w:t>
      </w:r>
    </w:p>
    <w:p w14:paraId="30D6CD04">
      <w:pPr>
        <w:pStyle w:val="3"/>
        <w:keepNext w:val="0"/>
        <w:keepLines w:val="0"/>
        <w:pageBreakBefore w:val="0"/>
        <w:widowControl w:val="0"/>
        <w:kinsoku/>
        <w:wordWrap/>
        <w:overflowPunct/>
        <w:topLinePunct w:val="0"/>
        <w:autoSpaceDE/>
        <w:autoSpaceDN/>
        <w:bidi w:val="0"/>
        <w:adjustRightInd/>
        <w:snapToGrid/>
        <w:spacing w:line="560" w:lineRule="exact"/>
        <w:ind w:left="420" w:right="0" w:rightChars="0"/>
        <w:jc w:val="both"/>
        <w:textAlignment w:val="auto"/>
        <w:outlineLvl w:val="9"/>
        <w:rPr>
          <w:rFonts w:ascii="方正小标宋_GBK" w:hAnsi="方正小标宋_GBK" w:eastAsia="方正小标宋_GBK" w:cs="方正小标宋_GBK"/>
          <w:b w:val="0"/>
          <w:bCs/>
          <w:color w:val="auto"/>
          <w:sz w:val="32"/>
          <w:szCs w:val="32"/>
          <w:u w:val="single"/>
        </w:rPr>
      </w:pPr>
      <w:r>
        <w:rPr>
          <w:rFonts w:hint="eastAsia" w:ascii="方正小标宋_GBK" w:hAnsi="方正小标宋_GBK" w:eastAsia="方正小标宋_GBK" w:cs="方正小标宋_GBK"/>
          <w:b w:val="0"/>
          <w:bCs/>
          <w:color w:val="auto"/>
          <w:sz w:val="32"/>
          <w:szCs w:val="32"/>
          <w:u w:val="single"/>
        </w:rPr>
        <w:t xml:space="preserve">             </w:t>
      </w:r>
    </w:p>
    <w:p w14:paraId="07BA6A26">
      <w:pPr>
        <w:pStyle w:val="3"/>
        <w:keepNext w:val="0"/>
        <w:keepLines w:val="0"/>
        <w:pageBreakBefore w:val="0"/>
        <w:widowControl w:val="0"/>
        <w:kinsoku/>
        <w:wordWrap/>
        <w:overflowPunct/>
        <w:topLinePunct w:val="0"/>
        <w:autoSpaceDE/>
        <w:autoSpaceDN/>
        <w:bidi w:val="0"/>
        <w:adjustRightInd/>
        <w:snapToGrid/>
        <w:spacing w:line="560" w:lineRule="exact"/>
        <w:ind w:left="420" w:right="0" w:rightChars="0"/>
        <w:jc w:val="both"/>
        <w:textAlignment w:val="auto"/>
        <w:outlineLvl w:val="9"/>
        <w:rPr>
          <w:rFonts w:ascii="方正小标宋_GBK" w:hAnsi="方正小标宋_GBK" w:eastAsia="方正小标宋_GBK" w:cs="方正小标宋_GBK"/>
          <w:b w:val="0"/>
          <w:bCs/>
          <w:color w:val="auto"/>
          <w:sz w:val="32"/>
          <w:szCs w:val="32"/>
          <w:u w:val="single"/>
        </w:rPr>
      </w:pPr>
    </w:p>
    <w:p w14:paraId="5A84722A">
      <w:pPr>
        <w:pStyle w:val="3"/>
        <w:keepNext w:val="0"/>
        <w:keepLines w:val="0"/>
        <w:pageBreakBefore w:val="0"/>
        <w:widowControl w:val="0"/>
        <w:kinsoku/>
        <w:wordWrap/>
        <w:overflowPunct/>
        <w:topLinePunct w:val="0"/>
        <w:autoSpaceDE/>
        <w:autoSpaceDN/>
        <w:bidi w:val="0"/>
        <w:adjustRightInd/>
        <w:snapToGrid/>
        <w:spacing w:line="560" w:lineRule="exact"/>
        <w:ind w:right="0" w:rightChars="0" w:firstLine="2880" w:firstLineChars="900"/>
        <w:jc w:val="both"/>
        <w:textAlignment w:val="auto"/>
        <w:outlineLvl w:val="9"/>
        <w:rPr>
          <w:rFonts w:hint="eastAsia" w:ascii="方正小标宋_GBK" w:hAnsi="方正小标宋_GBK" w:eastAsia="方正小标宋_GBK" w:cs="方正小标宋_GBK"/>
          <w:b w:val="0"/>
          <w:bCs/>
          <w:color w:val="auto"/>
          <w:sz w:val="32"/>
          <w:szCs w:val="32"/>
          <w:u w:val="single"/>
        </w:rPr>
      </w:pPr>
      <w:r>
        <w:rPr>
          <w:rFonts w:hint="eastAsia" w:ascii="方正小标宋_GBK" w:hAnsi="方正小标宋_GBK" w:eastAsia="方正小标宋_GBK" w:cs="方正小标宋_GBK"/>
          <w:b w:val="0"/>
          <w:bCs/>
          <w:color w:val="auto"/>
          <w:sz w:val="32"/>
          <w:szCs w:val="32"/>
        </w:rPr>
        <w:t>报价单位（公章）：</w:t>
      </w:r>
      <w:r>
        <w:rPr>
          <w:rFonts w:hint="eastAsia" w:ascii="方正小标宋_GBK" w:hAnsi="方正小标宋_GBK" w:eastAsia="方正小标宋_GBK" w:cs="方正小标宋_GBK"/>
          <w:b w:val="0"/>
          <w:bCs/>
          <w:color w:val="auto"/>
          <w:sz w:val="32"/>
          <w:szCs w:val="32"/>
          <w:u w:val="single"/>
        </w:rPr>
        <w:t xml:space="preserve">                               </w:t>
      </w:r>
    </w:p>
    <w:p w14:paraId="0093377E">
      <w:pPr>
        <w:pStyle w:val="3"/>
        <w:keepNext w:val="0"/>
        <w:keepLines w:val="0"/>
        <w:pageBreakBefore w:val="0"/>
        <w:widowControl w:val="0"/>
        <w:kinsoku/>
        <w:wordWrap/>
        <w:overflowPunct/>
        <w:topLinePunct w:val="0"/>
        <w:autoSpaceDE/>
        <w:autoSpaceDN/>
        <w:bidi w:val="0"/>
        <w:adjustRightInd/>
        <w:snapToGrid/>
        <w:spacing w:line="560" w:lineRule="exact"/>
        <w:ind w:left="420" w:right="0" w:rightChars="0" w:firstLine="960" w:firstLineChars="300"/>
        <w:jc w:val="both"/>
        <w:textAlignment w:val="auto"/>
        <w:outlineLvl w:val="9"/>
        <w:rPr>
          <w:rFonts w:hint="eastAsia" w:ascii="方正小标宋_GBK" w:hAnsi="方正小标宋_GBK" w:eastAsia="方正小标宋_GBK" w:cs="方正小标宋_GBK"/>
          <w:b w:val="0"/>
          <w:bCs/>
          <w:color w:val="auto"/>
          <w:sz w:val="32"/>
          <w:szCs w:val="32"/>
          <w:u w:val="single"/>
        </w:rPr>
      </w:pPr>
    </w:p>
    <w:p w14:paraId="6C717DE3">
      <w:pPr>
        <w:pStyle w:val="3"/>
        <w:keepNext w:val="0"/>
        <w:keepLines w:val="0"/>
        <w:pageBreakBefore w:val="0"/>
        <w:widowControl w:val="0"/>
        <w:kinsoku/>
        <w:wordWrap/>
        <w:overflowPunct/>
        <w:topLinePunct w:val="0"/>
        <w:autoSpaceDE/>
        <w:autoSpaceDN/>
        <w:bidi w:val="0"/>
        <w:adjustRightInd/>
        <w:snapToGrid/>
        <w:spacing w:line="560" w:lineRule="exact"/>
        <w:ind w:right="0" w:rightChars="0" w:firstLine="2880" w:firstLineChars="900"/>
        <w:jc w:val="both"/>
        <w:textAlignment w:val="auto"/>
        <w:outlineLvl w:val="9"/>
        <w:rPr>
          <w:rFonts w:hint="eastAsia" w:ascii="方正小标宋_GBK" w:hAnsi="方正小标宋_GBK" w:eastAsia="方正小标宋_GBK" w:cs="方正小标宋_GBK"/>
          <w:b w:val="0"/>
          <w:bCs/>
          <w:color w:val="auto"/>
          <w:sz w:val="32"/>
          <w:szCs w:val="32"/>
        </w:rPr>
      </w:pPr>
      <w:r>
        <w:rPr>
          <w:rFonts w:hint="eastAsia" w:ascii="方正小标宋_GBK" w:hAnsi="方正小标宋_GBK" w:eastAsia="方正小标宋_GBK" w:cs="方正小标宋_GBK"/>
          <w:b w:val="0"/>
          <w:bCs/>
          <w:color w:val="auto"/>
          <w:sz w:val="32"/>
          <w:szCs w:val="32"/>
        </w:rPr>
        <w:t>委托代理人（签字）：</w:t>
      </w:r>
    </w:p>
    <w:p w14:paraId="6469D25E">
      <w:pPr>
        <w:pStyle w:val="3"/>
        <w:keepNext w:val="0"/>
        <w:keepLines w:val="0"/>
        <w:pageBreakBefore w:val="0"/>
        <w:widowControl w:val="0"/>
        <w:kinsoku/>
        <w:wordWrap/>
        <w:overflowPunct/>
        <w:topLinePunct w:val="0"/>
        <w:autoSpaceDE/>
        <w:autoSpaceDN/>
        <w:bidi w:val="0"/>
        <w:adjustRightInd/>
        <w:snapToGrid/>
        <w:spacing w:line="560" w:lineRule="exact"/>
        <w:ind w:left="420" w:right="0" w:rightChars="0"/>
        <w:textAlignment w:val="auto"/>
        <w:outlineLvl w:val="9"/>
        <w:rPr>
          <w:rFonts w:hint="eastAsia" w:ascii="方正小标宋_GBK" w:hAnsi="方正小标宋_GBK" w:eastAsia="方正小标宋_GBK" w:cs="方正小标宋_GBK"/>
          <w:b w:val="0"/>
          <w:bCs/>
          <w:color w:val="auto"/>
          <w:sz w:val="32"/>
          <w:szCs w:val="32"/>
        </w:rPr>
      </w:pPr>
    </w:p>
    <w:p w14:paraId="23005F07">
      <w:pPr>
        <w:pStyle w:val="3"/>
        <w:keepNext w:val="0"/>
        <w:keepLines w:val="0"/>
        <w:pageBreakBefore w:val="0"/>
        <w:widowControl w:val="0"/>
        <w:kinsoku/>
        <w:wordWrap/>
        <w:overflowPunct/>
        <w:topLinePunct w:val="0"/>
        <w:autoSpaceDE/>
        <w:autoSpaceDN/>
        <w:bidi w:val="0"/>
        <w:adjustRightInd/>
        <w:snapToGrid/>
        <w:spacing w:line="560" w:lineRule="exact"/>
        <w:ind w:left="420" w:right="0" w:rightChars="0"/>
        <w:textAlignment w:val="auto"/>
        <w:outlineLvl w:val="9"/>
        <w:rPr>
          <w:rFonts w:hint="eastAsia" w:ascii="方正小标宋_GBK" w:hAnsi="方正小标宋_GBK" w:eastAsia="方正小标宋_GBK" w:cs="方正小标宋_GBK"/>
          <w:b w:val="0"/>
          <w:bCs/>
          <w:color w:val="auto"/>
          <w:sz w:val="32"/>
          <w:szCs w:val="32"/>
          <w:lang w:val="en-US" w:eastAsia="zh-CN"/>
        </w:rPr>
      </w:pPr>
      <w:r>
        <w:rPr>
          <w:rFonts w:hint="eastAsia" w:ascii="方正小标宋_GBK" w:hAnsi="方正小标宋_GBK" w:eastAsia="方正小标宋_GBK" w:cs="方正小标宋_GBK"/>
          <w:b w:val="0"/>
          <w:bCs/>
          <w:color w:val="auto"/>
          <w:sz w:val="32"/>
          <w:szCs w:val="32"/>
        </w:rPr>
        <w:t xml:space="preserve">                                    年   月   日</w:t>
      </w:r>
    </w:p>
    <w:sectPr>
      <w:pgSz w:w="11906" w:h="16838"/>
      <w:pgMar w:top="1440" w:right="1800" w:bottom="1440" w:left="1800" w:header="851" w:footer="992" w:gutter="0"/>
      <w:cols w:space="425"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4C6C6CD-7174-4D2D-B5EC-9C463FA5797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C6FDC16C-2785-4F3C-8A63-51ACF8C93728}"/>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77DB4E1E-1A6E-4CBF-9B48-4AC0766C890C}"/>
  </w:font>
  <w:font w:name="方正小标宋简体">
    <w:panose1 w:val="03000509000000000000"/>
    <w:charset w:val="86"/>
    <w:family w:val="script"/>
    <w:pitch w:val="default"/>
    <w:sig w:usb0="00000001" w:usb1="080E0000" w:usb2="00000000" w:usb3="00000000" w:csb0="00040000" w:csb1="00000000"/>
    <w:embedRegular r:id="rId4" w:fontKey="{2E73CAD9-22F2-4452-9BA2-9E9D156953FA}"/>
  </w:font>
  <w:font w:name="方正小标宋_GBK">
    <w:panose1 w:val="02000000000000000000"/>
    <w:charset w:val="86"/>
    <w:family w:val="auto"/>
    <w:pitch w:val="default"/>
    <w:sig w:usb0="A00002BF" w:usb1="38CF7CFA" w:usb2="00082016" w:usb3="00000000" w:csb0="00040001" w:csb1="00000000"/>
    <w:embedRegular r:id="rId5" w:fontKey="{93D882E0-ACCF-4522-AC34-6D90795A6949}"/>
  </w:font>
  <w:font w:name="华文仿宋">
    <w:altName w:val="仿宋"/>
    <w:panose1 w:val="02010600040101010101"/>
    <w:charset w:val="86"/>
    <w:family w:val="auto"/>
    <w:pitch w:val="default"/>
    <w:sig w:usb0="00000000" w:usb1="00000000" w:usb2="00000000" w:usb3="00000000" w:csb0="0004009F" w:csb1="DFD70000"/>
    <w:embedRegular r:id="rId6" w:fontKey="{C3FEC0CF-8D33-4EEB-A29E-13FED0A09E7D}"/>
  </w:font>
  <w:font w:name="楷体">
    <w:panose1 w:val="02010609060101010101"/>
    <w:charset w:val="86"/>
    <w:family w:val="modern"/>
    <w:pitch w:val="default"/>
    <w:sig w:usb0="800002BF" w:usb1="38CF7CFA" w:usb2="00000016" w:usb3="00000000" w:csb0="00040001" w:csb1="00000000"/>
    <w:embedRegular r:id="rId7" w:fontKey="{76DF458C-0999-4D2B-80E9-6632F4F50FEA}"/>
  </w:font>
  <w:font w:name="WPSEMBED3">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63DED">
    <w:pPr>
      <w:pStyle w:val="17"/>
      <w:ind w:right="360"/>
    </w:pP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8B404">
    <w:pPr>
      <w:pStyle w:val="17"/>
      <w:jc w:val="center"/>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CE3BA">
    <w:pPr>
      <w:pStyle w:val="17"/>
      <w:jc w:val="cente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650A1">
    <w:pPr>
      <w:snapToGrid w:val="0"/>
      <w:spacing w:line="560" w:lineRule="exact"/>
      <w:ind w:right="420"/>
      <w:rPr>
        <w:szCs w:val="18"/>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94C6C">
    <w:pPr>
      <w:pStyle w:val="1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5DA693"/>
    <w:multiLevelType w:val="singleLevel"/>
    <w:tmpl w:val="FE5DA693"/>
    <w:lvl w:ilvl="0" w:tentative="0">
      <w:start w:val="5"/>
      <w:numFmt w:val="chineseCounting"/>
      <w:suff w:val="nothing"/>
      <w:lvlText w:val="%1、"/>
      <w:lvlJc w:val="left"/>
      <w:rPr>
        <w:rFonts w:hint="eastAsia"/>
      </w:rPr>
    </w:lvl>
  </w:abstractNum>
  <w:abstractNum w:abstractNumId="1">
    <w:nsid w:val="1E5B2EA3"/>
    <w:multiLevelType w:val="multilevel"/>
    <w:tmpl w:val="1E5B2EA3"/>
    <w:lvl w:ilvl="0" w:tentative="0">
      <w:start w:val="1"/>
      <w:numFmt w:val="decimal"/>
      <w:lvlText w:val="%1"/>
      <w:lvlJc w:val="left"/>
      <w:pPr>
        <w:ind w:left="0" w:firstLine="0"/>
      </w:pPr>
      <w:rPr>
        <w:rFonts w:hint="eastAsia" w:cs="Times New Roman"/>
        <w:b w:val="0"/>
        <w:i w:val="0"/>
        <w:iCs w:val="0"/>
        <w:caps w:val="0"/>
        <w:smallCaps w:val="0"/>
        <w:strike w:val="0"/>
        <w:dstrike w:val="0"/>
        <w:vanish w:val="0"/>
        <w:color w:val="000000"/>
        <w:spacing w:val="0"/>
        <w:position w:val="0"/>
        <w:u w:val="none"/>
        <w:vertAlign w:val="baseline"/>
        <w:lang w:val="en-US"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decimal"/>
      <w:isLgl/>
      <w:lvlText w:val="%1.%2"/>
      <w:lvlJc w:val="left"/>
      <w:pPr>
        <w:ind w:left="0" w:firstLine="0"/>
      </w:pPr>
      <w:rPr>
        <w:b w:val="0"/>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2" w:tentative="0">
      <w:start w:val="1"/>
      <w:numFmt w:val="decimal"/>
      <w:pStyle w:val="9"/>
      <w:isLgl/>
      <w:lvlText w:val="%1.%2.%3"/>
      <w:lvlJc w:val="left"/>
      <w:pPr>
        <w:ind w:left="0" w:firstLine="0"/>
      </w:pPr>
      <w:rPr>
        <w:rFonts w:hint="eastAsia"/>
      </w:rPr>
    </w:lvl>
    <w:lvl w:ilvl="3" w:tentative="0">
      <w:start w:val="1"/>
      <w:numFmt w:val="decimal"/>
      <w:isLgl/>
      <w:lvlText w:val="%1.%2.%3.%4"/>
      <w:lvlJc w:val="left"/>
      <w:pPr>
        <w:ind w:left="0" w:firstLine="0"/>
      </w:pPr>
      <w:rPr>
        <w:rFonts w:hint="eastAsia"/>
      </w:rPr>
    </w:lvl>
    <w:lvl w:ilvl="4" w:tentative="0">
      <w:start w:val="1"/>
      <w:numFmt w:val="decimal"/>
      <w:isLg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32927E9D"/>
    <w:multiLevelType w:val="singleLevel"/>
    <w:tmpl w:val="32927E9D"/>
    <w:lvl w:ilvl="0" w:tentative="0">
      <w:start w:val="1"/>
      <w:numFmt w:val="chineseCounting"/>
      <w:suff w:val="nothing"/>
      <w:lvlText w:val="%1、"/>
      <w:lvlJc w:val="left"/>
      <w:pPr>
        <w:ind w:left="0" w:firstLine="420"/>
      </w:pPr>
      <w:rPr>
        <w:rFonts w:hint="eastAsia"/>
      </w:rPr>
    </w:lvl>
  </w:abstractNum>
  <w:abstractNum w:abstractNumId="3">
    <w:nsid w:val="5912EBD1"/>
    <w:multiLevelType w:val="singleLevel"/>
    <w:tmpl w:val="5912EBD1"/>
    <w:lvl w:ilvl="0" w:tentative="0">
      <w:start w:val="1"/>
      <w:numFmt w:val="chineseCounting"/>
      <w:suff w:val="nothing"/>
      <w:lvlText w:val="%1、"/>
      <w:lvlJc w:val="left"/>
      <w:pPr>
        <w:ind w:left="0" w:firstLine="420"/>
      </w:pPr>
      <w:rPr>
        <w:rFonts w:hint="eastAsia"/>
      </w:rPr>
    </w:lvl>
  </w:abstractNum>
  <w:abstractNum w:abstractNumId="4">
    <w:nsid w:val="5912EC10"/>
    <w:multiLevelType w:val="singleLevel"/>
    <w:tmpl w:val="5912EC10"/>
    <w:lvl w:ilvl="0" w:tentative="0">
      <w:start w:val="1"/>
      <w:numFmt w:val="decimal"/>
      <w:suff w:val="nothing"/>
      <w:lvlText w:val="%1．"/>
      <w:lvlJc w:val="left"/>
      <w:pPr>
        <w:ind w:left="0" w:firstLine="400"/>
      </w:pPr>
      <w:rPr>
        <w:rFonts w:hint="default"/>
      </w:rPr>
    </w:lvl>
  </w:abstractNum>
  <w:abstractNum w:abstractNumId="5">
    <w:nsid w:val="5912EC30"/>
    <w:multiLevelType w:val="singleLevel"/>
    <w:tmpl w:val="5912EC30"/>
    <w:lvl w:ilvl="0" w:tentative="0">
      <w:start w:val="1"/>
      <w:numFmt w:val="decimal"/>
      <w:suff w:val="nothing"/>
      <w:lvlText w:val="%1．"/>
      <w:lvlJc w:val="left"/>
      <w:pPr>
        <w:ind w:left="0" w:firstLine="400"/>
      </w:pPr>
      <w:rPr>
        <w:rFonts w:hint="default"/>
      </w:rPr>
    </w:lvl>
  </w:abstractNum>
  <w:num w:numId="1">
    <w:abstractNumId w:val="1"/>
  </w:num>
  <w:num w:numId="2">
    <w:abstractNumId w:val="0"/>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Y4YTU3MGU5NDk3NWMxNGIzMGM4ZWY1ZDcwNzhjYzAifQ=="/>
  </w:docVars>
  <w:rsids>
    <w:rsidRoot w:val="002C0A44"/>
    <w:rsid w:val="00004422"/>
    <w:rsid w:val="00036664"/>
    <w:rsid w:val="0004439D"/>
    <w:rsid w:val="000F5645"/>
    <w:rsid w:val="00185CC7"/>
    <w:rsid w:val="001A7A62"/>
    <w:rsid w:val="001E5AFA"/>
    <w:rsid w:val="002C0A44"/>
    <w:rsid w:val="0032468E"/>
    <w:rsid w:val="003D574E"/>
    <w:rsid w:val="003E1BA0"/>
    <w:rsid w:val="0046143B"/>
    <w:rsid w:val="004A3AB1"/>
    <w:rsid w:val="004C0C8A"/>
    <w:rsid w:val="004E6E6C"/>
    <w:rsid w:val="00506845"/>
    <w:rsid w:val="00552C48"/>
    <w:rsid w:val="00560D65"/>
    <w:rsid w:val="00603A16"/>
    <w:rsid w:val="00684E4E"/>
    <w:rsid w:val="00693727"/>
    <w:rsid w:val="006E0458"/>
    <w:rsid w:val="0075335E"/>
    <w:rsid w:val="0075695E"/>
    <w:rsid w:val="007F5DE8"/>
    <w:rsid w:val="00811124"/>
    <w:rsid w:val="0081568F"/>
    <w:rsid w:val="00876E1F"/>
    <w:rsid w:val="00890D18"/>
    <w:rsid w:val="0099229D"/>
    <w:rsid w:val="009F30A1"/>
    <w:rsid w:val="00A10953"/>
    <w:rsid w:val="00A16E81"/>
    <w:rsid w:val="00A403BF"/>
    <w:rsid w:val="00A46E9B"/>
    <w:rsid w:val="00A752FC"/>
    <w:rsid w:val="00A91C3A"/>
    <w:rsid w:val="00A960A3"/>
    <w:rsid w:val="00AC1EBB"/>
    <w:rsid w:val="00AC4FE5"/>
    <w:rsid w:val="00BF58B1"/>
    <w:rsid w:val="00C245A2"/>
    <w:rsid w:val="00C50B26"/>
    <w:rsid w:val="00C56BBB"/>
    <w:rsid w:val="00C80A00"/>
    <w:rsid w:val="00C93AA0"/>
    <w:rsid w:val="00D71FB0"/>
    <w:rsid w:val="00DA3B74"/>
    <w:rsid w:val="00DE3410"/>
    <w:rsid w:val="00DE57BA"/>
    <w:rsid w:val="00DE737C"/>
    <w:rsid w:val="00EB5E32"/>
    <w:rsid w:val="00FD79A8"/>
    <w:rsid w:val="00FE2C98"/>
    <w:rsid w:val="01D53C37"/>
    <w:rsid w:val="02975C3C"/>
    <w:rsid w:val="02B80751"/>
    <w:rsid w:val="034E7427"/>
    <w:rsid w:val="04161698"/>
    <w:rsid w:val="052E74B6"/>
    <w:rsid w:val="053E4A03"/>
    <w:rsid w:val="054637EC"/>
    <w:rsid w:val="05AA1AAE"/>
    <w:rsid w:val="05C20325"/>
    <w:rsid w:val="05C62413"/>
    <w:rsid w:val="06FF4152"/>
    <w:rsid w:val="07506C6F"/>
    <w:rsid w:val="099C3941"/>
    <w:rsid w:val="0A156DB3"/>
    <w:rsid w:val="0A476CB9"/>
    <w:rsid w:val="0A84735B"/>
    <w:rsid w:val="0AD33E3F"/>
    <w:rsid w:val="0B8A53FD"/>
    <w:rsid w:val="0BA31992"/>
    <w:rsid w:val="0C060244"/>
    <w:rsid w:val="0C191D25"/>
    <w:rsid w:val="0C63233E"/>
    <w:rsid w:val="0CD60C9A"/>
    <w:rsid w:val="0CFC1658"/>
    <w:rsid w:val="0D10137A"/>
    <w:rsid w:val="0D5154EF"/>
    <w:rsid w:val="0E122ED0"/>
    <w:rsid w:val="0E211365"/>
    <w:rsid w:val="0E88796A"/>
    <w:rsid w:val="0EC0759D"/>
    <w:rsid w:val="0EDF32A9"/>
    <w:rsid w:val="10583DCA"/>
    <w:rsid w:val="105B6A84"/>
    <w:rsid w:val="10BD0069"/>
    <w:rsid w:val="10E34450"/>
    <w:rsid w:val="11E76B9F"/>
    <w:rsid w:val="121C4A33"/>
    <w:rsid w:val="126006AE"/>
    <w:rsid w:val="12684593"/>
    <w:rsid w:val="12A63C33"/>
    <w:rsid w:val="12F909FE"/>
    <w:rsid w:val="1320369B"/>
    <w:rsid w:val="13325751"/>
    <w:rsid w:val="135D040F"/>
    <w:rsid w:val="13621EEC"/>
    <w:rsid w:val="138564F0"/>
    <w:rsid w:val="13AA5E2B"/>
    <w:rsid w:val="13D73627"/>
    <w:rsid w:val="13E41600"/>
    <w:rsid w:val="15A52F2E"/>
    <w:rsid w:val="162E2A42"/>
    <w:rsid w:val="169A1CB5"/>
    <w:rsid w:val="17084E70"/>
    <w:rsid w:val="176A3F41"/>
    <w:rsid w:val="17BB3CFC"/>
    <w:rsid w:val="17C821C3"/>
    <w:rsid w:val="184666E6"/>
    <w:rsid w:val="18C563ED"/>
    <w:rsid w:val="194A05B4"/>
    <w:rsid w:val="1A362775"/>
    <w:rsid w:val="1AC66850"/>
    <w:rsid w:val="1B8D5C41"/>
    <w:rsid w:val="1B8E49E6"/>
    <w:rsid w:val="1BF956CF"/>
    <w:rsid w:val="1CD81789"/>
    <w:rsid w:val="1D497070"/>
    <w:rsid w:val="1D67225C"/>
    <w:rsid w:val="1DE5415D"/>
    <w:rsid w:val="1E486234"/>
    <w:rsid w:val="1F012D15"/>
    <w:rsid w:val="1F6623C1"/>
    <w:rsid w:val="20304FD0"/>
    <w:rsid w:val="204E102B"/>
    <w:rsid w:val="213868ED"/>
    <w:rsid w:val="219A57C2"/>
    <w:rsid w:val="222840E4"/>
    <w:rsid w:val="22784E32"/>
    <w:rsid w:val="22D95913"/>
    <w:rsid w:val="22DF2C0B"/>
    <w:rsid w:val="238D0876"/>
    <w:rsid w:val="23973171"/>
    <w:rsid w:val="248F6BD1"/>
    <w:rsid w:val="24BB6482"/>
    <w:rsid w:val="259124D5"/>
    <w:rsid w:val="275D3454"/>
    <w:rsid w:val="27D2138F"/>
    <w:rsid w:val="2805730B"/>
    <w:rsid w:val="28D94CC5"/>
    <w:rsid w:val="28E145A1"/>
    <w:rsid w:val="2901229F"/>
    <w:rsid w:val="2939535D"/>
    <w:rsid w:val="29BC1BEA"/>
    <w:rsid w:val="2A497822"/>
    <w:rsid w:val="2A781B3D"/>
    <w:rsid w:val="2A962289"/>
    <w:rsid w:val="2B0A5203"/>
    <w:rsid w:val="2B57444A"/>
    <w:rsid w:val="2B743843"/>
    <w:rsid w:val="2BCD7650"/>
    <w:rsid w:val="2BEC019E"/>
    <w:rsid w:val="2C770D7D"/>
    <w:rsid w:val="2C8B7393"/>
    <w:rsid w:val="2CBA4A07"/>
    <w:rsid w:val="2D5A65C5"/>
    <w:rsid w:val="2D7F55C2"/>
    <w:rsid w:val="2DB87198"/>
    <w:rsid w:val="2DEB62CF"/>
    <w:rsid w:val="2E0028ED"/>
    <w:rsid w:val="2E457F1A"/>
    <w:rsid w:val="2E922A59"/>
    <w:rsid w:val="2EA94D33"/>
    <w:rsid w:val="2EB57CCE"/>
    <w:rsid w:val="2EF064BE"/>
    <w:rsid w:val="2F7013AD"/>
    <w:rsid w:val="2F762E67"/>
    <w:rsid w:val="2F811C83"/>
    <w:rsid w:val="2F9013C2"/>
    <w:rsid w:val="2F974B8C"/>
    <w:rsid w:val="31147DA2"/>
    <w:rsid w:val="3156643E"/>
    <w:rsid w:val="3186310A"/>
    <w:rsid w:val="31DD71CE"/>
    <w:rsid w:val="32261FEE"/>
    <w:rsid w:val="32584AA6"/>
    <w:rsid w:val="32BC67A5"/>
    <w:rsid w:val="32D76267"/>
    <w:rsid w:val="332609ED"/>
    <w:rsid w:val="33433250"/>
    <w:rsid w:val="33F42D4E"/>
    <w:rsid w:val="346A24A1"/>
    <w:rsid w:val="354E2190"/>
    <w:rsid w:val="36336D3C"/>
    <w:rsid w:val="37664A4B"/>
    <w:rsid w:val="376A10BB"/>
    <w:rsid w:val="37D31B27"/>
    <w:rsid w:val="38093676"/>
    <w:rsid w:val="38A535F7"/>
    <w:rsid w:val="3A3F6D53"/>
    <w:rsid w:val="3A5A5133"/>
    <w:rsid w:val="3A9F725A"/>
    <w:rsid w:val="3AF14B1D"/>
    <w:rsid w:val="3B2535D0"/>
    <w:rsid w:val="3C3314A1"/>
    <w:rsid w:val="3C771D8C"/>
    <w:rsid w:val="3D630BAD"/>
    <w:rsid w:val="3D805C64"/>
    <w:rsid w:val="3E353E65"/>
    <w:rsid w:val="3E4E5F81"/>
    <w:rsid w:val="3E976956"/>
    <w:rsid w:val="3ED04B63"/>
    <w:rsid w:val="3EDC6A5F"/>
    <w:rsid w:val="3EE3596C"/>
    <w:rsid w:val="3F345B9D"/>
    <w:rsid w:val="3FC2791B"/>
    <w:rsid w:val="3FCD703E"/>
    <w:rsid w:val="403959A7"/>
    <w:rsid w:val="42B43088"/>
    <w:rsid w:val="44127729"/>
    <w:rsid w:val="444307BD"/>
    <w:rsid w:val="446A1A87"/>
    <w:rsid w:val="45330549"/>
    <w:rsid w:val="45EB2FC3"/>
    <w:rsid w:val="47D64CBF"/>
    <w:rsid w:val="486D2B74"/>
    <w:rsid w:val="48BA422E"/>
    <w:rsid w:val="491626E0"/>
    <w:rsid w:val="49862862"/>
    <w:rsid w:val="49FE5ADB"/>
    <w:rsid w:val="4A103E4C"/>
    <w:rsid w:val="4B34396A"/>
    <w:rsid w:val="4B562B1E"/>
    <w:rsid w:val="4BD73978"/>
    <w:rsid w:val="4C7622A1"/>
    <w:rsid w:val="4C900CC1"/>
    <w:rsid w:val="4D4E52B1"/>
    <w:rsid w:val="4D64659D"/>
    <w:rsid w:val="4E197069"/>
    <w:rsid w:val="4E276751"/>
    <w:rsid w:val="4E486040"/>
    <w:rsid w:val="4F7E3CB9"/>
    <w:rsid w:val="4FB530E0"/>
    <w:rsid w:val="50120259"/>
    <w:rsid w:val="5096171E"/>
    <w:rsid w:val="50FD61CC"/>
    <w:rsid w:val="515B7CB7"/>
    <w:rsid w:val="5196484B"/>
    <w:rsid w:val="51D830B6"/>
    <w:rsid w:val="52B30142"/>
    <w:rsid w:val="52B34A6D"/>
    <w:rsid w:val="535165EE"/>
    <w:rsid w:val="53EA4A51"/>
    <w:rsid w:val="545E3EDB"/>
    <w:rsid w:val="546A57C4"/>
    <w:rsid w:val="54BD7D6C"/>
    <w:rsid w:val="54E16872"/>
    <w:rsid w:val="54F63F7F"/>
    <w:rsid w:val="55223BCA"/>
    <w:rsid w:val="55CB540B"/>
    <w:rsid w:val="56561DB1"/>
    <w:rsid w:val="569F214B"/>
    <w:rsid w:val="56B934B6"/>
    <w:rsid w:val="580426D3"/>
    <w:rsid w:val="58733B38"/>
    <w:rsid w:val="598C3C46"/>
    <w:rsid w:val="59B11BB7"/>
    <w:rsid w:val="59CD4E8E"/>
    <w:rsid w:val="59FF1043"/>
    <w:rsid w:val="5A312564"/>
    <w:rsid w:val="5A431531"/>
    <w:rsid w:val="5B4A3877"/>
    <w:rsid w:val="5B5F0B54"/>
    <w:rsid w:val="5B7F49C4"/>
    <w:rsid w:val="5B8649E8"/>
    <w:rsid w:val="5BA81D4B"/>
    <w:rsid w:val="5BBE331C"/>
    <w:rsid w:val="5C14118E"/>
    <w:rsid w:val="5D3E05FC"/>
    <w:rsid w:val="5D995DEF"/>
    <w:rsid w:val="5DE77A3D"/>
    <w:rsid w:val="5EAE0D08"/>
    <w:rsid w:val="5F0919A4"/>
    <w:rsid w:val="5F4D50E3"/>
    <w:rsid w:val="5F7606B8"/>
    <w:rsid w:val="5FE377F5"/>
    <w:rsid w:val="601479AF"/>
    <w:rsid w:val="60456754"/>
    <w:rsid w:val="613025C6"/>
    <w:rsid w:val="61355986"/>
    <w:rsid w:val="616462DD"/>
    <w:rsid w:val="617625B0"/>
    <w:rsid w:val="61817A1F"/>
    <w:rsid w:val="620F2B8A"/>
    <w:rsid w:val="62517FC0"/>
    <w:rsid w:val="62720114"/>
    <w:rsid w:val="627853EA"/>
    <w:rsid w:val="63576530"/>
    <w:rsid w:val="638C03E2"/>
    <w:rsid w:val="641461CF"/>
    <w:rsid w:val="64481E81"/>
    <w:rsid w:val="645131D3"/>
    <w:rsid w:val="64AF5EF8"/>
    <w:rsid w:val="64BA7ED7"/>
    <w:rsid w:val="64E9765C"/>
    <w:rsid w:val="650A75D2"/>
    <w:rsid w:val="659C40EE"/>
    <w:rsid w:val="66302E0F"/>
    <w:rsid w:val="6727446C"/>
    <w:rsid w:val="672B0915"/>
    <w:rsid w:val="674D024D"/>
    <w:rsid w:val="67AB00FD"/>
    <w:rsid w:val="67BE26CC"/>
    <w:rsid w:val="680653B7"/>
    <w:rsid w:val="680A67C8"/>
    <w:rsid w:val="68837F16"/>
    <w:rsid w:val="68E07AEE"/>
    <w:rsid w:val="69006831"/>
    <w:rsid w:val="694F3806"/>
    <w:rsid w:val="6A4A6515"/>
    <w:rsid w:val="6A640F76"/>
    <w:rsid w:val="6A68367E"/>
    <w:rsid w:val="6AC84E7A"/>
    <w:rsid w:val="6C060AF4"/>
    <w:rsid w:val="6C4D6722"/>
    <w:rsid w:val="6C6D2921"/>
    <w:rsid w:val="6DD00BA9"/>
    <w:rsid w:val="6E2C46FB"/>
    <w:rsid w:val="6EAE0FCF"/>
    <w:rsid w:val="6F125D61"/>
    <w:rsid w:val="6F906926"/>
    <w:rsid w:val="6FF43359"/>
    <w:rsid w:val="70642025"/>
    <w:rsid w:val="70F652BC"/>
    <w:rsid w:val="71407CFA"/>
    <w:rsid w:val="71E511AB"/>
    <w:rsid w:val="726C6ADB"/>
    <w:rsid w:val="72BF19FC"/>
    <w:rsid w:val="73832A2A"/>
    <w:rsid w:val="73B47087"/>
    <w:rsid w:val="73F47F12"/>
    <w:rsid w:val="75005DE0"/>
    <w:rsid w:val="751F4904"/>
    <w:rsid w:val="759706CC"/>
    <w:rsid w:val="762941A2"/>
    <w:rsid w:val="76536B40"/>
    <w:rsid w:val="766F18E0"/>
    <w:rsid w:val="76D36788"/>
    <w:rsid w:val="77D53717"/>
    <w:rsid w:val="784D55E5"/>
    <w:rsid w:val="79E955B1"/>
    <w:rsid w:val="7A236D15"/>
    <w:rsid w:val="7A474029"/>
    <w:rsid w:val="7AB42514"/>
    <w:rsid w:val="7C115EE7"/>
    <w:rsid w:val="7D242C86"/>
    <w:rsid w:val="7DBE5B9D"/>
    <w:rsid w:val="7E1A6E9E"/>
    <w:rsid w:val="7F50046D"/>
    <w:rsid w:val="7F7C1528"/>
    <w:rsid w:val="7FA2248A"/>
    <w:rsid w:val="7FB23D36"/>
    <w:rsid w:val="7FE26D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7">
    <w:name w:val="heading 1"/>
    <w:basedOn w:val="1"/>
    <w:next w:val="1"/>
    <w:qFormat/>
    <w:uiPriority w:val="0"/>
    <w:pPr>
      <w:keepNext/>
      <w:jc w:val="left"/>
      <w:outlineLvl w:val="0"/>
    </w:pPr>
    <w:rPr>
      <w:rFonts w:ascii="宋体" w:hAnsi="宋体"/>
      <w:b/>
      <w:sz w:val="32"/>
      <w:szCs w:val="20"/>
    </w:rPr>
  </w:style>
  <w:style w:type="paragraph" w:styleId="8">
    <w:name w:val="heading 2"/>
    <w:basedOn w:val="1"/>
    <w:next w:val="1"/>
    <w:unhideWhenUsed/>
    <w:qFormat/>
    <w:uiPriority w:val="0"/>
    <w:pPr>
      <w:keepNext/>
      <w:tabs>
        <w:tab w:val="left" w:pos="1044"/>
      </w:tabs>
      <w:adjustRightInd w:val="0"/>
      <w:spacing w:line="360" w:lineRule="atLeast"/>
      <w:ind w:left="1044" w:hanging="468"/>
      <w:jc w:val="left"/>
      <w:textAlignment w:val="baseline"/>
      <w:outlineLvl w:val="1"/>
    </w:pPr>
    <w:rPr>
      <w:rFonts w:ascii="仿宋_GB2312" w:eastAsia="仿宋_GB2312"/>
      <w:b/>
      <w:sz w:val="28"/>
      <w:szCs w:val="28"/>
    </w:rPr>
  </w:style>
  <w:style w:type="paragraph" w:styleId="9">
    <w:name w:val="heading 3"/>
    <w:basedOn w:val="1"/>
    <w:next w:val="1"/>
    <w:unhideWhenUsed/>
    <w:qFormat/>
    <w:uiPriority w:val="0"/>
    <w:pPr>
      <w:keepNext/>
      <w:keepLines/>
      <w:numPr>
        <w:ilvl w:val="2"/>
        <w:numId w:val="1"/>
      </w:numPr>
      <w:spacing w:before="240" w:after="240"/>
      <w:jc w:val="left"/>
      <w:outlineLvl w:val="2"/>
    </w:pPr>
    <w:rPr>
      <w:bCs/>
      <w:szCs w:val="32"/>
    </w:rPr>
  </w:style>
  <w:style w:type="paragraph" w:styleId="10">
    <w:name w:val="heading 4"/>
    <w:basedOn w:val="1"/>
    <w:next w:val="1"/>
    <w:unhideWhenUsed/>
    <w:qFormat/>
    <w:uiPriority w:val="0"/>
    <w:pPr>
      <w:keepNext/>
      <w:keepLines/>
      <w:spacing w:before="280" w:after="290" w:line="372" w:lineRule="auto"/>
      <w:outlineLvl w:val="3"/>
    </w:pPr>
    <w:rPr>
      <w:rFonts w:ascii="Cambria" w:hAnsi="Cambria" w:eastAsia="宋体" w:cs="Times New Roman"/>
      <w:b/>
      <w:bCs/>
      <w:sz w:val="28"/>
      <w:szCs w:val="28"/>
    </w:rPr>
  </w:style>
  <w:style w:type="paragraph" w:styleId="11">
    <w:name w:val="heading 5"/>
    <w:basedOn w:val="1"/>
    <w:next w:val="1"/>
    <w:unhideWhenUsed/>
    <w:qFormat/>
    <w:uiPriority w:val="0"/>
    <w:pPr>
      <w:keepNext/>
      <w:keepLines/>
      <w:spacing w:before="280" w:after="290" w:line="376" w:lineRule="atLeast"/>
      <w:outlineLvl w:val="4"/>
    </w:pPr>
    <w:rPr>
      <w:bCs/>
      <w:szCs w:val="28"/>
    </w:rPr>
  </w:style>
  <w:style w:type="paragraph" w:styleId="12">
    <w:name w:val="heading 6"/>
    <w:basedOn w:val="1"/>
    <w:next w:val="1"/>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26">
    <w:name w:val="Default Paragraph Font"/>
    <w:unhideWhenUsed/>
    <w:qFormat/>
    <w:uiPriority w:val="1"/>
  </w:style>
  <w:style w:type="table" w:default="1" w:styleId="24">
    <w:name w:val="Normal Table"/>
    <w:unhideWhenUsed/>
    <w:qFormat/>
    <w:uiPriority w:val="99"/>
    <w:tblPr>
      <w:tblCellMar>
        <w:top w:w="0" w:type="dxa"/>
        <w:left w:w="108" w:type="dxa"/>
        <w:bottom w:w="0" w:type="dxa"/>
        <w:right w:w="108" w:type="dxa"/>
      </w:tblCellMar>
    </w:tblPr>
  </w:style>
  <w:style w:type="paragraph" w:styleId="2">
    <w:name w:val="Body Text First Indent"/>
    <w:basedOn w:val="3"/>
    <w:next w:val="5"/>
    <w:unhideWhenUsed/>
    <w:qFormat/>
    <w:uiPriority w:val="99"/>
    <w:pPr>
      <w:ind w:firstLine="420" w:firstLineChars="100"/>
    </w:pPr>
  </w:style>
  <w:style w:type="paragraph" w:styleId="3">
    <w:name w:val="Body Text"/>
    <w:basedOn w:val="1"/>
    <w:next w:val="4"/>
    <w:qFormat/>
    <w:uiPriority w:val="0"/>
    <w:pPr>
      <w:jc w:val="center"/>
    </w:pPr>
    <w:rPr>
      <w:rFonts w:ascii="宋体"/>
      <w:b/>
      <w:sz w:val="48"/>
    </w:rPr>
  </w:style>
  <w:style w:type="paragraph" w:styleId="4">
    <w:name w:val="toc 2"/>
    <w:basedOn w:val="1"/>
    <w:next w:val="1"/>
    <w:qFormat/>
    <w:uiPriority w:val="0"/>
    <w:pPr>
      <w:tabs>
        <w:tab w:val="right" w:leader="dot" w:pos="9038"/>
      </w:tabs>
      <w:spacing w:line="60" w:lineRule="atLeast"/>
      <w:ind w:left="210"/>
      <w:jc w:val="left"/>
    </w:pPr>
    <w:rPr>
      <w:smallCaps/>
    </w:rPr>
  </w:style>
  <w:style w:type="paragraph" w:styleId="5">
    <w:name w:val="Body Text First Indent 2"/>
    <w:basedOn w:val="6"/>
    <w:unhideWhenUsed/>
    <w:qFormat/>
    <w:uiPriority w:val="99"/>
    <w:pPr>
      <w:ind w:firstLine="420" w:firstLineChars="200"/>
    </w:pPr>
  </w:style>
  <w:style w:type="paragraph" w:styleId="6">
    <w:name w:val="Body Text Indent"/>
    <w:basedOn w:val="1"/>
    <w:unhideWhenUsed/>
    <w:qFormat/>
    <w:uiPriority w:val="99"/>
    <w:pPr>
      <w:spacing w:after="120"/>
      <w:ind w:left="420" w:leftChars="200"/>
    </w:pPr>
    <w:rPr>
      <w:rFonts w:ascii="Times New Roman" w:hAnsi="Times New Roman" w:eastAsia="宋体" w:cs="Times New Roman"/>
      <w:szCs w:val="24"/>
    </w:rPr>
  </w:style>
  <w:style w:type="paragraph" w:styleId="13">
    <w:name w:val="Normal Indent"/>
    <w:basedOn w:val="1"/>
    <w:qFormat/>
    <w:uiPriority w:val="0"/>
    <w:pPr>
      <w:spacing w:line="360" w:lineRule="auto"/>
      <w:ind w:firstLine="420"/>
    </w:pPr>
    <w:rPr>
      <w:szCs w:val="20"/>
    </w:rPr>
  </w:style>
  <w:style w:type="paragraph" w:styleId="14">
    <w:name w:val="annotation text"/>
    <w:basedOn w:val="1"/>
    <w:link w:val="40"/>
    <w:qFormat/>
    <w:uiPriority w:val="0"/>
    <w:pPr>
      <w:jc w:val="left"/>
    </w:pPr>
  </w:style>
  <w:style w:type="paragraph" w:styleId="15">
    <w:name w:val="toc 3"/>
    <w:basedOn w:val="1"/>
    <w:next w:val="1"/>
    <w:qFormat/>
    <w:uiPriority w:val="0"/>
    <w:pPr>
      <w:spacing w:line="400" w:lineRule="exact"/>
      <w:ind w:left="420"/>
      <w:jc w:val="left"/>
    </w:pPr>
    <w:rPr>
      <w:rFonts w:ascii="仿宋_GB2312" w:eastAsia="仿宋_GB2312"/>
      <w:i/>
      <w:iCs/>
      <w:spacing w:val="-20"/>
      <w:sz w:val="13"/>
      <w:szCs w:val="13"/>
    </w:rPr>
  </w:style>
  <w:style w:type="paragraph" w:styleId="16">
    <w:name w:val="Balloon Text"/>
    <w:basedOn w:val="1"/>
    <w:link w:val="42"/>
    <w:qFormat/>
    <w:uiPriority w:val="0"/>
    <w:rPr>
      <w:sz w:val="18"/>
      <w:szCs w:val="18"/>
    </w:r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0"/>
    <w:pPr>
      <w:spacing w:before="120" w:after="120"/>
      <w:jc w:val="left"/>
    </w:pPr>
    <w:rPr>
      <w:b/>
      <w:bCs/>
      <w:caps/>
    </w:rPr>
  </w:style>
  <w:style w:type="paragraph" w:styleId="20">
    <w:name w:val="toc 4"/>
    <w:basedOn w:val="1"/>
    <w:next w:val="1"/>
    <w:qFormat/>
    <w:uiPriority w:val="0"/>
    <w:pPr>
      <w:ind w:left="1260" w:leftChars="600"/>
    </w:pPr>
  </w:style>
  <w:style w:type="paragraph" w:styleId="21">
    <w:name w:val="Body Text Indent 3"/>
    <w:basedOn w:val="1"/>
    <w:qFormat/>
    <w:uiPriority w:val="0"/>
    <w:pPr>
      <w:ind w:firstLine="560" w:firstLineChars="200"/>
    </w:pPr>
    <w:rPr>
      <w:rFonts w:ascii="仿宋_GB2312" w:eastAsia="仿宋_GB2312"/>
      <w:sz w:val="28"/>
    </w:rPr>
  </w:style>
  <w:style w:type="paragraph" w:styleId="22">
    <w:name w:val="Normal (Web)"/>
    <w:basedOn w:val="1"/>
    <w:qFormat/>
    <w:uiPriority w:val="0"/>
    <w:rPr>
      <w:rFonts w:ascii="Calibri" w:hAnsi="Calibri" w:eastAsia="宋体" w:cs="Times New Roman"/>
      <w:sz w:val="24"/>
    </w:rPr>
  </w:style>
  <w:style w:type="paragraph" w:styleId="23">
    <w:name w:val="annotation subject"/>
    <w:basedOn w:val="14"/>
    <w:next w:val="14"/>
    <w:link w:val="41"/>
    <w:qFormat/>
    <w:uiPriority w:val="0"/>
    <w:rPr>
      <w:b/>
      <w:bCs/>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page number"/>
    <w:basedOn w:val="26"/>
    <w:qFormat/>
    <w:uiPriority w:val="0"/>
  </w:style>
  <w:style w:type="character" w:styleId="28">
    <w:name w:val="Hyperlink"/>
    <w:basedOn w:val="26"/>
    <w:qFormat/>
    <w:uiPriority w:val="0"/>
    <w:rPr>
      <w:color w:val="0000FF"/>
      <w:u w:val="single"/>
    </w:rPr>
  </w:style>
  <w:style w:type="character" w:styleId="29">
    <w:name w:val="annotation reference"/>
    <w:basedOn w:val="26"/>
    <w:qFormat/>
    <w:uiPriority w:val="0"/>
    <w:rPr>
      <w:sz w:val="21"/>
      <w:szCs w:val="21"/>
    </w:rPr>
  </w:style>
  <w:style w:type="paragraph" w:customStyle="1" w:styleId="30">
    <w:name w:val="Char"/>
    <w:basedOn w:val="1"/>
    <w:qFormat/>
    <w:uiPriority w:val="0"/>
    <w:rPr>
      <w:szCs w:val="20"/>
    </w:rPr>
  </w:style>
  <w:style w:type="paragraph" w:customStyle="1" w:styleId="31">
    <w:name w:val="表格文字"/>
    <w:basedOn w:val="1"/>
    <w:next w:val="3"/>
    <w:qFormat/>
    <w:uiPriority w:val="0"/>
    <w:pPr>
      <w:spacing w:line="360" w:lineRule="auto"/>
      <w:jc w:val="left"/>
    </w:pPr>
    <w:rPr>
      <w:rFonts w:ascii="Times New Roman" w:hAnsi="Times New Roman"/>
      <w:bCs/>
      <w:spacing w:val="10"/>
      <w:kern w:val="0"/>
      <w:szCs w:val="21"/>
    </w:rPr>
  </w:style>
  <w:style w:type="paragraph" w:customStyle="1" w:styleId="32">
    <w:name w:val="正文1"/>
    <w:basedOn w:val="33"/>
    <w:qFormat/>
    <w:uiPriority w:val="0"/>
    <w:pPr>
      <w:jc w:val="both"/>
    </w:pPr>
    <w:rPr>
      <w:rFonts w:ascii="Times New Roman" w:hAnsi="Times New Roman" w:eastAsia="Times New Roman"/>
      <w:sz w:val="21"/>
    </w:rPr>
  </w:style>
  <w:style w:type="paragraph" w:customStyle="1" w:styleId="33">
    <w:name w:val="[Normal]"/>
    <w:qFormat/>
    <w:uiPriority w:val="0"/>
    <w:rPr>
      <w:rFonts w:ascii="宋体" w:hAnsi="宋体" w:eastAsiaTheme="minorEastAsia" w:cstheme="minorBidi"/>
      <w:sz w:val="24"/>
      <w:szCs w:val="22"/>
      <w:lang w:val="en-US" w:eastAsia="en-US" w:bidi="ar-SA"/>
    </w:rPr>
  </w:style>
  <w:style w:type="paragraph" w:customStyle="1" w:styleId="34">
    <w:name w:val="正文采用"/>
    <w:qFormat/>
    <w:uiPriority w:val="0"/>
    <w:pPr>
      <w:spacing w:line="500" w:lineRule="exact"/>
      <w:ind w:firstLine="560" w:firstLineChars="200"/>
    </w:pPr>
    <w:rPr>
      <w:rFonts w:ascii="宋体" w:hAnsi="宋体" w:eastAsiaTheme="minorEastAsia" w:cstheme="minorBidi"/>
      <w:kern w:val="2"/>
      <w:sz w:val="28"/>
      <w:szCs w:val="28"/>
      <w:lang w:val="zh-CN" w:eastAsia="zh-CN" w:bidi="ar-SA"/>
    </w:rPr>
  </w:style>
  <w:style w:type="paragraph" w:customStyle="1" w:styleId="35">
    <w:name w:val="C503-正文格式"/>
    <w:basedOn w:val="1"/>
    <w:qFormat/>
    <w:uiPriority w:val="0"/>
    <w:pPr>
      <w:spacing w:line="360" w:lineRule="auto"/>
      <w:ind w:firstLine="480" w:firstLineChars="200"/>
    </w:pPr>
    <w:rPr>
      <w:rFonts w:cs="宋体"/>
      <w:sz w:val="24"/>
      <w:szCs w:val="22"/>
    </w:rPr>
  </w:style>
  <w:style w:type="character" w:customStyle="1" w:styleId="36">
    <w:name w:val="font51"/>
    <w:basedOn w:val="26"/>
    <w:qFormat/>
    <w:uiPriority w:val="0"/>
    <w:rPr>
      <w:rFonts w:hint="eastAsia" w:ascii="仿宋" w:hAnsi="仿宋" w:eastAsia="仿宋" w:cs="仿宋"/>
      <w:color w:val="000000"/>
      <w:sz w:val="22"/>
      <w:szCs w:val="22"/>
      <w:u w:val="none"/>
    </w:rPr>
  </w:style>
  <w:style w:type="table" w:customStyle="1" w:styleId="37">
    <w:name w:val="网格型8"/>
    <w:basedOn w:val="2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8">
    <w:name w:val="列出段落1"/>
    <w:basedOn w:val="1"/>
    <w:qFormat/>
    <w:uiPriority w:val="34"/>
    <w:pPr>
      <w:ind w:firstLine="420"/>
    </w:pPr>
  </w:style>
  <w:style w:type="character" w:customStyle="1" w:styleId="39">
    <w:name w:val="font31"/>
    <w:basedOn w:val="26"/>
    <w:qFormat/>
    <w:uiPriority w:val="0"/>
    <w:rPr>
      <w:rFonts w:hint="eastAsia" w:ascii="宋体" w:hAnsi="宋体" w:eastAsia="宋体" w:cs="宋体"/>
      <w:color w:val="000000"/>
      <w:sz w:val="24"/>
      <w:szCs w:val="24"/>
      <w:u w:val="none"/>
    </w:rPr>
  </w:style>
  <w:style w:type="character" w:customStyle="1" w:styleId="40">
    <w:name w:val="批注文字 字符"/>
    <w:basedOn w:val="26"/>
    <w:link w:val="14"/>
    <w:qFormat/>
    <w:uiPriority w:val="0"/>
    <w:rPr>
      <w:rFonts w:asciiTheme="minorHAnsi" w:hAnsiTheme="minorHAnsi" w:eastAsiaTheme="minorEastAsia" w:cstheme="minorBidi"/>
      <w:kern w:val="2"/>
      <w:sz w:val="21"/>
      <w:szCs w:val="24"/>
    </w:rPr>
  </w:style>
  <w:style w:type="character" w:customStyle="1" w:styleId="41">
    <w:name w:val="批注主题 字符"/>
    <w:basedOn w:val="40"/>
    <w:link w:val="23"/>
    <w:qFormat/>
    <w:uiPriority w:val="0"/>
    <w:rPr>
      <w:rFonts w:asciiTheme="minorHAnsi" w:hAnsiTheme="minorHAnsi" w:eastAsiaTheme="minorEastAsia" w:cstheme="minorBidi"/>
      <w:b/>
      <w:bCs/>
      <w:kern w:val="2"/>
      <w:sz w:val="21"/>
      <w:szCs w:val="24"/>
    </w:rPr>
  </w:style>
  <w:style w:type="character" w:customStyle="1" w:styleId="42">
    <w:name w:val="批注框文本 字符"/>
    <w:basedOn w:val="26"/>
    <w:link w:val="16"/>
    <w:qFormat/>
    <w:uiPriority w:val="0"/>
    <w:rPr>
      <w:rFonts w:asciiTheme="minorHAnsi" w:hAnsiTheme="minorHAnsi" w:eastAsiaTheme="minorEastAsia" w:cstheme="minorBidi"/>
      <w:kern w:val="2"/>
      <w:sz w:val="18"/>
      <w:szCs w:val="18"/>
    </w:rPr>
  </w:style>
  <w:style w:type="paragraph" w:customStyle="1" w:styleId="43">
    <w:name w:val="正文文本缩进1"/>
    <w:basedOn w:val="1"/>
    <w:qFormat/>
    <w:uiPriority w:val="0"/>
    <w:pPr>
      <w:spacing w:line="360" w:lineRule="auto"/>
      <w:ind w:firstLine="643"/>
    </w:pPr>
    <w:rPr>
      <w:rFonts w:ascii="Times New Roman" w:hAnsi="Times New Roman" w:eastAsia="Times New Roman" w:cs="宋体"/>
      <w:b/>
      <w:color w:val="000000"/>
      <w:kern w:val="0"/>
      <w:sz w:val="32"/>
      <w:szCs w:val="20"/>
      <w:lang w:eastAsia="en-US"/>
    </w:rPr>
  </w:style>
  <w:style w:type="paragraph" w:customStyle="1" w:styleId="44">
    <w:name w:val="列表段落1"/>
    <w:basedOn w:val="1"/>
    <w:qFormat/>
    <w:uiPriority w:val="99"/>
    <w:pPr>
      <w:ind w:firstLine="420" w:firstLineChars="200"/>
    </w:pPr>
  </w:style>
  <w:style w:type="character" w:customStyle="1" w:styleId="45">
    <w:name w:val="未处理的提及1"/>
    <w:basedOn w:val="26"/>
    <w:unhideWhenUsed/>
    <w:qFormat/>
    <w:uiPriority w:val="99"/>
    <w:rPr>
      <w:color w:val="605E5C"/>
      <w:shd w:val="clear" w:color="auto" w:fill="E1DFDD"/>
    </w:rPr>
  </w:style>
  <w:style w:type="paragraph" w:customStyle="1" w:styleId="46">
    <w:name w:val="正文缩进1"/>
    <w:basedOn w:val="1"/>
    <w:qFormat/>
    <w:uiPriority w:val="0"/>
    <w:pPr>
      <w:ind w:firstLine="420"/>
    </w:pPr>
  </w:style>
  <w:style w:type="paragraph" w:customStyle="1" w:styleId="47">
    <w:name w:val="_Style 2"/>
    <w:basedOn w:val="1"/>
    <w:next w:val="1"/>
    <w:qFormat/>
    <w:uiPriority w:val="0"/>
    <w:pPr>
      <w:ind w:firstLine="420" w:firstLineChars="200"/>
    </w:pPr>
  </w:style>
  <w:style w:type="paragraph" w:customStyle="1" w:styleId="48">
    <w:name w:val="正文（缩进）"/>
    <w:basedOn w:val="1"/>
    <w:qFormat/>
    <w:uiPriority w:val="0"/>
    <w:pPr>
      <w:spacing w:before="50" w:after="50"/>
      <w:ind w:firstLine="200" w:firstLineChars="200"/>
    </w:pPr>
  </w:style>
  <w:style w:type="paragraph" w:customStyle="1" w:styleId="49">
    <w:name w:val="正文格式"/>
    <w:basedOn w:val="1"/>
    <w:qFormat/>
    <w:uiPriority w:val="0"/>
    <w:pPr>
      <w:spacing w:before="190" w:after="190"/>
      <w:ind w:firstLine="480" w:firstLineChars="200"/>
    </w:pPr>
    <w:rPr>
      <w:rFonts w:ascii="宋体" w:hAnsi="宋体"/>
      <w:kern w:val="0"/>
      <w:lang w:val="en-GB"/>
    </w:rPr>
  </w:style>
  <w:style w:type="character" w:customStyle="1" w:styleId="50">
    <w:name w:val="font01"/>
    <w:basedOn w:val="26"/>
    <w:qFormat/>
    <w:uiPriority w:val="0"/>
    <w:rPr>
      <w:rFonts w:hint="eastAsia" w:ascii="宋体" w:hAnsi="宋体" w:eastAsia="宋体" w:cs="宋体"/>
      <w:color w:val="000000"/>
      <w:sz w:val="22"/>
      <w:szCs w:val="22"/>
      <w:u w:val="none"/>
    </w:rPr>
  </w:style>
  <w:style w:type="character" w:customStyle="1" w:styleId="51">
    <w:name w:val="font61"/>
    <w:basedOn w:val="26"/>
    <w:qFormat/>
    <w:uiPriority w:val="0"/>
    <w:rPr>
      <w:rFonts w:hint="eastAsia" w:ascii="宋体" w:hAnsi="宋体" w:eastAsia="宋体" w:cs="宋体"/>
      <w:color w:val="FF0000"/>
      <w:sz w:val="22"/>
      <w:szCs w:val="22"/>
      <w:u w:val="none"/>
    </w:rPr>
  </w:style>
  <w:style w:type="character" w:customStyle="1" w:styleId="52">
    <w:name w:val="font41"/>
    <w:basedOn w:val="26"/>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21</Pages>
  <Words>6874</Words>
  <Characters>7021</Characters>
  <Lines>38</Lines>
  <Paragraphs>10</Paragraphs>
  <TotalTime>4</TotalTime>
  <ScaleCrop>false</ScaleCrop>
  <LinksUpToDate>false</LinksUpToDate>
  <CharactersWithSpaces>7634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2019-10-28T08:51:00Z</dcterms:created>
  <dc:creator>Administrator</dc:creator>
  <cp:lastModifiedBy>师晓威</cp:lastModifiedBy>
  <cp:lastPrinted>2026-09-20T02:16:00Z</cp:lastPrinted>
  <dcterms:modified xsi:type="dcterms:W3CDTF">2026-09-23T05:55:00Z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3F4049087C73433ABCBE11C957CFFA33_13</vt:lpwstr>
  </property>
  <property fmtid="{D5CDD505-2E9C-101B-9397-08002B2CF9AE}" pid="4" name="KSOTemplateDocerSaveRecord">
    <vt:lpwstr>eyJoZGlkIjoiMjljNjZlNmZhYzYxZmU2NjIyY2E3MTA4YjI0YmI2NjEiLCJ1c2VySWQiOiIxODgwNTA1NzY5In0=</vt:lpwstr>
  </property>
</Properties>
</file>