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0C8BA2">
      <w:pPr>
        <w:spacing w:after="0" w:line="560" w:lineRule="exact"/>
        <w:ind w:firstLine="0" w:firstLineChars="0"/>
        <w:jc w:val="center"/>
        <w:rPr>
          <w:rFonts w:hint="eastAsia" w:ascii="方正小标宋简体" w:hAnsi="方正小标宋简体" w:eastAsia="方正小标宋简体" w:cs="方正小标宋简体"/>
          <w:b w:val="0"/>
          <w:bCs w:val="0"/>
          <w:sz w:val="44"/>
          <w:szCs w:val="44"/>
          <w:highlight w:val="none"/>
          <w:lang w:eastAsia="zh-CN"/>
        </w:rPr>
      </w:pPr>
      <w:r>
        <w:rPr>
          <w:rFonts w:hint="eastAsia" w:ascii="方正小标宋简体" w:hAnsi="方正小标宋简体" w:eastAsia="方正小标宋简体" w:cs="方正小标宋简体"/>
          <w:b w:val="0"/>
          <w:bCs w:val="0"/>
          <w:sz w:val="44"/>
          <w:szCs w:val="44"/>
          <w:highlight w:val="none"/>
          <w:lang w:eastAsia="zh-CN"/>
        </w:rPr>
        <w:t>石家庄美丽城市建设行动方案</w:t>
      </w:r>
    </w:p>
    <w:p w14:paraId="75559233">
      <w:pPr>
        <w:spacing w:after="0" w:line="560" w:lineRule="exact"/>
        <w:ind w:firstLine="0" w:firstLineChars="0"/>
        <w:jc w:val="center"/>
        <w:rPr>
          <w:rFonts w:hint="eastAsia" w:ascii="方正小标宋简体" w:hAnsi="方正小标宋简体" w:eastAsia="方正小标宋简体" w:cs="方正小标宋简体"/>
          <w:b w:val="0"/>
          <w:bCs w:val="0"/>
          <w:sz w:val="44"/>
          <w:szCs w:val="44"/>
          <w:highlight w:val="none"/>
          <w:lang w:eastAsia="zh-CN"/>
        </w:rPr>
      </w:pPr>
      <w:r>
        <w:rPr>
          <w:rFonts w:hint="eastAsia" w:ascii="方正小标宋简体" w:hAnsi="方正小标宋简体" w:eastAsia="方正小标宋简体" w:cs="方正小标宋简体"/>
          <w:b w:val="0"/>
          <w:bCs w:val="0"/>
          <w:sz w:val="44"/>
          <w:szCs w:val="44"/>
          <w:highlight w:val="none"/>
          <w:lang w:eastAsia="zh-CN"/>
        </w:rPr>
        <w:t>（2026—2030年）</w:t>
      </w:r>
    </w:p>
    <w:p w14:paraId="6ED6B240">
      <w:pPr>
        <w:ind w:firstLine="640"/>
        <w:jc w:val="left"/>
        <w:rPr>
          <w:rFonts w:hint="default" w:ascii="Times New Roman" w:hAnsi="Times New Roman" w:cs="Times New Roman"/>
          <w:highlight w:val="none"/>
          <w:lang w:eastAsia="zh-CN"/>
        </w:rPr>
      </w:pPr>
    </w:p>
    <w:p w14:paraId="3D8127AD">
      <w:pPr>
        <w:spacing w:after="0"/>
        <w:ind w:firstLine="0" w:firstLineChars="0"/>
        <w:jc w:val="center"/>
        <w:rPr>
          <w:rFonts w:hint="default" w:ascii="Times New Roman" w:hAnsi="Times New Roman" w:eastAsia="黑体" w:cs="Times New Roman"/>
          <w:b/>
          <w:bCs w:val="0"/>
          <w:highlight w:val="none"/>
          <w:lang w:eastAsia="zh-CN"/>
        </w:rPr>
      </w:pPr>
      <w:r>
        <w:rPr>
          <w:rFonts w:hint="default" w:ascii="Times New Roman" w:hAnsi="Times New Roman" w:eastAsia="黑体" w:cs="Times New Roman"/>
          <w:b/>
          <w:bCs w:val="0"/>
          <w:highlight w:val="none"/>
          <w:lang w:eastAsia="zh-CN"/>
        </w:rPr>
        <w:t>前  言</w:t>
      </w:r>
    </w:p>
    <w:p w14:paraId="1EDBFD61">
      <w:pPr>
        <w:keepNext w:val="0"/>
        <w:keepLines w:val="0"/>
        <w:pageBreakBefore w:val="0"/>
        <w:widowControl/>
        <w:kinsoku/>
        <w:wordWrap/>
        <w:overflowPunct/>
        <w:topLinePunct w:val="0"/>
        <w:autoSpaceDE/>
        <w:autoSpaceDN/>
        <w:bidi w:val="0"/>
        <w:adjustRightInd/>
        <w:snapToGrid w:val="0"/>
        <w:spacing w:after="0" w:line="560" w:lineRule="exact"/>
        <w:ind w:firstLine="640"/>
        <w:textAlignment w:val="auto"/>
        <w:rPr>
          <w:rFonts w:hint="default" w:ascii="Times New Roman" w:hAnsi="Times New Roman" w:cs="Times New Roman"/>
          <w:highlight w:val="none"/>
          <w:lang w:eastAsia="zh-CN"/>
        </w:rPr>
      </w:pPr>
      <w:r>
        <w:rPr>
          <w:rFonts w:hint="default" w:ascii="Times New Roman" w:hAnsi="Times New Roman" w:cs="Times New Roman"/>
          <w:highlight w:val="none"/>
          <w:lang w:eastAsia="zh-CN"/>
        </w:rPr>
        <w:t>为深入贯彻落实《中共中央 国务院关于全面推进美丽中国建设的意见》以及《中共河北省委 河北省人民政府关于加快建设天蓝、地绿、水秀的美丽河北 以实际行动全面推进美丽中国建设的实施意见》相关要求，按照生态环境部和河北省关于美丽城市建设工作部署，系统推进美丽石家庄建设，打造山水相依、城景相融的全国美丽省会城市，制定本方案。</w:t>
      </w:r>
    </w:p>
    <w:p w14:paraId="78942A6E">
      <w:pPr>
        <w:keepNext w:val="0"/>
        <w:keepLines w:val="0"/>
        <w:pageBreakBefore w:val="0"/>
        <w:widowControl/>
        <w:kinsoku/>
        <w:wordWrap/>
        <w:overflowPunct/>
        <w:topLinePunct w:val="0"/>
        <w:autoSpaceDE/>
        <w:autoSpaceDN/>
        <w:bidi w:val="0"/>
        <w:adjustRightInd/>
        <w:snapToGrid w:val="0"/>
        <w:spacing w:after="0" w:line="560" w:lineRule="exact"/>
        <w:ind w:firstLine="640"/>
        <w:textAlignment w:val="auto"/>
        <w:rPr>
          <w:rFonts w:hint="default" w:ascii="Times New Roman" w:hAnsi="Times New Roman" w:cs="Times New Roman"/>
          <w:highlight w:val="none"/>
          <w:lang w:eastAsia="zh-CN"/>
        </w:rPr>
      </w:pPr>
      <w:r>
        <w:rPr>
          <w:rFonts w:hint="default" w:ascii="Times New Roman" w:hAnsi="Times New Roman" w:cs="Times New Roman"/>
          <w:highlight w:val="none"/>
          <w:lang w:eastAsia="zh-CN"/>
        </w:rPr>
        <w:t>石家庄是河北省省会，京津冀世界级城市群的重要节点城市，拥有深厚的燕赵文化底蕴和丰富的红色文化资源。作为传统工业城市，石家庄肩负着在美丽中国建设中探索转型路径、作出示范表率的重要使命。“十四五”以来，石家庄空气质量连续五年稳定退出全国168个重点城市排名后十位，北方半干旱区河湖生态修复成效全国领先，新能源汽车推广规模连续三年位居全省第一，建成全国首家短流程钢铁环保绩效A级企业，跻身“千园之城”并实现百公里环城绿道全线贯通，形成了一批具有全国影响力的美丽城市建设亮点。本方案立足石家庄实际，以习近平生态文明思想为指导，紧紧抓住京津冀协同发展重大战略机遇，协同推进降碳、减污、扩绿、增长，将石家庄打造成为传统工业城市绿色低碳转型示范和京津冀生态协同治理先行示范，为京津冀建设美丽中国先行区作出贡献。</w:t>
      </w:r>
    </w:p>
    <w:p w14:paraId="672CC701">
      <w:pPr>
        <w:snapToGrid w:val="0"/>
        <w:spacing w:after="0" w:line="560" w:lineRule="exact"/>
        <w:ind w:firstLine="640"/>
        <w:rPr>
          <w:rFonts w:hint="default" w:ascii="Times New Roman" w:hAnsi="Times New Roman" w:cs="Times New Roman"/>
          <w:highlight w:val="none"/>
          <w:lang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720" w:footer="720" w:gutter="0"/>
          <w:cols w:space="720" w:num="1"/>
          <w:docGrid w:linePitch="360" w:charSpace="0"/>
        </w:sectPr>
      </w:pPr>
      <w:r>
        <w:rPr>
          <w:rFonts w:hint="default" w:ascii="Times New Roman" w:hAnsi="Times New Roman" w:cs="Times New Roman"/>
          <w:highlight w:val="none"/>
          <w:lang w:eastAsia="zh-CN"/>
        </w:rPr>
        <w:br w:type="page"/>
      </w:r>
    </w:p>
    <w:p w14:paraId="3BDB53BF">
      <w:pPr>
        <w:snapToGrid w:val="0"/>
        <w:spacing w:after="0" w:line="560" w:lineRule="exact"/>
        <w:ind w:firstLine="640"/>
        <w:outlineLvl w:val="0"/>
        <w:rPr>
          <w:rFonts w:hint="default" w:ascii="Times New Roman" w:hAnsi="Times New Roman" w:eastAsia="黑体" w:cs="Times New Roman"/>
          <w:bCs/>
          <w:highlight w:val="none"/>
          <w:lang w:eastAsia="zh-CN"/>
        </w:rPr>
      </w:pPr>
      <w:r>
        <w:rPr>
          <w:rFonts w:hint="default" w:ascii="Times New Roman" w:hAnsi="Times New Roman" w:eastAsia="黑体" w:cs="Times New Roman"/>
          <w:bCs/>
          <w:highlight w:val="none"/>
          <w:lang w:eastAsia="zh-CN"/>
        </w:rPr>
        <w:t>一、建设基础与现状分析</w:t>
      </w:r>
    </w:p>
    <w:p w14:paraId="68288CD1">
      <w:pPr>
        <w:snapToGrid w:val="0"/>
        <w:spacing w:after="0" w:line="560" w:lineRule="exact"/>
        <w:ind w:firstLine="643"/>
        <w:outlineLvl w:val="1"/>
        <w:rPr>
          <w:rFonts w:hint="default" w:ascii="Times New Roman" w:hAnsi="Times New Roman" w:eastAsia="楷体_GB2312" w:cs="Times New Roman"/>
          <w:b/>
          <w:bCs/>
          <w:highlight w:val="none"/>
          <w:lang w:eastAsia="zh-CN"/>
        </w:rPr>
      </w:pPr>
      <w:r>
        <w:rPr>
          <w:rFonts w:hint="default" w:ascii="Times New Roman" w:hAnsi="Times New Roman" w:eastAsia="楷体_GB2312" w:cs="Times New Roman"/>
          <w:b/>
          <w:bCs/>
          <w:highlight w:val="none"/>
          <w:lang w:eastAsia="zh-CN"/>
        </w:rPr>
        <w:t>（一）建设基础</w:t>
      </w:r>
    </w:p>
    <w:p w14:paraId="76AF243C">
      <w:pPr>
        <w:snapToGrid w:val="0"/>
        <w:spacing w:after="0" w:line="560" w:lineRule="exact"/>
        <w:ind w:firstLine="64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“十四五”以来，石家庄市坚定不移推进生态优先、绿色发展，在美丽城市建设方面取得历史性成就，形成了区别于其他城市的鲜明特色与独特优势：</w:t>
      </w:r>
    </w:p>
    <w:p w14:paraId="380E0ABB">
      <w:pPr>
        <w:snapToGrid w:val="0"/>
        <w:spacing w:after="0" w:line="560" w:lineRule="exact"/>
        <w:ind w:firstLine="643"/>
        <w:rPr>
          <w:rFonts w:hint="default" w:ascii="Times New Roman" w:hAnsi="Times New Roman" w:cs="Times New Roman"/>
          <w:highlight w:val="none"/>
          <w:lang w:eastAsia="zh-CN"/>
        </w:rPr>
      </w:pPr>
      <w:r>
        <w:rPr>
          <w:rFonts w:hint="default" w:ascii="Times New Roman" w:hAnsi="Times New Roman" w:cs="Times New Roman"/>
          <w:b/>
          <w:bCs/>
          <w:highlight w:val="none"/>
          <w:lang w:eastAsia="zh-CN"/>
        </w:rPr>
        <w:t>1. 空气质量持续改善。</w:t>
      </w:r>
      <w:r>
        <w:rPr>
          <w:rFonts w:hint="default" w:ascii="Times New Roman" w:hAnsi="Times New Roman" w:cs="Times New Roman"/>
          <w:highlight w:val="none"/>
          <w:lang w:eastAsia="zh-CN"/>
        </w:rPr>
        <w:t>自2021年起，石家庄连续五年稳定退出全国168个重点城市空气质量排名后十位，彻底扭转了长期以来空气污染严重的被动局面。</w:t>
      </w:r>
      <w:bookmarkStart w:id="0" w:name="OLE_LINK2"/>
      <w:r>
        <w:rPr>
          <w:rFonts w:hint="default" w:ascii="Times New Roman" w:hAnsi="Times New Roman" w:cs="Times New Roman"/>
          <w:highlight w:val="none"/>
          <w:lang w:eastAsia="zh-CN"/>
        </w:rPr>
        <w:t>2025年，全市环境空气质量综合指数、PM</w:t>
      </w:r>
      <w:r>
        <w:rPr>
          <w:rFonts w:hint="default" w:ascii="Times New Roman" w:hAnsi="Times New Roman" w:cs="Times New Roman"/>
          <w:highlight w:val="none"/>
          <w:vertAlign w:val="subscript"/>
          <w:lang w:eastAsia="zh-CN"/>
        </w:rPr>
        <w:t>2.5</w:t>
      </w:r>
      <w:r>
        <w:rPr>
          <w:rFonts w:hint="default" w:ascii="Times New Roman" w:hAnsi="Times New Roman" w:cs="Times New Roman"/>
          <w:highlight w:val="none"/>
          <w:lang w:eastAsia="zh-CN"/>
        </w:rPr>
        <w:t>、全年优良天数均达到较好水平。</w:t>
      </w:r>
      <w:bookmarkEnd w:id="0"/>
      <w:r>
        <w:rPr>
          <w:rFonts w:hint="default" w:ascii="Times New Roman" w:hAnsi="Times New Roman" w:cs="Times New Roman"/>
          <w:highlight w:val="none"/>
          <w:lang w:eastAsia="zh-CN"/>
        </w:rPr>
        <w:t>作为北方典型的重工业城市，石家庄用五年时间实现了生态底子脱胎换骨式转变，其空气质量治理经验为全国同类城市提供了可复制、可推广的样本，这一历史性成就在全国工业城市转型中具有标志性意义。</w:t>
      </w:r>
    </w:p>
    <w:p w14:paraId="0DBE885F">
      <w:pPr>
        <w:snapToGrid w:val="0"/>
        <w:spacing w:after="0" w:line="560" w:lineRule="exact"/>
        <w:ind w:firstLine="643"/>
        <w:rPr>
          <w:rFonts w:hint="default" w:ascii="Times New Roman" w:hAnsi="Times New Roman" w:cs="Times New Roman"/>
          <w:highlight w:val="none"/>
          <w:lang w:eastAsia="zh-CN"/>
        </w:rPr>
      </w:pPr>
      <w:r>
        <w:rPr>
          <w:rFonts w:hint="default" w:ascii="Times New Roman" w:hAnsi="Times New Roman" w:cs="Times New Roman"/>
          <w:b/>
          <w:bCs/>
          <w:highlight w:val="none"/>
          <w:lang w:eastAsia="zh-CN"/>
        </w:rPr>
        <w:t>2. 北方半干旱区河湖生态修复成效显著，示范效应全国领先。</w:t>
      </w:r>
      <w:r>
        <w:rPr>
          <w:rFonts w:hint="default" w:ascii="Times New Roman" w:hAnsi="Times New Roman" w:cs="Times New Roman"/>
          <w:highlight w:val="none"/>
          <w:lang w:eastAsia="zh-CN"/>
        </w:rPr>
        <w:t>通过实施大规模生态治理和补水工程，石家庄在缺水地区创造了河湖生态复苏的奇迹：全市12个地表水国省控断面达标率100%，优良水体比例达80%，较2020年大幅提升33个百分点，远超“十四五”规划目标。滹沱河石家庄段成功入选第三批全国美丽河湖优秀案例，枣营国考断面水质从2019年的劣Ⅴ类跃升至Ⅱ类。目前全市建成省级幸福河湖37条，其中滹沱河被评为省级典型示范幸福河湖。2022—2024年累计完成生态补水47.4亿立方米，“十四五”期间累计补水达50亿立方米，推动362公里干涸河道实现系统性生态复苏，湿地总面积超过3.3万公顷。在地下水超采治理方面，全市超采区面积由5844.1平方公里缩减至1730平方公里，降幅达70.4%，浅层地下水严重超采区全部消除，连续四年获省考核优秀等次。在城乡水环境治理方面，全市实现污水全收集全处理；主城区污水管网覆盖率基本达到100%；集中式饮用水水源水质达标率100%，构建了覆盖城乡的完整水治理体系，探索出了一条北方缺水地区河湖生态修复的成功路径。</w:t>
      </w:r>
    </w:p>
    <w:p w14:paraId="61824F38">
      <w:pPr>
        <w:snapToGrid w:val="0"/>
        <w:spacing w:after="0" w:line="560" w:lineRule="exact"/>
        <w:ind w:firstLine="643"/>
        <w:rPr>
          <w:rFonts w:hint="default" w:ascii="Times New Roman" w:hAnsi="Times New Roman" w:cs="Times New Roman"/>
          <w:highlight w:val="none"/>
          <w:lang w:eastAsia="zh-CN"/>
        </w:rPr>
      </w:pPr>
      <w:r>
        <w:rPr>
          <w:rFonts w:hint="default" w:ascii="Times New Roman" w:hAnsi="Times New Roman" w:cs="Times New Roman"/>
          <w:b/>
          <w:bCs/>
          <w:highlight w:val="none"/>
          <w:lang w:eastAsia="zh-CN"/>
        </w:rPr>
        <w:t>3. 能源与交通绿色转型规模优势突出，多项指标居全省首位。</w:t>
      </w:r>
      <w:r>
        <w:rPr>
          <w:rFonts w:hint="default" w:ascii="Times New Roman" w:hAnsi="Times New Roman" w:cs="Times New Roman"/>
          <w:highlight w:val="none"/>
          <w:lang w:eastAsia="zh-CN"/>
        </w:rPr>
        <w:t>在交通领域，全市累计推广新能源汽车25.2万辆，推广规模连续三年位居全省第一，成功入选国家首批公共领域车辆全面电动化先行区试点，市区公交车、巡游出租车全部实现清洁能源或新能源化，成为北方省会城市绿色交通转型的标杆。年货运量150万吨以上大型工矿企业大宗货物清洁运输比例达100%，9家重点企业全部接入铁路专用线；石家庄国际陆港入围国家第四批多式联运示范工程，获评四星级多式联运经营人。在能源结构调整方面，全市风电、光伏并网装机达999.59万千瓦，可再生能源总装机占比高达58%，在全省处于领先水平；主城区集中供热和清洁能源供热率达100%。相比2020年，煤炭消费量累计削减超640万吨，降幅达21%，化石能源替代成效显著，为低碳城市建设奠定了坚实基础。</w:t>
      </w:r>
    </w:p>
    <w:p w14:paraId="5F2605B6">
      <w:pPr>
        <w:snapToGrid w:val="0"/>
        <w:spacing w:after="0" w:line="560" w:lineRule="exact"/>
        <w:ind w:firstLine="643"/>
        <w:rPr>
          <w:rFonts w:hint="default" w:ascii="Times New Roman" w:hAnsi="Times New Roman" w:cs="Times New Roman"/>
          <w:highlight w:val="none"/>
          <w:lang w:eastAsia="zh-CN"/>
        </w:rPr>
      </w:pPr>
      <w:r>
        <w:rPr>
          <w:rFonts w:hint="default" w:ascii="Times New Roman" w:hAnsi="Times New Roman" w:cs="Times New Roman"/>
          <w:b/>
          <w:bCs/>
          <w:highlight w:val="none"/>
          <w:lang w:eastAsia="zh-CN"/>
        </w:rPr>
        <w:t>4. 工业绿色转型深度推进，创造全国标杆经验。</w:t>
      </w:r>
      <w:r>
        <w:rPr>
          <w:rFonts w:hint="default" w:ascii="Times New Roman" w:hAnsi="Times New Roman" w:cs="Times New Roman"/>
          <w:highlight w:val="none"/>
          <w:lang w:eastAsia="zh-CN"/>
        </w:rPr>
        <w:t>石家庄作为传统工业城市，在工业绿色升级方面走出了独具特色的转型之路：全市环保绩效A级企业总数达71家，数量居全省前列；搬迁升级后的石家庄钢铁公司成功打造了全国首家短流程钢铁环保绩效A级企业，成为整个行业绿色转型的典范案例。在绿色制造体系建设方面，累计创建省级及以上绿色工厂124家（含国家级29家），绿色供应链管理企业9家，绿色工业园区5家，创建数量位居全省前列。在工业水污染治理方面，创新推行工业污水分质处理模式，已实现对全部22座省级及以上工业园区的全覆盖。在固体废物治理方面，全市建成运行10座生活垃圾焚烧发电厂，实现市域生活垃圾零填埋；餐厨垃圾日处置能力达600吨，生活垃圾回收利用率超35%。土壤环境安全可控，受污染耕地治理措施覆盖率和农产品安全利用率均达100%。上述实践为老工业城市绿色转型提供了可复制的经验，示范效应辐射全国。</w:t>
      </w:r>
    </w:p>
    <w:p w14:paraId="50B6064F">
      <w:pPr>
        <w:snapToGrid w:val="0"/>
        <w:spacing w:after="0" w:line="560" w:lineRule="exact"/>
        <w:ind w:firstLine="643"/>
        <w:rPr>
          <w:rFonts w:hint="default" w:ascii="Times New Roman" w:hAnsi="Times New Roman" w:cs="Times New Roman"/>
          <w:highlight w:val="none"/>
          <w:lang w:eastAsia="zh-CN"/>
        </w:rPr>
      </w:pPr>
      <w:r>
        <w:rPr>
          <w:rFonts w:hint="default" w:ascii="Times New Roman" w:hAnsi="Times New Roman" w:cs="Times New Roman"/>
          <w:b/>
          <w:bCs/>
          <w:highlight w:val="none"/>
          <w:lang w:eastAsia="zh-CN"/>
        </w:rPr>
        <w:t>5. 生态系统功能稳步恢复，生物多样性保护取得突破性进展。</w:t>
      </w:r>
      <w:r>
        <w:rPr>
          <w:rFonts w:hint="default" w:ascii="Times New Roman" w:hAnsi="Times New Roman" w:cs="Times New Roman"/>
          <w:highlight w:val="none"/>
          <w:lang w:eastAsia="zh-CN"/>
        </w:rPr>
        <w:t>“十四五”期间，累计完成历史遗留矿山修复治理38394亩，有效恢复了太行山区生态环境。全市生态保护红线面积稳定保持2633.33平方公里，国土绿化和森林城市建设持续推进。滹沱河流域生态环境改善带动生物多样性显著增加，流域内候鸟多达224种，首次监测到国家一级保护野生动物青头潜鸭、中华秋沙鸭，旗舰物种黑鹳实现从候鸟到留鸟的转变，种群数量大幅增长；2023年12月20日，平山驼梁华北豹重要栖息</w:t>
      </w:r>
      <w:r>
        <w:rPr>
          <w:rFonts w:hint="default" w:ascii="Times New Roman" w:hAnsi="Times New Roman" w:cs="Times New Roman"/>
          <w:highlight w:val="none"/>
          <w:lang w:val="en-US" w:eastAsia="zh-CN"/>
        </w:rPr>
        <w:t>地</w:t>
      </w:r>
      <w:r>
        <w:rPr>
          <w:rFonts w:hint="default" w:ascii="Times New Roman" w:hAnsi="Times New Roman" w:cs="Times New Roman"/>
          <w:highlight w:val="none"/>
          <w:lang w:eastAsia="zh-CN"/>
        </w:rPr>
        <w:t>入选国家发布的首批789处陆生野生动物栖息地名录，标志着区域生态系统质量和稳定性实现质的提升。</w:t>
      </w:r>
    </w:p>
    <w:p w14:paraId="721CF3D1">
      <w:pPr>
        <w:snapToGrid w:val="0"/>
        <w:spacing w:after="0" w:line="560" w:lineRule="exact"/>
        <w:ind w:firstLine="643"/>
        <w:outlineLvl w:val="1"/>
        <w:rPr>
          <w:rFonts w:hint="default" w:ascii="Times New Roman" w:hAnsi="Times New Roman" w:eastAsia="楷体_GB2312" w:cs="Times New Roman"/>
          <w:b/>
          <w:bCs/>
          <w:highlight w:val="none"/>
          <w:lang w:eastAsia="zh-CN"/>
        </w:rPr>
      </w:pPr>
      <w:r>
        <w:rPr>
          <w:rFonts w:hint="default" w:ascii="Times New Roman" w:hAnsi="Times New Roman" w:eastAsia="楷体_GB2312" w:cs="Times New Roman"/>
          <w:b/>
          <w:bCs/>
          <w:highlight w:val="none"/>
          <w:lang w:eastAsia="zh-CN"/>
        </w:rPr>
        <w:t>（二）思路谋划</w:t>
      </w:r>
    </w:p>
    <w:p w14:paraId="5BC28113">
      <w:pPr>
        <w:snapToGrid w:val="0"/>
        <w:spacing w:after="0" w:line="560" w:lineRule="exact"/>
        <w:ind w:firstLine="64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结合本地存在的问题短板与面临的形势机遇，突出石家庄地域特色，明确美丽城市建设的总体思路、基本原则与重点方向，制定主要任务与目标指标。</w:t>
      </w:r>
    </w:p>
    <w:p w14:paraId="4FDEA253">
      <w:pPr>
        <w:snapToGrid w:val="0"/>
        <w:spacing w:after="0" w:line="560" w:lineRule="exact"/>
        <w:ind w:firstLine="64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总体思路：以习近平生态文明思想为根本指引，以绿色低碳、环境优美、生态宜居、安全健康、智慧高效为导向，以满足人民群众日益增长的优美生态环境需要为目的，立足打造美丽中国“石家庄特色示范”，协同推进降碳、减污、扩绿、增长，坚持改革创新、先行探索，着力破解工业结构偏重、能源结构偏化石、交通结构偏公路等结构性问题，将石家庄打造成为山水相依、城景相融的全国美丽省会城市。</w:t>
      </w:r>
    </w:p>
    <w:p w14:paraId="2B061DA0">
      <w:pPr>
        <w:snapToGrid w:val="0"/>
        <w:spacing w:after="0" w:line="560" w:lineRule="exact"/>
        <w:ind w:firstLine="640"/>
        <w:outlineLvl w:val="0"/>
        <w:rPr>
          <w:rFonts w:hint="default" w:ascii="Times New Roman" w:hAnsi="Times New Roman" w:eastAsia="黑体" w:cs="Times New Roman"/>
          <w:bCs/>
          <w:highlight w:val="none"/>
          <w:lang w:eastAsia="zh-CN"/>
        </w:rPr>
      </w:pPr>
      <w:r>
        <w:rPr>
          <w:rFonts w:hint="default" w:ascii="Times New Roman" w:hAnsi="Times New Roman" w:eastAsia="黑体" w:cs="Times New Roman"/>
          <w:bCs/>
          <w:highlight w:val="none"/>
          <w:lang w:eastAsia="zh-CN"/>
        </w:rPr>
        <w:t>二、总体要求</w:t>
      </w:r>
    </w:p>
    <w:p w14:paraId="24AB43F1">
      <w:pPr>
        <w:snapToGrid w:val="0"/>
        <w:spacing w:after="0" w:line="560" w:lineRule="exact"/>
        <w:ind w:firstLine="643"/>
        <w:outlineLvl w:val="1"/>
        <w:rPr>
          <w:rFonts w:hint="default" w:ascii="Times New Roman" w:hAnsi="Times New Roman" w:eastAsia="楷体_GB2312" w:cs="Times New Roman"/>
          <w:b/>
          <w:bCs/>
          <w:highlight w:val="none"/>
          <w:lang w:eastAsia="zh-CN"/>
        </w:rPr>
      </w:pPr>
      <w:r>
        <w:rPr>
          <w:rFonts w:hint="default" w:ascii="Times New Roman" w:hAnsi="Times New Roman" w:eastAsia="楷体_GB2312" w:cs="Times New Roman"/>
          <w:b/>
          <w:bCs/>
          <w:highlight w:val="none"/>
          <w:lang w:eastAsia="zh-CN"/>
        </w:rPr>
        <w:t>（一）指导思想</w:t>
      </w:r>
    </w:p>
    <w:p w14:paraId="595A2C99">
      <w:pPr>
        <w:snapToGrid w:val="0"/>
        <w:spacing w:after="0" w:line="560" w:lineRule="exact"/>
        <w:ind w:firstLine="600"/>
        <w:rPr>
          <w:rFonts w:hint="default" w:ascii="Times New Roman" w:hAnsi="Times New Roman" w:cs="Times New Roman"/>
          <w:sz w:val="30"/>
          <w:szCs w:val="30"/>
          <w:highlight w:val="none"/>
          <w:lang w:eastAsia="zh-CN"/>
        </w:rPr>
      </w:pPr>
      <w:r>
        <w:rPr>
          <w:rFonts w:hint="default" w:ascii="Times New Roman" w:hAnsi="Times New Roman" w:cs="Times New Roman"/>
          <w:sz w:val="30"/>
          <w:szCs w:val="30"/>
          <w:highlight w:val="none"/>
          <w:lang w:eastAsia="zh-CN"/>
        </w:rPr>
        <w:t>以习近平新时代中国特色社会主义思想特别是习近平生态文明思想为指导，全面贯彻党的二十大和二十届二中、三中全会精神，深入贯彻习近平总书记视察河北和石家庄重要指示批示精神，紧紧抓住京津冀协同发展重大战略机遇，落实省委、省政府加快建设天蓝、地绿、水秀美丽河北工作要求，以绿色低碳、环境优美、生态宜居、安全健康、智慧高效为导向，以满足人民群众日益增长的优美生态环境需要为指引，立足打造美丽中国“石家庄特色示范”，协同推进降碳、减污、扩绿、增长，坚持改革创新、先行先试，将石家庄打造成为山水相依、城景相融的全国美丽省会城市，为京津冀建设美丽中国先行区作出重大贡献。</w:t>
      </w:r>
    </w:p>
    <w:p w14:paraId="736DBE53">
      <w:pPr>
        <w:snapToGrid w:val="0"/>
        <w:spacing w:after="0" w:line="560" w:lineRule="exact"/>
        <w:ind w:firstLine="643"/>
        <w:outlineLvl w:val="1"/>
        <w:rPr>
          <w:rFonts w:hint="default" w:ascii="Times New Roman" w:hAnsi="Times New Roman" w:eastAsia="楷体_GB2312" w:cs="Times New Roman"/>
          <w:b/>
          <w:bCs/>
          <w:highlight w:val="none"/>
          <w:lang w:eastAsia="zh-CN"/>
        </w:rPr>
      </w:pPr>
      <w:r>
        <w:rPr>
          <w:rFonts w:hint="default" w:ascii="Times New Roman" w:hAnsi="Times New Roman" w:eastAsia="楷体_GB2312" w:cs="Times New Roman"/>
          <w:b/>
          <w:bCs/>
          <w:highlight w:val="none"/>
          <w:lang w:eastAsia="zh-CN"/>
        </w:rPr>
        <w:t>（二）战略定位</w:t>
      </w:r>
    </w:p>
    <w:p w14:paraId="542B60B3">
      <w:pPr>
        <w:snapToGrid w:val="0"/>
        <w:spacing w:after="0" w:line="560" w:lineRule="exact"/>
        <w:ind w:firstLine="64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科学确定差异化战略定位，明确全国引领性重点领域，打造具有石家庄特色的美丽城市品牌。</w:t>
      </w:r>
    </w:p>
    <w:p w14:paraId="1F299842">
      <w:pPr>
        <w:snapToGrid w:val="0"/>
        <w:spacing w:after="0" w:line="560" w:lineRule="exact"/>
        <w:ind w:firstLine="643"/>
        <w:rPr>
          <w:rFonts w:hint="default" w:ascii="Times New Roman" w:hAnsi="Times New Roman" w:cs="Times New Roman"/>
          <w:highlight w:val="none"/>
          <w:lang w:eastAsia="zh-CN"/>
        </w:rPr>
      </w:pPr>
      <w:r>
        <w:rPr>
          <w:rFonts w:hint="default" w:ascii="Times New Roman" w:hAnsi="Times New Roman" w:cs="Times New Roman"/>
          <w:b/>
          <w:bCs/>
          <w:highlight w:val="none"/>
          <w:lang w:eastAsia="zh-CN"/>
        </w:rPr>
        <w:t>1.传统工业城市绿色低碳转型示范。</w:t>
      </w:r>
      <w:r>
        <w:rPr>
          <w:rFonts w:hint="default" w:ascii="Times New Roman" w:hAnsi="Times New Roman" w:cs="Times New Roman"/>
          <w:highlight w:val="none"/>
          <w:lang w:eastAsia="zh-CN"/>
        </w:rPr>
        <w:t>聚焦钢铁、建材、化工等传统产业绿色化、智能化改造，探索重工业城市“双碳”目标实现路径，推动传统产业向高端化、智能化、绿色化深度转型，全力打造生物医药、新一代电子信息等五个以上千亿级产业集群，打造京津冀传统产业转型升级样板。到2027年，新建重点行业企业全部达到能效标杆水平和环保绩效A级，各级绿色工厂产值占制造业总产值比重超过30%，创建“零碳”工厂5家。</w:t>
      </w:r>
    </w:p>
    <w:p w14:paraId="19C2DEAA">
      <w:pPr>
        <w:snapToGrid w:val="0"/>
        <w:spacing w:after="0" w:line="560" w:lineRule="exact"/>
        <w:ind w:firstLine="643"/>
        <w:rPr>
          <w:rFonts w:hint="default" w:ascii="Times New Roman" w:hAnsi="Times New Roman" w:cs="Times New Roman"/>
          <w:highlight w:val="none"/>
          <w:lang w:eastAsia="zh-CN"/>
        </w:rPr>
      </w:pPr>
      <w:r>
        <w:rPr>
          <w:rFonts w:hint="default" w:ascii="Times New Roman" w:hAnsi="Times New Roman" w:cs="Times New Roman"/>
          <w:b/>
          <w:bCs/>
          <w:highlight w:val="none"/>
          <w:lang w:eastAsia="zh-CN"/>
        </w:rPr>
        <w:t>2.京津冀生态协同治理先行示范。</w:t>
      </w:r>
      <w:r>
        <w:rPr>
          <w:rFonts w:hint="default" w:ascii="Times New Roman" w:hAnsi="Times New Roman" w:cs="Times New Roman"/>
          <w:highlight w:val="none"/>
          <w:lang w:eastAsia="zh-CN"/>
        </w:rPr>
        <w:t>聚焦区域大气污染联防联控，探索跨省流域生态补偿机制，构建石家庄都市圈生态环境一体化协同防控机制，推动实现石家庄、衡水、邢台市和定州、辛集市等城市在数据共享、重污染预警预报、调控调度以及联合执法等方面建立实质性合作机制，打造京津冀生态环境协同治理样板。</w:t>
      </w:r>
    </w:p>
    <w:p w14:paraId="63E4EC8F">
      <w:pPr>
        <w:snapToGrid w:val="0"/>
        <w:spacing w:after="0" w:line="560" w:lineRule="exact"/>
        <w:ind w:firstLine="643"/>
        <w:rPr>
          <w:rFonts w:hint="default" w:ascii="Times New Roman" w:hAnsi="Times New Roman" w:cs="Times New Roman"/>
          <w:highlight w:val="none"/>
          <w:lang w:eastAsia="zh-CN"/>
        </w:rPr>
      </w:pPr>
      <w:r>
        <w:rPr>
          <w:rFonts w:hint="default" w:ascii="Times New Roman" w:hAnsi="Times New Roman" w:cs="Times New Roman"/>
          <w:b/>
          <w:bCs/>
          <w:highlight w:val="none"/>
          <w:lang w:eastAsia="zh-CN"/>
        </w:rPr>
        <w:t>3.山水相依、城景相融的全国美丽省会城市。</w:t>
      </w:r>
      <w:r>
        <w:rPr>
          <w:rFonts w:hint="default" w:ascii="Times New Roman" w:hAnsi="Times New Roman" w:cs="Times New Roman"/>
          <w:highlight w:val="none"/>
          <w:lang w:eastAsia="zh-CN"/>
        </w:rPr>
        <w:t>以太行山生态屏障与滹沱河流域为生态基底，重塑滹沱河、冶河等水系生态廊道，同步推进全域增绿工程，加快建设幸福宜居的华北示范样板，彰显山水相依、承载燕赵文化、红色文化和生态文化底蕴的全国美丽省会城市。</w:t>
      </w:r>
    </w:p>
    <w:p w14:paraId="60540AC1">
      <w:pPr>
        <w:snapToGrid w:val="0"/>
        <w:spacing w:after="0" w:line="560" w:lineRule="exact"/>
        <w:ind w:firstLine="640"/>
        <w:rPr>
          <w:rFonts w:hint="default" w:ascii="Times New Roman" w:hAnsi="Times New Roman" w:cs="Times New Roman"/>
          <w:highlight w:val="none"/>
          <w:lang w:eastAsia="zh-CN"/>
        </w:rPr>
      </w:pPr>
      <w:r>
        <w:rPr>
          <w:rFonts w:hint="default" w:ascii="Times New Roman" w:hAnsi="Times New Roman" w:cs="Times New Roman"/>
          <w:b/>
          <w:bCs/>
          <w:highlight w:val="none"/>
          <w:lang w:eastAsia="zh-CN"/>
        </w:rPr>
        <w:t>重点方向：</w:t>
      </w:r>
      <w:r>
        <w:rPr>
          <w:rFonts w:hint="default" w:ascii="Times New Roman" w:hAnsi="Times New Roman" w:cs="Times New Roman"/>
          <w:highlight w:val="none"/>
          <w:lang w:eastAsia="zh-CN"/>
        </w:rPr>
        <w:t>聚焦打造五大示范标杆，具体为：一是打造传统工业城市绿色低碳转型示范，探索重工业城市“双碳”目标实现路径；二是打造京津冀生态协同治理先行示范，构建区域大气污染联防联控和流域生态补偿机制；三是打造太行山—滹沱河生态宜居示范，重塑山水城相融的空间格局；四是打造红绿文化融合示范，传承红色基因，弘扬生态文化；五是打造智慧环境治理示范，以数字技术赋能生态环境精细化管控。</w:t>
      </w:r>
    </w:p>
    <w:p w14:paraId="132D8208">
      <w:pPr>
        <w:snapToGrid w:val="0"/>
        <w:spacing w:after="0" w:line="560" w:lineRule="exact"/>
        <w:ind w:firstLine="64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石家庄美丽城市建设同时构建分阶段量化目标体系，围绕空气质量、水环境治理、绿色产业、生态宜居、治理效能等维度细化指标，全力打造美丽中国“石家庄特色示范”，助力京津冀美丽中国先行区建设。</w:t>
      </w:r>
    </w:p>
    <w:p w14:paraId="53E2204E">
      <w:pPr>
        <w:snapToGrid w:val="0"/>
        <w:spacing w:after="0" w:line="560" w:lineRule="exact"/>
        <w:ind w:firstLine="643"/>
        <w:outlineLvl w:val="1"/>
        <w:rPr>
          <w:rFonts w:hint="default" w:ascii="Times New Roman" w:hAnsi="Times New Roman" w:eastAsia="楷体_GB2312" w:cs="Times New Roman"/>
          <w:b/>
          <w:bCs/>
          <w:highlight w:val="none"/>
          <w:lang w:eastAsia="zh-CN"/>
        </w:rPr>
      </w:pPr>
      <w:r>
        <w:rPr>
          <w:rFonts w:hint="default" w:ascii="Times New Roman" w:hAnsi="Times New Roman" w:eastAsia="楷体_GB2312" w:cs="Times New Roman"/>
          <w:b/>
          <w:bCs/>
          <w:highlight w:val="none"/>
          <w:lang w:eastAsia="zh-CN"/>
        </w:rPr>
        <w:t>（三）目标指标</w:t>
      </w:r>
    </w:p>
    <w:p w14:paraId="24FE4168">
      <w:pPr>
        <w:snapToGrid w:val="0"/>
        <w:spacing w:after="0" w:line="560" w:lineRule="exact"/>
        <w:ind w:firstLine="640"/>
        <w:rPr>
          <w:rFonts w:hint="default" w:ascii="Times New Roman" w:hAnsi="Times New Roman" w:cs="Times New Roman"/>
          <w:b/>
          <w:highlight w:val="none"/>
          <w:lang w:eastAsia="zh-CN"/>
        </w:rPr>
      </w:pPr>
      <w:r>
        <w:rPr>
          <w:rFonts w:hint="default" w:ascii="Times New Roman" w:hAnsi="Times New Roman" w:cs="Times New Roman"/>
          <w:highlight w:val="none"/>
          <w:lang w:eastAsia="zh-CN"/>
        </w:rPr>
        <w:t>对标对表《美丽中国建设“十五五”规划》和河北省部署要求，分别明确2027年、2030年、2035年分阶段目标，围绕绿色低碳、环境优美、生态宜居、安全健康、智慧高效五个维度选取重点指标，形成导向明确、可量化、可考核的目标指标体系。</w:t>
      </w:r>
    </w:p>
    <w:p w14:paraId="491FE9EE">
      <w:pPr>
        <w:snapToGrid w:val="0"/>
        <w:spacing w:after="0" w:line="560" w:lineRule="exact"/>
        <w:ind w:firstLine="643"/>
        <w:rPr>
          <w:rFonts w:hint="default" w:ascii="Times New Roman" w:hAnsi="Times New Roman" w:cs="Times New Roman"/>
          <w:b/>
          <w:bCs/>
          <w:highlight w:val="none"/>
          <w:lang w:eastAsia="zh-CN"/>
        </w:rPr>
      </w:pPr>
      <w:r>
        <w:rPr>
          <w:rFonts w:hint="default" w:ascii="Times New Roman" w:hAnsi="Times New Roman" w:cs="Times New Roman"/>
          <w:b/>
          <w:bCs/>
          <w:highlight w:val="none"/>
          <w:lang w:eastAsia="zh-CN"/>
        </w:rPr>
        <w:t>2027年目标</w:t>
      </w:r>
    </w:p>
    <w:p w14:paraId="685E1D4F">
      <w:pPr>
        <w:snapToGrid w:val="0"/>
        <w:spacing w:after="0" w:line="560" w:lineRule="exact"/>
        <w:ind w:firstLine="64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美丽石家庄建设取得标志性成果。生态环境质量显著改善，PM</w:t>
      </w:r>
      <w:r>
        <w:rPr>
          <w:rFonts w:hint="default" w:ascii="Times New Roman" w:hAnsi="Times New Roman" w:cs="Times New Roman"/>
          <w:highlight w:val="none"/>
          <w:vertAlign w:val="subscript"/>
          <w:lang w:eastAsia="zh-CN"/>
        </w:rPr>
        <w:t>2.5</w:t>
      </w:r>
      <w:r>
        <w:rPr>
          <w:rFonts w:hint="default" w:ascii="Times New Roman" w:hAnsi="Times New Roman" w:cs="Times New Roman"/>
          <w:highlight w:val="none"/>
          <w:lang w:eastAsia="zh-CN"/>
        </w:rPr>
        <w:t>浓度降至40微克/立方米以下，空气质量优良天数比率达到70%以上，重度及以上污染天数比例持续下降，基本消除重污染天气，巩固空气质量连续五年稳定退出全国168个重点城市排名后十位成果，综合指数持续进位。绿色低碳转型成效明显，非化石能源消费占比达到15%以上，重点行业清洁运输比例达到要求，新能源汽车推广规模保持全省领先。生态宜居品质全面升级，城市公园绿地服务半径覆盖率达到85%以上，建成区绿地率稳步提升，每年新建口袋公园不少于50座。治理能力显著提升，美丽河湖、美丽细胞建设取得标志性示范成效。</w:t>
      </w:r>
    </w:p>
    <w:p w14:paraId="7D975555">
      <w:pPr>
        <w:snapToGrid w:val="0"/>
        <w:spacing w:after="0" w:line="560" w:lineRule="exact"/>
        <w:ind w:firstLine="643"/>
        <w:rPr>
          <w:rFonts w:hint="default" w:ascii="Times New Roman" w:hAnsi="Times New Roman" w:cs="Times New Roman"/>
          <w:b/>
          <w:bCs/>
          <w:highlight w:val="none"/>
          <w:lang w:eastAsia="zh-CN"/>
        </w:rPr>
      </w:pPr>
      <w:r>
        <w:rPr>
          <w:rFonts w:hint="default" w:ascii="Times New Roman" w:hAnsi="Times New Roman" w:cs="Times New Roman"/>
          <w:b/>
          <w:bCs/>
          <w:highlight w:val="none"/>
          <w:lang w:eastAsia="zh-CN"/>
        </w:rPr>
        <w:t>2030年目标</w:t>
      </w:r>
    </w:p>
    <w:p w14:paraId="31B1A4D3">
      <w:pPr>
        <w:snapToGrid w:val="0"/>
        <w:spacing w:after="0" w:line="560" w:lineRule="exact"/>
        <w:ind w:firstLine="64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生态环境质量持续改善，PM</w:t>
      </w:r>
      <w:r>
        <w:rPr>
          <w:rFonts w:hint="default" w:ascii="Times New Roman" w:hAnsi="Times New Roman" w:cs="Times New Roman"/>
          <w:highlight w:val="none"/>
          <w:vertAlign w:val="subscript"/>
          <w:lang w:eastAsia="zh-CN"/>
        </w:rPr>
        <w:t>2.5</w:t>
      </w:r>
      <w:r>
        <w:rPr>
          <w:rFonts w:hint="default" w:ascii="Times New Roman" w:hAnsi="Times New Roman" w:cs="Times New Roman"/>
          <w:highlight w:val="none"/>
          <w:lang w:eastAsia="zh-CN"/>
        </w:rPr>
        <w:t>浓度降至35微克/立方米以下，空气质量优良天数比率达到75%以上，重度及以上污染天数比例控制在0.9%以内，臭氧污染得到有效控制。地表水水质好于Ⅲ类水体的国、省控断面比例达到85%以上。绿色低碳发展模式初步形成，非化石能源消费占比达到20%以上，单位地区生产总值能耗和碳排放强度持续下降，传统工业城市绿色低碳转型形成全国标杆经验。</w:t>
      </w:r>
    </w:p>
    <w:p w14:paraId="070D11BD">
      <w:pPr>
        <w:snapToGrid w:val="0"/>
        <w:spacing w:after="0" w:line="560" w:lineRule="exact"/>
        <w:ind w:firstLine="64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生态系统质量和稳定性显著提升。太行山生态屏障功能持续增强，滹沱河流域生态廊道连通性明显改善，森林覆盖率稳步提高，生态质量指数达到良好水平。城市生态网络更加完善，蓝绿空间比例保持基本稳定。</w:t>
      </w:r>
    </w:p>
    <w:p w14:paraId="1B6E4665">
      <w:pPr>
        <w:snapToGrid w:val="0"/>
        <w:spacing w:after="0" w:line="560" w:lineRule="exact"/>
        <w:ind w:firstLine="64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生态环境治理体系和治理能力现代化水平明显提高。智慧环境治理体系基本建成，“空天地”一体化监测体系全覆盖。美丽细胞建设深入推进，建设美丽细胞数量达到200个以上。美丽乡村整县建成比例达到60%以上。</w:t>
      </w:r>
    </w:p>
    <w:p w14:paraId="3D9B9EA4">
      <w:pPr>
        <w:snapToGrid w:val="0"/>
        <w:spacing w:after="0" w:line="240" w:lineRule="auto"/>
        <w:ind w:firstLine="643"/>
        <w:rPr>
          <w:rFonts w:hint="default" w:ascii="Times New Roman" w:hAnsi="Times New Roman" w:cs="Times New Roman"/>
          <w:b/>
          <w:bCs/>
          <w:highlight w:val="none"/>
          <w:lang w:eastAsia="zh-CN"/>
        </w:rPr>
      </w:pPr>
      <w:r>
        <w:rPr>
          <w:rFonts w:hint="default" w:ascii="Times New Roman" w:hAnsi="Times New Roman" w:cs="Times New Roman"/>
          <w:b/>
          <w:bCs/>
          <w:highlight w:val="none"/>
          <w:lang w:eastAsia="zh-CN"/>
        </w:rPr>
        <w:t>2035年目标</w:t>
      </w:r>
    </w:p>
    <w:p w14:paraId="45E8D841">
      <w:pPr>
        <w:snapToGrid w:val="0"/>
        <w:spacing w:after="0" w:line="560" w:lineRule="exact"/>
        <w:ind w:firstLine="643"/>
        <w:rPr>
          <w:rFonts w:hint="default" w:ascii="Times New Roman" w:hAnsi="Times New Roman" w:cs="Times New Roman"/>
          <w:highlight w:val="none"/>
          <w:lang w:eastAsia="zh-CN"/>
        </w:rPr>
      </w:pPr>
      <w:r>
        <w:rPr>
          <w:rFonts w:hint="default" w:ascii="Times New Roman" w:hAnsi="Times New Roman" w:cs="Times New Roman"/>
          <w:highlight w:val="none"/>
          <w:lang w:eastAsia="zh-CN"/>
        </w:rPr>
        <w:t>美丽石家庄全面建成。生态环境根本好转，绿色低碳发展模式基本形成，碳排放达峰后稳中有降。非化石能源占能源消费总量比重力争达到25%，PM</w:t>
      </w:r>
      <w:r>
        <w:rPr>
          <w:rFonts w:hint="default" w:ascii="Times New Roman" w:hAnsi="Times New Roman" w:cs="Times New Roman"/>
          <w:highlight w:val="none"/>
          <w:vertAlign w:val="subscript"/>
          <w:lang w:eastAsia="zh-CN"/>
        </w:rPr>
        <w:t>2.5</w:t>
      </w:r>
      <w:r>
        <w:rPr>
          <w:rFonts w:hint="default" w:ascii="Times New Roman" w:hAnsi="Times New Roman" w:cs="Times New Roman"/>
          <w:highlight w:val="none"/>
          <w:lang w:eastAsia="zh-CN"/>
        </w:rPr>
        <w:t>浓度降至27微克/立方米以下，空气质量优良天数比例达到85%，与国家《美丽中国建设“十五五”规划》目标要求全面衔接。太行山脉生态屏障功能完备，全域水系实现互联互通，生态安全更加稳固，生态系统多样性、稳定性、持续性显著增强。生态环境治理体系和治理能力达到国内领先水平，智慧高效的环境治理模式全面建立。人民群众生态环境获得感、幸福感、安全感显著增强，绿色低碳生产生活方式广泛形成。最终建成彰显山水相依、承载燕赵文化、红色文化和生态文化底蕴，城景相融的全国美丽省会城市。</w:t>
      </w:r>
    </w:p>
    <w:p w14:paraId="5F1221BC">
      <w:pPr>
        <w:snapToGrid w:val="0"/>
        <w:spacing w:after="0" w:line="560" w:lineRule="exact"/>
        <w:ind w:firstLine="643"/>
        <w:outlineLvl w:val="1"/>
        <w:rPr>
          <w:rFonts w:hint="default" w:ascii="Times New Roman" w:hAnsi="Times New Roman" w:eastAsia="楷体_GB2312" w:cs="Times New Roman"/>
          <w:b/>
          <w:bCs/>
          <w:highlight w:val="none"/>
          <w:lang w:eastAsia="zh-CN"/>
        </w:rPr>
      </w:pPr>
      <w:r>
        <w:rPr>
          <w:rFonts w:hint="default" w:ascii="Times New Roman" w:hAnsi="Times New Roman" w:eastAsia="楷体_GB2312" w:cs="Times New Roman"/>
          <w:b/>
          <w:bCs/>
          <w:highlight w:val="none"/>
          <w:lang w:eastAsia="zh-CN"/>
        </w:rPr>
        <w:t>（四）标志性成果</w:t>
      </w:r>
    </w:p>
    <w:p w14:paraId="10BD178C">
      <w:pPr>
        <w:snapToGrid w:val="0"/>
        <w:spacing w:after="0" w:line="560" w:lineRule="exact"/>
        <w:ind w:firstLine="640"/>
        <w:rPr>
          <w:rFonts w:hint="default" w:ascii="Times New Roman" w:hAnsi="Times New Roman" w:cs="Times New Roman"/>
          <w:b/>
          <w:highlight w:val="none"/>
          <w:lang w:eastAsia="zh-CN"/>
        </w:rPr>
      </w:pPr>
      <w:r>
        <w:rPr>
          <w:rFonts w:hint="default" w:ascii="Times New Roman" w:hAnsi="Times New Roman" w:cs="Times New Roman"/>
          <w:highlight w:val="none"/>
          <w:lang w:eastAsia="zh-CN"/>
        </w:rPr>
        <w:t>聚焦美丽城市建设核心领域，凝练形成7个标志性成果，每个成果明确建设目标、底层支撑和完成时限。</w:t>
      </w:r>
    </w:p>
    <w:p w14:paraId="413D18D8">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1.石家庄都市圈生态环境协同治理样板。</w:t>
      </w:r>
      <w:r>
        <w:rPr>
          <w:rFonts w:hint="default" w:ascii="Times New Roman" w:hAnsi="Times New Roman" w:cs="Times New Roman"/>
          <w:b w:val="0"/>
          <w:bCs w:val="0"/>
          <w:highlight w:val="none"/>
          <w:lang w:eastAsia="zh-CN"/>
        </w:rPr>
        <w:t>构建石家庄都市圈大气污染联防联控、跨界河流生态补偿和联合执法常态化机制，推动与衡水、邢台、定州、辛集等周边城市数据共享、预警预报联动，形成都市圈生态环境协同治理可复制模式，为京津冀美丽中国先行区建设提供石家庄方案。</w:t>
      </w:r>
    </w:p>
    <w:p w14:paraId="5FEEFF24">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2.省会城市绿色交通示范。</w:t>
      </w:r>
      <w:r>
        <w:rPr>
          <w:rFonts w:hint="default" w:ascii="Times New Roman" w:hAnsi="Times New Roman" w:cs="Times New Roman"/>
          <w:b w:val="0"/>
          <w:bCs w:val="0"/>
          <w:highlight w:val="none"/>
          <w:lang w:eastAsia="zh-CN"/>
        </w:rPr>
        <w:t>依托国家首批公共领域车辆全面电动化先行区试点和新能源汽车推广规模连续三年全省第一的优势，实现主城区公交车辆100%新能源化，轨道交通网络成环成网，健全城市公共交通、慢行交通系统和绿道网络，绿色出行比例2027年达到83%以上、2030年达到85%以上，打造北方省会城市绿色交通标杆。</w:t>
      </w:r>
    </w:p>
    <w:p w14:paraId="6EBEFEC3">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3.太行山—滹沱河生态廊道建设标杆。</w:t>
      </w:r>
      <w:r>
        <w:rPr>
          <w:rFonts w:hint="default" w:ascii="Times New Roman" w:hAnsi="Times New Roman" w:cs="Times New Roman"/>
          <w:b w:val="0"/>
          <w:bCs w:val="0"/>
          <w:highlight w:val="none"/>
          <w:lang w:eastAsia="zh-CN"/>
        </w:rPr>
        <w:t>巩固滹沱河全国美丽河湖优秀案例成果，完成滹沱河全线生态修复和生态补水，构建“一山、六水、多廊”生态格局，建成太行山森林步道和滹沱河水生态廊道，生态质量指数达到良好水平，持续彰显北方半干旱区河湖生态修复的全国示范效应。</w:t>
      </w:r>
    </w:p>
    <w:p w14:paraId="30407441">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4.北方城市“宁静小区”建设示范。</w:t>
      </w:r>
      <w:r>
        <w:rPr>
          <w:rFonts w:hint="default" w:ascii="Times New Roman" w:hAnsi="Times New Roman" w:cs="Times New Roman"/>
          <w:b w:val="0"/>
          <w:bCs w:val="0"/>
          <w:highlight w:val="none"/>
          <w:lang w:eastAsia="zh-CN"/>
        </w:rPr>
        <w:t>制定宁静小区建设标准和评价体系，建成一批噪声达标示范小区，形成噪声地图应用和宁静小区建设可复制经验。</w:t>
      </w:r>
    </w:p>
    <w:p w14:paraId="33B8AD5E">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5.传统产业绿色低碳转型石家庄模式。</w:t>
      </w:r>
      <w:r>
        <w:rPr>
          <w:rFonts w:hint="default" w:ascii="Times New Roman" w:hAnsi="Times New Roman" w:cs="Times New Roman"/>
          <w:b w:val="0"/>
          <w:bCs w:val="0"/>
          <w:highlight w:val="none"/>
          <w:lang w:eastAsia="zh-CN"/>
        </w:rPr>
        <w:t>发挥全国首家短流程钢铁环保绩效A级企业和71家环保绩效A级企业的标杆优势，推动钢铁、水泥等重点行业全部达到环保绩效A级和能效标杆水平，清洁运输比例达到85%以上，形成重工业城市绿色低碳转型经验模式。</w:t>
      </w:r>
    </w:p>
    <w:p w14:paraId="4EDFBB20">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6.省会城市公园绿地体系示范。</w:t>
      </w:r>
      <w:r>
        <w:rPr>
          <w:rFonts w:hint="default" w:ascii="Times New Roman" w:hAnsi="Times New Roman" w:cs="Times New Roman"/>
          <w:b w:val="0"/>
          <w:bCs w:val="0"/>
          <w:highlight w:val="none"/>
          <w:lang w:eastAsia="zh-CN"/>
        </w:rPr>
        <w:t>依托公园游园总量超千座的“千园之城”和百公里环城绿道贯通优势，构建“山、水、园、廊”相互渗透的城市生态网络，城市公园绿地服务半径覆盖率2027年达到85%以上、2030年达到88%以上，建成区绿地率稳步提升，每年新建口袋公园不少于50座。</w:t>
      </w:r>
    </w:p>
    <w:p w14:paraId="781A9B81">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7.“无废城市”建设省会样板。</w:t>
      </w:r>
      <w:r>
        <w:rPr>
          <w:rFonts w:hint="default" w:ascii="Times New Roman" w:hAnsi="Times New Roman" w:cs="Times New Roman"/>
          <w:b w:val="0"/>
          <w:bCs w:val="0"/>
          <w:highlight w:val="none"/>
          <w:lang w:eastAsia="zh-CN"/>
        </w:rPr>
        <w:t>实现生活垃圾分类全覆盖，工业固废综合利用率大幅提升，危险废物全过程信息化监管全覆盖。</w:t>
      </w:r>
    </w:p>
    <w:p w14:paraId="2FCC9EBF">
      <w:pPr>
        <w:snapToGrid w:val="0"/>
        <w:spacing w:after="0" w:line="560" w:lineRule="exact"/>
        <w:ind w:left="0" w:leftChars="0" w:firstLine="640" w:firstLineChars="200"/>
        <w:outlineLvl w:val="0"/>
        <w:rPr>
          <w:rFonts w:hint="default" w:ascii="Times New Roman" w:hAnsi="Times New Roman" w:eastAsia="黑体" w:cs="Times New Roman"/>
          <w:bCs/>
          <w:highlight w:val="none"/>
          <w:lang w:eastAsia="zh-CN"/>
        </w:rPr>
      </w:pPr>
      <w:r>
        <w:rPr>
          <w:rFonts w:hint="default" w:ascii="Times New Roman" w:hAnsi="Times New Roman" w:eastAsia="黑体" w:cs="Times New Roman"/>
          <w:bCs/>
          <w:highlight w:val="none"/>
          <w:lang w:eastAsia="zh-CN"/>
        </w:rPr>
        <w:t>三、重点建设任务</w:t>
      </w:r>
    </w:p>
    <w:p w14:paraId="57F2DB07">
      <w:pPr>
        <w:snapToGrid w:val="0"/>
        <w:spacing w:after="0" w:line="560" w:lineRule="exact"/>
        <w:ind w:firstLine="643"/>
        <w:outlineLvl w:val="1"/>
        <w:rPr>
          <w:rFonts w:hint="default" w:ascii="Times New Roman" w:hAnsi="Times New Roman" w:eastAsia="楷体_GB2312" w:cs="Times New Roman"/>
          <w:b/>
          <w:bCs/>
          <w:highlight w:val="none"/>
          <w:lang w:eastAsia="zh-CN"/>
        </w:rPr>
      </w:pPr>
      <w:r>
        <w:rPr>
          <w:rFonts w:hint="default" w:ascii="Times New Roman" w:hAnsi="Times New Roman" w:eastAsia="楷体_GB2312" w:cs="Times New Roman"/>
          <w:b/>
          <w:bCs/>
          <w:highlight w:val="none"/>
          <w:lang w:eastAsia="zh-CN"/>
        </w:rPr>
        <w:t>（一）建设绿色低碳协调发展之城</w:t>
      </w:r>
    </w:p>
    <w:p w14:paraId="1AC98CFD">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1.持续优化城市开发保护格局。</w:t>
      </w:r>
      <w:r>
        <w:rPr>
          <w:rFonts w:hint="default" w:ascii="Times New Roman" w:hAnsi="Times New Roman" w:cs="Times New Roman"/>
          <w:b w:val="0"/>
          <w:bCs w:val="0"/>
          <w:highlight w:val="none"/>
          <w:lang w:eastAsia="zh-CN"/>
        </w:rPr>
        <w:t>优化国土空间发展格局，依托太行山生态屏障和滹沱河流域生态廊道，统筹生态、生产、生活空间布局，筑牢生态安全基底。</w:t>
      </w:r>
    </w:p>
    <w:p w14:paraId="41327989">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2.推动产业绿色低碳转型。</w:t>
      </w:r>
      <w:r>
        <w:rPr>
          <w:rFonts w:hint="default" w:ascii="Times New Roman" w:hAnsi="Times New Roman" w:cs="Times New Roman"/>
          <w:b w:val="0"/>
          <w:bCs w:val="0"/>
          <w:highlight w:val="none"/>
          <w:lang w:eastAsia="zh-CN"/>
        </w:rPr>
        <w:t>推动钢铁、水泥、建材等传统行业超低排放改造和环保绩效创A，加速绿色制造体系建设，培育新一代电子信息、生物医药等千亿级绿色产业集群。</w:t>
      </w:r>
    </w:p>
    <w:p w14:paraId="486D5C61">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3.培育绿色新质生产力。</w:t>
      </w:r>
      <w:r>
        <w:rPr>
          <w:rFonts w:hint="default" w:ascii="Times New Roman" w:hAnsi="Times New Roman" w:cs="Times New Roman"/>
          <w:b w:val="0"/>
          <w:bCs w:val="0"/>
          <w:highlight w:val="none"/>
          <w:lang w:eastAsia="zh-CN"/>
        </w:rPr>
        <w:t>聚焦五大主导产业，加快算力基础设施和数字经济产业园建设，推动人工智能等新技术在生态环境治理领域的应用。</w:t>
      </w:r>
    </w:p>
    <w:p w14:paraId="267DC663">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rPr>
        <w:t>4.构建清洁高效能源体系。</w:t>
      </w:r>
      <w:r>
        <w:rPr>
          <w:rFonts w:hint="default" w:ascii="Times New Roman" w:hAnsi="Times New Roman" w:cs="Times New Roman"/>
          <w:b w:val="0"/>
          <w:bCs w:val="0"/>
          <w:highlight w:val="none"/>
        </w:rPr>
        <w:t>严控煤炭消费总量，2027年底前全面完成具备改造条件煤电机组的节煤降耗改造、供热改造、灵活性改造“三改联动”，加大分布式光伏和绿色氢能布局，非化石能源消费占比2027年达到15%以上、2030年达到20%以上。</w:t>
      </w:r>
    </w:p>
    <w:p w14:paraId="423092F1">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5.加快绿色交通体系建设。</w:t>
      </w:r>
      <w:r>
        <w:rPr>
          <w:rFonts w:hint="default" w:ascii="Times New Roman" w:hAnsi="Times New Roman" w:cs="Times New Roman"/>
          <w:b w:val="0"/>
          <w:bCs w:val="0"/>
          <w:highlight w:val="none"/>
          <w:lang w:eastAsia="zh-CN"/>
        </w:rPr>
        <w:t>推进轨道交通网络建设，新增及更新公交车辆全部新能源化，推动出租车电动化替代。落实《石家庄市步行和自行车交通系统规划》，健全慢行交通系统和绿道网络，在百公里环城绿道贯通基础上持续织密城市绿道，基本建成“十横六纵”城市绿道网络，绿色出行比例2027年达到83%以上、2030年达到85%以上。</w:t>
      </w:r>
    </w:p>
    <w:p w14:paraId="5C81EC42">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6.推进资源集约循环利用。</w:t>
      </w:r>
      <w:r>
        <w:rPr>
          <w:rFonts w:hint="default" w:ascii="Times New Roman" w:hAnsi="Times New Roman" w:cs="Times New Roman"/>
          <w:b w:val="0"/>
          <w:bCs w:val="0"/>
          <w:highlight w:val="none"/>
          <w:lang w:eastAsia="zh-CN"/>
        </w:rPr>
        <w:t>严格用水总量和强度控制，提升工业用水效率，推进再生水利用和工业固废综合利用，构建循环型产业体系。</w:t>
      </w:r>
    </w:p>
    <w:p w14:paraId="7F518F77">
      <w:pPr>
        <w:snapToGrid w:val="0"/>
        <w:spacing w:after="0" w:line="560" w:lineRule="exact"/>
        <w:ind w:firstLine="643"/>
        <w:outlineLvl w:val="1"/>
        <w:rPr>
          <w:rFonts w:hint="default" w:ascii="Times New Roman" w:hAnsi="Times New Roman" w:eastAsia="楷体_GB2312" w:cs="Times New Roman"/>
          <w:b/>
          <w:bCs/>
          <w:highlight w:val="none"/>
          <w:lang w:eastAsia="zh-CN"/>
        </w:rPr>
      </w:pPr>
      <w:r>
        <w:rPr>
          <w:rFonts w:hint="default" w:ascii="Times New Roman" w:hAnsi="Times New Roman" w:eastAsia="楷体_GB2312" w:cs="Times New Roman"/>
          <w:b/>
          <w:bCs/>
          <w:highlight w:val="none"/>
          <w:lang w:eastAsia="zh-CN"/>
        </w:rPr>
        <w:t>（二）建设天蓝水秀环境优美之城</w:t>
      </w:r>
    </w:p>
    <w:p w14:paraId="76F9D338">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1.推进大气污染防治提质增效。</w:t>
      </w:r>
      <w:r>
        <w:rPr>
          <w:rFonts w:hint="default" w:ascii="Times New Roman" w:hAnsi="Times New Roman" w:cs="Times New Roman"/>
          <w:b w:val="0"/>
          <w:bCs w:val="0"/>
          <w:highlight w:val="none"/>
          <w:lang w:eastAsia="zh-CN"/>
        </w:rPr>
        <w:t>以PM</w:t>
      </w:r>
      <w:r>
        <w:rPr>
          <w:rFonts w:hint="default" w:ascii="Times New Roman" w:hAnsi="Times New Roman" w:cs="Times New Roman"/>
          <w:b w:val="0"/>
          <w:bCs w:val="0"/>
          <w:highlight w:val="none"/>
          <w:vertAlign w:val="subscript"/>
          <w:lang w:eastAsia="zh-CN"/>
        </w:rPr>
        <w:t>2.5</w:t>
      </w:r>
      <w:r>
        <w:rPr>
          <w:rFonts w:hint="default" w:ascii="Times New Roman" w:hAnsi="Times New Roman" w:cs="Times New Roman"/>
          <w:b w:val="0"/>
          <w:bCs w:val="0"/>
          <w:highlight w:val="none"/>
          <w:lang w:eastAsia="zh-CN"/>
        </w:rPr>
        <w:t>和臭氧协同控制为主线，严格落实产业准入和产能管控，推进重点行业超低排放改造和环保绩效创A，深化VOCs全流程治理，强化移动源和面源污染管控，加快能源清洁低碳转型和交通运输体系优化，全面巩固空气质量“退后十”成果，基本消除重污染天气。</w:t>
      </w:r>
    </w:p>
    <w:p w14:paraId="69290972">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2.深化水生态环境治</w:t>
      </w:r>
      <w:r>
        <w:rPr>
          <w:rFonts w:hint="default" w:ascii="Times New Roman" w:hAnsi="Times New Roman" w:cs="Times New Roman"/>
          <w:b w:val="0"/>
          <w:bCs w:val="0"/>
          <w:highlight w:val="none"/>
          <w:lang w:eastAsia="zh-CN"/>
        </w:rPr>
        <w:t>理。统筹水资源调度，推进滹沱河等河道生态补水，加快城镇污水收集处理和工业园区管网建设。强化黑臭水体治理，持续开展城市黑臭水体排查整治，健全防止返黑返臭长效机制，实现城市黑臭水体长治久清。</w:t>
      </w:r>
    </w:p>
    <w:p w14:paraId="665C4F3A">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3.加强土壤和地下水污染防治。</w:t>
      </w:r>
      <w:r>
        <w:rPr>
          <w:rFonts w:hint="default" w:ascii="Times New Roman" w:hAnsi="Times New Roman" w:cs="Times New Roman"/>
          <w:b w:val="0"/>
          <w:bCs w:val="0"/>
          <w:highlight w:val="none"/>
          <w:lang w:eastAsia="zh-CN"/>
        </w:rPr>
        <w:t>强化建设用地土壤污染风险管控，推进化工园区地下水污染防治，保障农用地和建设用地安全利用。</w:t>
      </w:r>
    </w:p>
    <w:p w14:paraId="7E5844B9">
      <w:pPr>
        <w:snapToGrid w:val="0"/>
        <w:spacing w:after="0" w:line="560" w:lineRule="exact"/>
        <w:ind w:firstLine="643"/>
        <w:outlineLvl w:val="1"/>
        <w:rPr>
          <w:rFonts w:hint="default" w:ascii="Times New Roman" w:hAnsi="Times New Roman" w:eastAsia="楷体_GB2312" w:cs="Times New Roman"/>
          <w:b/>
          <w:bCs/>
          <w:highlight w:val="none"/>
          <w:lang w:eastAsia="zh-CN"/>
        </w:rPr>
      </w:pPr>
      <w:r>
        <w:rPr>
          <w:rFonts w:hint="default" w:ascii="Times New Roman" w:hAnsi="Times New Roman" w:eastAsia="楷体_GB2312" w:cs="Times New Roman"/>
          <w:b/>
          <w:bCs/>
          <w:highlight w:val="none"/>
          <w:lang w:eastAsia="zh-CN"/>
        </w:rPr>
        <w:t xml:space="preserve">（三）建设绿意盎然生态宜居之城 </w:t>
      </w:r>
    </w:p>
    <w:p w14:paraId="1B51798D">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1.加强生态系统保护修复。</w:t>
      </w:r>
      <w:r>
        <w:rPr>
          <w:rFonts w:hint="default" w:ascii="Times New Roman" w:hAnsi="Times New Roman" w:cs="Times New Roman"/>
          <w:b w:val="0"/>
          <w:bCs w:val="0"/>
          <w:highlight w:val="none"/>
          <w:lang w:eastAsia="zh-CN"/>
        </w:rPr>
        <w:t>构建“一山、六水、多廊”生态格局，实施太行山区森林质量提升和滹沱河流域生态修复，强化生物多样性保护。</w:t>
      </w:r>
    </w:p>
    <w:p w14:paraId="1FB0D1F1">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2.构建蓝绿共融生态城市。</w:t>
      </w:r>
      <w:r>
        <w:rPr>
          <w:rFonts w:hint="default" w:ascii="Times New Roman" w:hAnsi="Times New Roman" w:cs="Times New Roman"/>
          <w:b w:val="0"/>
          <w:bCs w:val="0"/>
          <w:highlight w:val="none"/>
          <w:lang w:eastAsia="zh-CN"/>
        </w:rPr>
        <w:t>推进太行山森林步道和滹沱河水生态廊道建设，构建“山、水、园、廊”相互渗透的城市生态网络，城市公园绿地服务半径覆盖率2027年达到85%以上、2030年达到88%以上，每年新建口袋公园不少于50座。</w:t>
      </w:r>
    </w:p>
    <w:p w14:paraId="5D72DB79">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3.全面推进“无废城市”建设。</w:t>
      </w:r>
      <w:r>
        <w:rPr>
          <w:rFonts w:hint="default" w:ascii="Times New Roman" w:hAnsi="Times New Roman" w:cs="Times New Roman"/>
          <w:b w:val="0"/>
          <w:bCs w:val="0"/>
          <w:highlight w:val="none"/>
          <w:lang w:eastAsia="zh-CN"/>
        </w:rPr>
        <w:t>推动工业固废综合利用和建筑垃圾资源化处置，强化危险废物全过程信息化监管，推进生活垃圾分类和资源化利用。</w:t>
      </w:r>
    </w:p>
    <w:p w14:paraId="1A5A9164">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4.提升城市人居环境品质。</w:t>
      </w:r>
      <w:r>
        <w:rPr>
          <w:rFonts w:hint="default" w:ascii="Times New Roman" w:hAnsi="Times New Roman" w:cs="Times New Roman"/>
          <w:b w:val="0"/>
          <w:bCs w:val="0"/>
          <w:highlight w:val="none"/>
          <w:lang w:eastAsia="zh-CN"/>
        </w:rPr>
        <w:t>推进城市更新行动和老旧小区改造，优化十五分钟生活圈布局，大力发展绿色建筑和装配式建筑。</w:t>
      </w:r>
    </w:p>
    <w:p w14:paraId="1F887A67">
      <w:pPr>
        <w:snapToGrid w:val="0"/>
        <w:spacing w:after="0" w:line="560" w:lineRule="exact"/>
        <w:ind w:firstLine="643"/>
        <w:outlineLvl w:val="1"/>
        <w:rPr>
          <w:rFonts w:hint="default" w:ascii="Times New Roman" w:hAnsi="Times New Roman" w:eastAsia="楷体_GB2312" w:cs="Times New Roman"/>
          <w:b/>
          <w:bCs/>
          <w:highlight w:val="none"/>
          <w:lang w:eastAsia="zh-CN"/>
        </w:rPr>
      </w:pPr>
      <w:r>
        <w:rPr>
          <w:rFonts w:hint="default" w:ascii="Times New Roman" w:hAnsi="Times New Roman" w:eastAsia="楷体_GB2312" w:cs="Times New Roman"/>
          <w:b/>
          <w:bCs/>
          <w:highlight w:val="none"/>
          <w:lang w:eastAsia="zh-CN"/>
        </w:rPr>
        <w:t>（四）建设环境安全健康韧性之城</w:t>
      </w:r>
    </w:p>
    <w:p w14:paraId="51CC896C">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1.加强环境风险防范和应急管理。</w:t>
      </w:r>
      <w:r>
        <w:rPr>
          <w:rFonts w:hint="default" w:ascii="Times New Roman" w:hAnsi="Times New Roman" w:cs="Times New Roman"/>
          <w:b w:val="0"/>
          <w:bCs w:val="0"/>
          <w:highlight w:val="none"/>
          <w:lang w:eastAsia="zh-CN"/>
        </w:rPr>
        <w:t>强化危废、重金属、化工园区等重点领域风险防控，深化饮用水水源地规范化建设，健全突发环境事件应急响应体系。</w:t>
      </w:r>
    </w:p>
    <w:p w14:paraId="2EC0E36E">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2.推进气候韧性城市建设。</w:t>
      </w:r>
      <w:r>
        <w:rPr>
          <w:rFonts w:hint="default" w:ascii="Times New Roman" w:hAnsi="Times New Roman" w:cs="Times New Roman"/>
          <w:b w:val="0"/>
          <w:bCs w:val="0"/>
          <w:highlight w:val="none"/>
          <w:lang w:eastAsia="zh-CN"/>
        </w:rPr>
        <w:t>将气候韧性理念融入城市规划，积极申报国家气候适应型城市建设试点，全面推进海绵城市建设，强化雨洪管理和排水设施改造，完善极端天气监测预警和多层级灾害防御体系，系统提升城市适应气候变化能力。</w:t>
      </w:r>
    </w:p>
    <w:p w14:paraId="38E1BBB8">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3.推进健康城市建设。</w:t>
      </w:r>
      <w:r>
        <w:rPr>
          <w:rFonts w:hint="default" w:ascii="Times New Roman" w:hAnsi="Times New Roman" w:cs="Times New Roman"/>
          <w:b w:val="0"/>
          <w:bCs w:val="0"/>
          <w:highlight w:val="none"/>
          <w:lang w:eastAsia="zh-CN"/>
        </w:rPr>
        <w:t>建立环境健康风险评估制度，健全新污染物治理跨部门协调机制。深入推进宁静小区建设，制定宁静小区建设标准和评价体系，2027年前建成首批宁静小区示范并</w:t>
      </w:r>
      <w:r>
        <w:rPr>
          <w:rFonts w:hint="eastAsia" w:cs="Times New Roman"/>
          <w:b w:val="0"/>
          <w:bCs w:val="0"/>
          <w:highlight w:val="none"/>
          <w:lang w:val="en-US" w:eastAsia="zh-CN"/>
        </w:rPr>
        <w:t>推进</w:t>
      </w:r>
      <w:r>
        <w:rPr>
          <w:rFonts w:hint="default" w:ascii="Times New Roman" w:hAnsi="Times New Roman" w:cs="Times New Roman"/>
          <w:b w:val="0"/>
          <w:bCs w:val="0"/>
          <w:highlight w:val="none"/>
          <w:lang w:eastAsia="zh-CN"/>
        </w:rPr>
        <w:t>噪声地图应用，2030年形成覆盖主城区的宁静小区建设推进机制，与北方城市“宁静小区”建设示范标志性成果形成闭环。</w:t>
      </w:r>
    </w:p>
    <w:p w14:paraId="46EB43A1">
      <w:pPr>
        <w:snapToGrid w:val="0"/>
        <w:spacing w:after="0" w:line="560" w:lineRule="exact"/>
        <w:ind w:firstLine="643"/>
        <w:outlineLvl w:val="1"/>
        <w:rPr>
          <w:rFonts w:hint="default" w:ascii="Times New Roman" w:hAnsi="Times New Roman" w:cs="Times New Roman"/>
          <w:highlight w:val="none"/>
          <w:lang w:eastAsia="zh-CN"/>
        </w:rPr>
      </w:pPr>
      <w:r>
        <w:rPr>
          <w:rFonts w:hint="default" w:ascii="Times New Roman" w:hAnsi="Times New Roman" w:eastAsia="楷体_GB2312" w:cs="Times New Roman"/>
          <w:b/>
          <w:highlight w:val="none"/>
          <w:lang w:eastAsia="zh-CN"/>
        </w:rPr>
        <w:t>（五）建设红绿文化普惠共享之城</w:t>
      </w:r>
      <w:r>
        <w:rPr>
          <w:rFonts w:hint="default" w:ascii="Times New Roman" w:hAnsi="Times New Roman" w:cs="Times New Roman"/>
          <w:bCs/>
          <w:highlight w:val="none"/>
          <w:lang w:eastAsia="zh-CN"/>
        </w:rPr>
        <w:t xml:space="preserve"> </w:t>
      </w:r>
    </w:p>
    <w:p w14:paraId="4A8E63C2">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1.培育特色红绿文化</w:t>
      </w:r>
      <w:r>
        <w:rPr>
          <w:rFonts w:hint="default" w:ascii="Times New Roman" w:hAnsi="Times New Roman" w:cs="Times New Roman"/>
          <w:b w:val="0"/>
          <w:bCs w:val="0"/>
          <w:highlight w:val="none"/>
          <w:lang w:eastAsia="zh-CN"/>
        </w:rPr>
        <w:t>。依托太行山、滹沱河生态资源和西柏坡红色文化，打造生态旅游与红色文化传承融合平台，建设京津冀重要旅游目的地。</w:t>
      </w:r>
    </w:p>
    <w:p w14:paraId="5395F55F">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2.倡导绿色低碳生活方式</w:t>
      </w:r>
      <w:r>
        <w:rPr>
          <w:rFonts w:hint="default" w:ascii="Times New Roman" w:hAnsi="Times New Roman" w:cs="Times New Roman"/>
          <w:b w:val="0"/>
          <w:bCs w:val="0"/>
          <w:highlight w:val="none"/>
          <w:lang w:eastAsia="zh-CN"/>
        </w:rPr>
        <w:t>。</w:t>
      </w:r>
      <w:r>
        <w:rPr>
          <w:rFonts w:hint="eastAsia" w:ascii="Times New Roman" w:hAnsi="Times New Roman" w:cs="Times New Roman"/>
          <w:b w:val="0"/>
          <w:bCs w:val="0"/>
          <w:highlight w:val="none"/>
          <w:lang w:eastAsia="zh-CN"/>
        </w:rPr>
        <w:t>优化完善城市公共交通体系，推广应用新能源汽车，推进生活垃圾分类处理与节能减排工作，健全碳普惠激励机制。</w:t>
      </w:r>
    </w:p>
    <w:p w14:paraId="3AF32CEE">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3.加强美丽城市宣传教育。</w:t>
      </w:r>
      <w:r>
        <w:rPr>
          <w:rFonts w:hint="default" w:ascii="Times New Roman" w:hAnsi="Times New Roman" w:cs="Times New Roman"/>
          <w:b w:val="0"/>
          <w:bCs w:val="0"/>
          <w:highlight w:val="none"/>
          <w:lang w:eastAsia="zh-CN"/>
        </w:rPr>
        <w:t>在重要生态节日开展主题宣传，将生态文明理念融入国民教育和红色研学路线，持续提升全民生态环保意识。</w:t>
      </w:r>
    </w:p>
    <w:p w14:paraId="1E0F8420">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4.健全多元参与行动体系。</w:t>
      </w:r>
      <w:r>
        <w:rPr>
          <w:rFonts w:hint="default" w:ascii="Times New Roman" w:hAnsi="Times New Roman" w:cs="Times New Roman"/>
          <w:b w:val="0"/>
          <w:bCs w:val="0"/>
          <w:highlight w:val="none"/>
          <w:lang w:eastAsia="zh-CN"/>
        </w:rPr>
        <w:t>完善环境信息公开和公众监督机制，支持环保公益组织和志愿者参与生态环境治理，建立公众意见征集和反馈机制。</w:t>
      </w:r>
    </w:p>
    <w:p w14:paraId="544C750C">
      <w:pPr>
        <w:snapToGrid w:val="0"/>
        <w:spacing w:after="0" w:line="560" w:lineRule="exact"/>
        <w:ind w:firstLine="643"/>
        <w:outlineLvl w:val="1"/>
        <w:rPr>
          <w:rFonts w:hint="default" w:ascii="Times New Roman" w:hAnsi="Times New Roman" w:cs="Times New Roman"/>
          <w:highlight w:val="none"/>
          <w:lang w:eastAsia="zh-CN"/>
        </w:rPr>
      </w:pPr>
      <w:r>
        <w:rPr>
          <w:rFonts w:hint="default" w:ascii="Times New Roman" w:hAnsi="Times New Roman" w:eastAsia="楷体_GB2312" w:cs="Times New Roman"/>
          <w:b/>
          <w:bCs/>
          <w:highlight w:val="none"/>
          <w:lang w:eastAsia="zh-CN"/>
        </w:rPr>
        <w:t xml:space="preserve">（六）建设现代高效智慧创新之城 </w:t>
      </w:r>
    </w:p>
    <w:p w14:paraId="14333AC2">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1.健全生态环境管理制度。</w:t>
      </w:r>
      <w:r>
        <w:rPr>
          <w:rFonts w:hint="default" w:ascii="Times New Roman" w:hAnsi="Times New Roman" w:cs="Times New Roman"/>
          <w:b w:val="0"/>
          <w:bCs w:val="0"/>
          <w:highlight w:val="none"/>
          <w:lang w:eastAsia="zh-CN"/>
        </w:rPr>
        <w:t>深化领导干部自然资源资产离任审计，推动企业环境信息强制披露，探索环评、排污许可、环境统计融合机制。</w:t>
      </w:r>
    </w:p>
    <w:p w14:paraId="0C61DF73">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2.创新绿色金融经济政策。</w:t>
      </w:r>
      <w:r>
        <w:rPr>
          <w:rFonts w:hint="default" w:ascii="Times New Roman" w:hAnsi="Times New Roman" w:cs="Times New Roman"/>
          <w:b w:val="0"/>
          <w:bCs w:val="0"/>
          <w:highlight w:val="none"/>
          <w:lang w:eastAsia="zh-CN"/>
        </w:rPr>
        <w:t>构建多元化绿色金融体系，积极争取中央和省级资金支持，在生态资源富集区试点生态银行和生态信用机制。</w:t>
      </w:r>
    </w:p>
    <w:p w14:paraId="21C5F062">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3.实现数字化智慧高效治理。</w:t>
      </w:r>
      <w:r>
        <w:rPr>
          <w:rFonts w:hint="default" w:ascii="Times New Roman" w:hAnsi="Times New Roman" w:cs="Times New Roman"/>
          <w:b w:val="0"/>
          <w:bCs w:val="0"/>
          <w:highlight w:val="none"/>
          <w:lang w:eastAsia="zh-CN"/>
        </w:rPr>
        <w:t>升级生态环境综合管理平台，打造“空天地”一体化监测体系，推动AI驱动的环境要素智能监测和预报预警。</w:t>
      </w:r>
    </w:p>
    <w:p w14:paraId="41A39C85">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4.加强绿色低碳科技支撑。</w:t>
      </w:r>
      <w:r>
        <w:rPr>
          <w:rFonts w:hint="default" w:ascii="Times New Roman" w:hAnsi="Times New Roman" w:cs="Times New Roman"/>
          <w:b w:val="0"/>
          <w:bCs w:val="0"/>
          <w:highlight w:val="none"/>
          <w:lang w:eastAsia="zh-CN"/>
        </w:rPr>
        <w:t>依托京津冀环境综合治理国家科技重大专项，聚焦多污染物协同控制和减污降碳关键技术攻关，打造绿色低碳技术转化高地。</w:t>
      </w:r>
    </w:p>
    <w:p w14:paraId="3CB867A5">
      <w:pPr>
        <w:snapToGrid w:val="0"/>
        <w:spacing w:after="0" w:line="560" w:lineRule="exact"/>
        <w:ind w:firstLine="643"/>
        <w:outlineLvl w:val="1"/>
        <w:rPr>
          <w:rFonts w:hint="default" w:ascii="Times New Roman" w:hAnsi="Times New Roman" w:eastAsia="楷体_GB2312" w:cs="Times New Roman"/>
          <w:b/>
          <w:bCs/>
          <w:highlight w:val="none"/>
          <w:lang w:eastAsia="zh-CN"/>
        </w:rPr>
      </w:pPr>
      <w:r>
        <w:rPr>
          <w:rFonts w:hint="default" w:ascii="Times New Roman" w:hAnsi="Times New Roman" w:eastAsia="楷体_GB2312" w:cs="Times New Roman"/>
          <w:b/>
          <w:bCs/>
          <w:highlight w:val="none"/>
          <w:lang w:eastAsia="zh-CN"/>
        </w:rPr>
        <w:t xml:space="preserve">（七）建设各美其美特色靓丽之城 </w:t>
      </w:r>
    </w:p>
    <w:p w14:paraId="096CE9CE">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1.梯次推进美丽河湖建设。</w:t>
      </w:r>
      <w:r>
        <w:rPr>
          <w:rFonts w:hint="default" w:ascii="Times New Roman" w:hAnsi="Times New Roman" w:cs="Times New Roman"/>
          <w:b w:val="0"/>
          <w:bCs w:val="0"/>
          <w:highlight w:val="none"/>
          <w:lang w:eastAsia="zh-CN"/>
        </w:rPr>
        <w:t>巩固滹沱河全国美丽河湖优秀案例成果，推进洨河、槐河等“三河两库”美丽河湖保护建设，打造人水和谐的水生态样板。</w:t>
      </w:r>
    </w:p>
    <w:p w14:paraId="3252348A">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2.加快美丽乡村建设。</w:t>
      </w:r>
      <w:r>
        <w:rPr>
          <w:rFonts w:hint="default" w:ascii="Times New Roman" w:hAnsi="Times New Roman" w:cs="Times New Roman"/>
          <w:b w:val="0"/>
          <w:bCs w:val="0"/>
          <w:highlight w:val="none"/>
          <w:lang w:eastAsia="zh-CN"/>
        </w:rPr>
        <w:t>集中连片打造滹沱河沿岸美丽乡村示范带，推动鹿泉区、正定县美丽乡村整县建设，争创乡村振兴样板示范区。</w:t>
      </w:r>
    </w:p>
    <w:p w14:paraId="16B66E86">
      <w:pPr>
        <w:snapToGrid w:val="0"/>
        <w:spacing w:after="0" w:line="560" w:lineRule="exact"/>
        <w:ind w:firstLine="643"/>
        <w:rPr>
          <w:rFonts w:hint="default" w:ascii="Times New Roman" w:hAnsi="Times New Roman" w:cs="Times New Roman"/>
          <w:b w:val="0"/>
          <w:bCs w:val="0"/>
          <w:highlight w:val="none"/>
          <w:lang w:eastAsia="zh-CN"/>
        </w:rPr>
      </w:pPr>
      <w:r>
        <w:rPr>
          <w:rFonts w:hint="default" w:ascii="Times New Roman" w:hAnsi="Times New Roman" w:cs="Times New Roman"/>
          <w:b/>
          <w:bCs/>
          <w:highlight w:val="none"/>
          <w:lang w:eastAsia="zh-CN"/>
        </w:rPr>
        <w:t>3.打造特色美丽细胞。</w:t>
      </w:r>
      <w:r>
        <w:rPr>
          <w:rFonts w:hint="default" w:ascii="Times New Roman" w:hAnsi="Times New Roman" w:cs="Times New Roman"/>
          <w:b w:val="0"/>
          <w:bCs w:val="0"/>
          <w:highlight w:val="none"/>
          <w:lang w:eastAsia="zh-CN"/>
        </w:rPr>
        <w:t>梯次推进美丽公路、美丽机场、</w:t>
      </w:r>
      <w:r>
        <w:rPr>
          <w:rFonts w:hint="eastAsia" w:cs="Times New Roman"/>
          <w:b w:val="0"/>
          <w:bCs w:val="0"/>
          <w:highlight w:val="none"/>
          <w:lang w:eastAsia="zh-CN"/>
        </w:rPr>
        <w:t>A级旅游景区</w:t>
      </w:r>
      <w:r>
        <w:rPr>
          <w:rFonts w:hint="default" w:ascii="Times New Roman" w:hAnsi="Times New Roman" w:cs="Times New Roman"/>
          <w:b w:val="0"/>
          <w:bCs w:val="0"/>
          <w:highlight w:val="none"/>
          <w:lang w:eastAsia="zh-CN"/>
        </w:rPr>
        <w:t>、美丽社区等细胞工程建设，以长安区、桥西区等为重点打造宜居宜业美丽城区。</w:t>
      </w:r>
    </w:p>
    <w:p w14:paraId="6FBABCBB">
      <w:pPr>
        <w:snapToGrid w:val="0"/>
        <w:spacing w:after="0" w:line="560" w:lineRule="exact"/>
        <w:ind w:left="0" w:leftChars="0" w:firstLine="640" w:firstLineChars="200"/>
        <w:outlineLvl w:val="0"/>
        <w:rPr>
          <w:rFonts w:hint="default" w:ascii="Times New Roman" w:hAnsi="Times New Roman" w:eastAsia="黑体" w:cs="Times New Roman"/>
          <w:highlight w:val="none"/>
          <w:lang w:eastAsia="zh-CN"/>
        </w:rPr>
      </w:pPr>
      <w:r>
        <w:rPr>
          <w:rFonts w:hint="default" w:ascii="Times New Roman" w:hAnsi="Times New Roman" w:eastAsia="黑体" w:cs="Times New Roman"/>
          <w:highlight w:val="none"/>
          <w:lang w:eastAsia="zh-CN"/>
        </w:rPr>
        <w:t>四、建设项目清单</w:t>
      </w:r>
    </w:p>
    <w:p w14:paraId="69E738A8">
      <w:pPr>
        <w:snapToGrid w:val="0"/>
        <w:spacing w:after="0" w:line="560" w:lineRule="exact"/>
        <w:ind w:firstLine="643"/>
        <w:outlineLvl w:val="1"/>
        <w:rPr>
          <w:rFonts w:hint="default" w:ascii="Times New Roman" w:hAnsi="Times New Roman" w:eastAsia="楷体_GB2312" w:cs="Times New Roman"/>
          <w:b/>
          <w:bCs/>
          <w:highlight w:val="none"/>
          <w:lang w:eastAsia="zh-CN"/>
        </w:rPr>
      </w:pPr>
      <w:r>
        <w:rPr>
          <w:rFonts w:hint="default" w:ascii="Times New Roman" w:hAnsi="Times New Roman" w:eastAsia="楷体_GB2312" w:cs="Times New Roman"/>
          <w:b/>
          <w:bCs/>
          <w:highlight w:val="none"/>
          <w:lang w:eastAsia="zh-CN"/>
        </w:rPr>
        <w:t>（一）现有项目整合</w:t>
      </w:r>
    </w:p>
    <w:p w14:paraId="6675866E">
      <w:pPr>
        <w:snapToGrid w:val="0"/>
        <w:spacing w:after="0" w:line="560" w:lineRule="exact"/>
        <w:ind w:firstLine="64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全面整合生态环境、城市更新、生态保护修复、智慧城市等领域存量项目，重点纳入大气污染综合治理、水生态环境治理、太行山绿化、滹沱河流域生态修复等项目。</w:t>
      </w:r>
    </w:p>
    <w:p w14:paraId="45B31E66">
      <w:pPr>
        <w:snapToGrid w:val="0"/>
        <w:spacing w:after="0" w:line="560" w:lineRule="exact"/>
        <w:ind w:firstLine="643"/>
        <w:outlineLvl w:val="1"/>
        <w:rPr>
          <w:rFonts w:hint="default" w:ascii="Times New Roman" w:hAnsi="Times New Roman" w:eastAsia="楷体_GB2312" w:cs="Times New Roman"/>
          <w:b/>
          <w:bCs/>
          <w:highlight w:val="none"/>
          <w:lang w:eastAsia="zh-CN"/>
        </w:rPr>
      </w:pPr>
      <w:r>
        <w:rPr>
          <w:rFonts w:hint="default" w:ascii="Times New Roman" w:hAnsi="Times New Roman" w:eastAsia="楷体_GB2312" w:cs="Times New Roman"/>
          <w:b/>
          <w:bCs/>
          <w:highlight w:val="none"/>
          <w:lang w:eastAsia="zh-CN"/>
        </w:rPr>
        <w:t>（二）新设项目谋划</w:t>
      </w:r>
    </w:p>
    <w:p w14:paraId="03A2133D">
      <w:pPr>
        <w:snapToGrid w:val="0"/>
        <w:spacing w:after="0" w:line="560" w:lineRule="exact"/>
        <w:ind w:firstLine="64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聚焦结构性问题和美丽城市建设目标差距，围绕工业绿色化改造、建筑节能改造、新能源基础设施、生态环境治理等重点领域谋划一批新项目。</w:t>
      </w:r>
    </w:p>
    <w:p w14:paraId="7BC8B903">
      <w:pPr>
        <w:snapToGrid w:val="0"/>
        <w:spacing w:after="0" w:line="560" w:lineRule="exact"/>
        <w:ind w:firstLine="643"/>
        <w:outlineLvl w:val="1"/>
        <w:rPr>
          <w:rFonts w:hint="default" w:ascii="Times New Roman" w:hAnsi="Times New Roman" w:eastAsia="楷体_GB2312" w:cs="Times New Roman"/>
          <w:b/>
          <w:bCs/>
          <w:highlight w:val="none"/>
          <w:lang w:eastAsia="zh-CN"/>
        </w:rPr>
      </w:pPr>
      <w:r>
        <w:rPr>
          <w:rFonts w:hint="default" w:ascii="Times New Roman" w:hAnsi="Times New Roman" w:eastAsia="楷体_GB2312" w:cs="Times New Roman"/>
          <w:b/>
          <w:bCs/>
          <w:highlight w:val="none"/>
          <w:lang w:eastAsia="zh-CN"/>
        </w:rPr>
        <w:t>（三）建设工程项目库</w:t>
      </w:r>
    </w:p>
    <w:p w14:paraId="5E6EAE96">
      <w:pPr>
        <w:snapToGrid w:val="0"/>
        <w:spacing w:after="0" w:line="560" w:lineRule="exact"/>
        <w:ind w:firstLine="64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建立“谋划、储备、建设、竣工”滚动实施机制，实行分类管理、动态调整，项目库实行动态更新、滚动管理。</w:t>
      </w:r>
    </w:p>
    <w:p w14:paraId="572C8C21">
      <w:pPr>
        <w:snapToGrid w:val="0"/>
        <w:spacing w:after="0" w:line="560" w:lineRule="exact"/>
        <w:ind w:left="0" w:leftChars="0" w:firstLine="640" w:firstLineChars="200"/>
        <w:outlineLvl w:val="0"/>
        <w:rPr>
          <w:rFonts w:hint="default" w:ascii="Times New Roman" w:hAnsi="Times New Roman" w:eastAsia="黑体" w:cs="Times New Roman"/>
          <w:highlight w:val="none"/>
          <w:lang w:eastAsia="zh-CN"/>
        </w:rPr>
      </w:pPr>
      <w:r>
        <w:rPr>
          <w:rFonts w:hint="default" w:ascii="Times New Roman" w:hAnsi="Times New Roman" w:eastAsia="黑体" w:cs="Times New Roman"/>
          <w:highlight w:val="none"/>
          <w:lang w:eastAsia="zh-CN"/>
        </w:rPr>
        <w:t>五、支撑保障体系</w:t>
      </w:r>
    </w:p>
    <w:p w14:paraId="6308AD72">
      <w:pPr>
        <w:snapToGrid w:val="0"/>
        <w:spacing w:after="0" w:line="560" w:lineRule="exact"/>
        <w:ind w:firstLine="64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从投融资、政策创新、组织实施、宣传推广等维度夯实美丽城市建设基础，构建全方位、多层次的美丽城市建设支撑保障体系。</w:t>
      </w:r>
    </w:p>
    <w:p w14:paraId="5EF2D7FD">
      <w:pPr>
        <w:snapToGrid w:val="0"/>
        <w:spacing w:after="0" w:line="560" w:lineRule="exact"/>
        <w:ind w:firstLine="64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资金保障层面，我市统筹财政预算资金，设立专项建设资金，积极争取上级资金支持，同时创新投融资模式，综合运用财政杠杆、PPP、EOD等模式撬动社会资本，推广绿色信贷、债券、保险等金融产品，探索环境权益质押融资路径，并分类明确公益性、经营性、绿色产业项目的资金筹措渠道，构建多元化市场化投融资体系。</w:t>
      </w:r>
    </w:p>
    <w:p w14:paraId="2554DC21">
      <w:pPr>
        <w:snapToGrid w:val="0"/>
        <w:spacing w:after="0" w:line="560" w:lineRule="exact"/>
        <w:ind w:firstLine="64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政策创新层面，聚焦绿色发展重点领域出台系列配套政策，依托京津冀科创资源搭建绿色低碳技术库，打通生态数据与城市智能平台的数据壁垒；依托本地人才政策引进“双碳”领域高端人才，组建专家智库。同时健全生态产品价值实现机制，推进林业碳汇交易、GEP核算等“两山”转化实践，完善地方生态环保法规，落实差别化财税与绿色采购政策，建立健全容错纠错机制。</w:t>
      </w:r>
    </w:p>
    <w:p w14:paraId="6A6E9C0E">
      <w:pPr>
        <w:snapToGrid w:val="0"/>
        <w:spacing w:after="0" w:line="560" w:lineRule="exact"/>
        <w:ind w:firstLine="64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通过健全市级统筹的组织领导与部门联动机制，推行清单化台账管理、项目滚动实施机制，搭建公众参与平台。同步建立年度自查与第三方评估机制，强化考核结果运用，并依托本地山水、红色、</w:t>
      </w:r>
    </w:p>
    <w:p w14:paraId="438DA1F3">
      <w:pPr>
        <w:snapToGrid w:val="0"/>
        <w:spacing w:after="0" w:line="560" w:lineRule="exact"/>
        <w:ind w:firstLine="64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古城特色资源开展多元化宣传，打造专属城市品牌IP，全面提升美丽石家庄建设的质量效能与影响力。</w:t>
      </w:r>
    </w:p>
    <w:p w14:paraId="2B8AB774">
      <w:pPr>
        <w:snapToGrid w:val="0"/>
        <w:spacing w:after="0" w:line="560" w:lineRule="exact"/>
        <w:ind w:firstLine="640"/>
        <w:rPr>
          <w:rFonts w:hint="default" w:ascii="Times New Roman" w:hAnsi="Times New Roman" w:cs="Times New Roman"/>
          <w:highlight w:val="none"/>
          <w:lang w:eastAsia="zh-CN"/>
        </w:rPr>
      </w:pPr>
    </w:p>
    <w:p w14:paraId="73919840">
      <w:pPr>
        <w:widowControl w:val="0"/>
        <w:spacing w:after="0" w:line="560" w:lineRule="exact"/>
        <w:ind w:firstLine="640"/>
        <w:rPr>
          <w:rFonts w:hint="default" w:ascii="Times New Roman" w:hAnsi="Times New Roman" w:cs="Times New Roman"/>
          <w:highlight w:val="none"/>
          <w:lang w:eastAsia="zh-CN"/>
        </w:rPr>
      </w:pPr>
    </w:p>
    <w:p w14:paraId="5AF7DA7D">
      <w:pPr>
        <w:widowControl w:val="0"/>
        <w:spacing w:after="0" w:line="560" w:lineRule="exact"/>
        <w:ind w:firstLine="64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附件：</w:t>
      </w:r>
    </w:p>
    <w:p w14:paraId="03AC9E42">
      <w:pPr>
        <w:widowControl w:val="0"/>
        <w:spacing w:after="0" w:line="560" w:lineRule="exact"/>
        <w:ind w:firstLine="64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1.石家庄美丽城市建设目标指标清单</w:t>
      </w:r>
    </w:p>
    <w:p w14:paraId="103FF789">
      <w:pPr>
        <w:widowControl w:val="0"/>
        <w:spacing w:after="0" w:line="560" w:lineRule="exact"/>
        <w:rPr>
          <w:rFonts w:hint="default" w:ascii="Times New Roman" w:hAnsi="Times New Roman" w:cs="Times New Roman"/>
          <w:highlight w:val="none"/>
          <w:lang w:eastAsia="zh-CN"/>
        </w:rPr>
      </w:pPr>
      <w:r>
        <w:rPr>
          <w:rFonts w:hint="default" w:ascii="Times New Roman" w:hAnsi="Times New Roman" w:cs="Times New Roman"/>
          <w:highlight w:val="none"/>
          <w:lang w:eastAsia="zh-CN"/>
        </w:rPr>
        <w:t>2.石家庄美丽城市建设重点任务清单</w:t>
      </w:r>
    </w:p>
    <w:p w14:paraId="01080709">
      <w:pPr>
        <w:widowControl w:val="0"/>
        <w:spacing w:after="0" w:line="560" w:lineRule="exact"/>
        <w:ind w:left="-320" w:leftChars="-100" w:firstLine="0" w:firstLineChars="0"/>
        <w:rPr>
          <w:rFonts w:hint="default" w:ascii="Times New Roman" w:hAnsi="Times New Roman" w:cs="Times New Roman"/>
          <w:kern w:val="2"/>
          <w:highlight w:val="none"/>
          <w:lang w:eastAsia="zh-CN"/>
        </w:rPr>
      </w:pPr>
      <w:r>
        <w:rPr>
          <w:rFonts w:hint="default" w:ascii="Times New Roman" w:hAnsi="Times New Roman" w:cs="Times New Roman"/>
          <w:highlight w:val="none"/>
          <w:lang w:eastAsia="zh-CN"/>
        </w:rPr>
        <w:t xml:space="preserve">     </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lang w:eastAsia="zh-CN"/>
        </w:rPr>
        <w:t xml:space="preserve"> 3.石家庄美丽城市建设标志性成果清单</w:t>
      </w:r>
    </w:p>
    <w:p w14:paraId="60697BC0">
      <w:pPr>
        <w:ind w:firstLine="640"/>
        <w:rPr>
          <w:rFonts w:hint="default" w:ascii="Times New Roman" w:hAnsi="Times New Roman" w:cs="Times New Roman"/>
          <w:highlight w:val="none"/>
          <w:lang w:eastAsia="zh-CN"/>
        </w:rPr>
      </w:pPr>
    </w:p>
    <w:p w14:paraId="49BD5FF9">
      <w:pPr>
        <w:ind w:firstLine="0" w:firstLineChars="0"/>
        <w:jc w:val="left"/>
        <w:rPr>
          <w:rFonts w:hint="default" w:ascii="Times New Roman" w:hAnsi="Times New Roman" w:cs="Times New Roman"/>
          <w:b/>
          <w:sz w:val="28"/>
          <w:highlight w:val="none"/>
          <w:lang w:eastAsia="zh-CN"/>
        </w:rPr>
        <w:sectPr>
          <w:footerReference r:id="rId11" w:type="default"/>
          <w:type w:val="continuous"/>
          <w:pgSz w:w="11906" w:h="16838"/>
          <w:pgMar w:top="1440" w:right="1800" w:bottom="1440" w:left="1800" w:header="720" w:footer="720" w:gutter="0"/>
          <w:pgNumType w:start="1"/>
          <w:cols w:space="720" w:num="1"/>
          <w:docGrid w:linePitch="435" w:charSpace="0"/>
        </w:sectPr>
      </w:pPr>
    </w:p>
    <w:p w14:paraId="0117AA87">
      <w:pPr>
        <w:adjustRightInd w:val="0"/>
        <w:snapToGrid w:val="0"/>
        <w:spacing w:after="0" w:line="560" w:lineRule="exact"/>
        <w:ind w:firstLine="0" w:firstLineChars="0"/>
        <w:outlineLvl w:val="0"/>
        <w:rPr>
          <w:rFonts w:hint="default" w:ascii="Times New Roman" w:hAnsi="Times New Roman" w:eastAsia="方正小标宋简体" w:cs="Times New Roman"/>
          <w:sz w:val="44"/>
          <w:highlight w:val="none"/>
          <w:lang w:eastAsia="zh-CN"/>
        </w:rPr>
      </w:pPr>
      <w:r>
        <w:rPr>
          <w:rFonts w:hint="default" w:ascii="Times New Roman" w:hAnsi="Times New Roman" w:eastAsia="黑体" w:cs="Times New Roman"/>
          <w:szCs w:val="22"/>
          <w:highlight w:val="none"/>
          <w:lang w:eastAsia="zh-CN"/>
        </w:rPr>
        <w:t xml:space="preserve">附件1 </w:t>
      </w:r>
      <w:r>
        <w:rPr>
          <w:rFonts w:hint="default" w:ascii="Times New Roman" w:hAnsi="Times New Roman" w:eastAsia="方正小标宋简体" w:cs="Times New Roman"/>
          <w:sz w:val="44"/>
          <w:highlight w:val="none"/>
          <w:lang w:eastAsia="zh-CN"/>
        </w:rPr>
        <w:t xml:space="preserve"> </w:t>
      </w:r>
    </w:p>
    <w:p w14:paraId="03F5B312">
      <w:pPr>
        <w:adjustRightInd w:val="0"/>
        <w:snapToGrid w:val="0"/>
        <w:spacing w:after="120" w:afterLines="50" w:line="560" w:lineRule="exact"/>
        <w:ind w:firstLine="0" w:firstLineChars="0"/>
        <w:jc w:val="center"/>
        <w:rPr>
          <w:rFonts w:hint="default" w:ascii="Times New Roman" w:hAnsi="Times New Roman" w:eastAsia="方正小标宋简体" w:cs="Times New Roman"/>
          <w:sz w:val="44"/>
          <w:highlight w:val="none"/>
          <w:lang w:eastAsia="zh-CN"/>
        </w:rPr>
      </w:pPr>
      <w:r>
        <w:rPr>
          <w:rFonts w:hint="default" w:ascii="Times New Roman" w:hAnsi="Times New Roman" w:eastAsia="方正小标宋简体" w:cs="Times New Roman"/>
          <w:sz w:val="44"/>
          <w:highlight w:val="none"/>
          <w:lang w:eastAsia="zh-CN"/>
        </w:rPr>
        <w:t>石家庄美丽城市建设目标指标表</w:t>
      </w:r>
    </w:p>
    <w:tbl>
      <w:tblPr>
        <w:tblStyle w:val="35"/>
        <w:tblW w:w="14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755"/>
        <w:gridCol w:w="817"/>
        <w:gridCol w:w="2960"/>
        <w:gridCol w:w="1296"/>
        <w:gridCol w:w="1416"/>
        <w:gridCol w:w="1416"/>
        <w:gridCol w:w="1416"/>
        <w:gridCol w:w="1208"/>
        <w:gridCol w:w="2740"/>
      </w:tblGrid>
      <w:tr w14:paraId="518D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blHeader/>
          <w:jc w:val="center"/>
        </w:trPr>
        <w:tc>
          <w:tcPr>
            <w:tcW w:w="817" w:type="dxa"/>
            <w:vAlign w:val="center"/>
          </w:tcPr>
          <w:p w14:paraId="03E36B99">
            <w:pPr>
              <w:snapToGrid w:val="0"/>
              <w:spacing w:after="0" w:line="240" w:lineRule="auto"/>
              <w:ind w:firstLine="0" w:firstLineChars="0"/>
              <w:jc w:val="center"/>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维度</w:t>
            </w:r>
          </w:p>
        </w:tc>
        <w:tc>
          <w:tcPr>
            <w:tcW w:w="0" w:type="auto"/>
            <w:vAlign w:val="center"/>
          </w:tcPr>
          <w:p w14:paraId="46A37214">
            <w:pPr>
              <w:snapToGrid w:val="0"/>
              <w:spacing w:after="0" w:line="240" w:lineRule="auto"/>
              <w:ind w:firstLine="0" w:firstLineChars="0"/>
              <w:jc w:val="center"/>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领域</w:t>
            </w:r>
          </w:p>
        </w:tc>
        <w:tc>
          <w:tcPr>
            <w:tcW w:w="817" w:type="dxa"/>
            <w:vAlign w:val="center"/>
          </w:tcPr>
          <w:p w14:paraId="075C4B41">
            <w:pPr>
              <w:snapToGrid w:val="0"/>
              <w:spacing w:after="0" w:line="240" w:lineRule="auto"/>
              <w:ind w:firstLine="0" w:firstLineChars="0"/>
              <w:jc w:val="center"/>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序号</w:t>
            </w:r>
          </w:p>
        </w:tc>
        <w:tc>
          <w:tcPr>
            <w:tcW w:w="0" w:type="auto"/>
            <w:vAlign w:val="center"/>
          </w:tcPr>
          <w:p w14:paraId="7ABFA06D">
            <w:pPr>
              <w:snapToGrid w:val="0"/>
              <w:spacing w:after="0" w:line="240" w:lineRule="auto"/>
              <w:ind w:firstLine="0" w:firstLineChars="0"/>
              <w:jc w:val="center"/>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指标名称</w:t>
            </w:r>
          </w:p>
        </w:tc>
        <w:tc>
          <w:tcPr>
            <w:tcW w:w="1296" w:type="dxa"/>
            <w:vAlign w:val="center"/>
          </w:tcPr>
          <w:p w14:paraId="247A6F0F">
            <w:pPr>
              <w:snapToGrid w:val="0"/>
              <w:spacing w:after="0" w:line="240" w:lineRule="auto"/>
              <w:ind w:firstLine="0" w:firstLineChars="0"/>
              <w:jc w:val="center"/>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202</w:t>
            </w:r>
            <w:r>
              <w:rPr>
                <w:rFonts w:hint="default" w:ascii="Times New Roman" w:hAnsi="Times New Roman" w:eastAsia="黑体" w:cs="Times New Roman"/>
                <w:sz w:val="24"/>
                <w:highlight w:val="none"/>
                <w:lang w:eastAsia="zh-CN"/>
              </w:rPr>
              <w:t>5</w:t>
            </w:r>
            <w:r>
              <w:rPr>
                <w:rFonts w:hint="default" w:ascii="Times New Roman" w:hAnsi="Times New Roman" w:eastAsia="黑体" w:cs="Times New Roman"/>
                <w:sz w:val="24"/>
                <w:highlight w:val="none"/>
              </w:rPr>
              <w:t>年</w:t>
            </w:r>
          </w:p>
        </w:tc>
        <w:tc>
          <w:tcPr>
            <w:tcW w:w="1416" w:type="dxa"/>
            <w:vAlign w:val="center"/>
          </w:tcPr>
          <w:p w14:paraId="080356DD">
            <w:pPr>
              <w:snapToGrid w:val="0"/>
              <w:spacing w:after="0" w:line="240" w:lineRule="auto"/>
              <w:ind w:firstLine="0" w:firstLineChars="0"/>
              <w:jc w:val="center"/>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2027年</w:t>
            </w:r>
          </w:p>
        </w:tc>
        <w:tc>
          <w:tcPr>
            <w:tcW w:w="1416" w:type="dxa"/>
            <w:vAlign w:val="center"/>
          </w:tcPr>
          <w:p w14:paraId="0328098C">
            <w:pPr>
              <w:snapToGrid w:val="0"/>
              <w:spacing w:after="0" w:line="240" w:lineRule="auto"/>
              <w:ind w:firstLine="0" w:firstLineChars="0"/>
              <w:jc w:val="center"/>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2030年</w:t>
            </w:r>
          </w:p>
        </w:tc>
        <w:tc>
          <w:tcPr>
            <w:tcW w:w="1416" w:type="dxa"/>
            <w:vAlign w:val="center"/>
          </w:tcPr>
          <w:p w14:paraId="3202E83F">
            <w:pPr>
              <w:snapToGrid w:val="0"/>
              <w:spacing w:after="0" w:line="240" w:lineRule="auto"/>
              <w:ind w:firstLine="0" w:firstLineChars="0"/>
              <w:jc w:val="center"/>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203</w:t>
            </w:r>
            <w:r>
              <w:rPr>
                <w:rFonts w:hint="default" w:ascii="Times New Roman" w:hAnsi="Times New Roman" w:eastAsia="黑体" w:cs="Times New Roman"/>
                <w:sz w:val="24"/>
                <w:highlight w:val="none"/>
                <w:lang w:eastAsia="zh-CN"/>
              </w:rPr>
              <w:t>5</w:t>
            </w:r>
            <w:r>
              <w:rPr>
                <w:rFonts w:hint="default" w:ascii="Times New Roman" w:hAnsi="Times New Roman" w:eastAsia="黑体" w:cs="Times New Roman"/>
                <w:sz w:val="24"/>
                <w:highlight w:val="none"/>
              </w:rPr>
              <w:t>年</w:t>
            </w:r>
          </w:p>
        </w:tc>
        <w:tc>
          <w:tcPr>
            <w:tcW w:w="1208" w:type="dxa"/>
            <w:vAlign w:val="center"/>
          </w:tcPr>
          <w:p w14:paraId="34948F0F">
            <w:pPr>
              <w:snapToGrid w:val="0"/>
              <w:spacing w:after="0" w:line="240" w:lineRule="auto"/>
              <w:ind w:firstLine="0" w:firstLineChars="0"/>
              <w:jc w:val="center"/>
              <w:rPr>
                <w:rFonts w:hint="default" w:ascii="Times New Roman" w:hAnsi="Times New Roman" w:eastAsia="黑体" w:cs="Times New Roman"/>
                <w:sz w:val="24"/>
                <w:highlight w:val="none"/>
                <w:lang w:eastAsia="zh-CN"/>
              </w:rPr>
            </w:pPr>
            <w:r>
              <w:rPr>
                <w:rFonts w:hint="default" w:ascii="Times New Roman" w:hAnsi="Times New Roman" w:eastAsia="黑体" w:cs="Times New Roman"/>
                <w:sz w:val="24"/>
                <w:highlight w:val="none"/>
                <w:lang w:eastAsia="zh-CN"/>
              </w:rPr>
              <w:t>指标属性</w:t>
            </w:r>
          </w:p>
        </w:tc>
        <w:tc>
          <w:tcPr>
            <w:tcW w:w="2740" w:type="dxa"/>
            <w:vAlign w:val="center"/>
          </w:tcPr>
          <w:p w14:paraId="4240F895">
            <w:pPr>
              <w:snapToGrid w:val="0"/>
              <w:spacing w:after="0" w:line="240" w:lineRule="auto"/>
              <w:ind w:firstLine="0" w:firstLineChars="0"/>
              <w:jc w:val="center"/>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责任单位</w:t>
            </w:r>
          </w:p>
        </w:tc>
      </w:tr>
      <w:tr w14:paraId="0591C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restart"/>
            <w:vAlign w:val="center"/>
          </w:tcPr>
          <w:p w14:paraId="33D90BBB">
            <w:pPr>
              <w:snapToGrid w:val="0"/>
              <w:spacing w:after="0" w:line="240" w:lineRule="auto"/>
              <w:ind w:firstLine="0" w:firstLineChars="0"/>
              <w:jc w:val="center"/>
              <w:rPr>
                <w:rFonts w:hint="default" w:ascii="Times New Roman" w:hAnsi="Times New Roman" w:cs="Times New Roman"/>
                <w:b/>
                <w:sz w:val="24"/>
                <w:highlight w:val="none"/>
              </w:rPr>
            </w:pPr>
            <w:r>
              <w:rPr>
                <w:rFonts w:hint="default" w:ascii="Times New Roman" w:hAnsi="Times New Roman" w:cs="Times New Roman"/>
                <w:b/>
                <w:sz w:val="24"/>
                <w:highlight w:val="none"/>
              </w:rPr>
              <w:t>绿色</w:t>
            </w:r>
          </w:p>
          <w:p w14:paraId="28A3E3B8">
            <w:pPr>
              <w:snapToGrid w:val="0"/>
              <w:spacing w:after="0" w:line="240" w:lineRule="auto"/>
              <w:ind w:firstLine="0" w:firstLineChars="0"/>
              <w:jc w:val="center"/>
              <w:rPr>
                <w:rFonts w:hint="default" w:ascii="Times New Roman" w:hAnsi="Times New Roman" w:cs="Times New Roman"/>
                <w:sz w:val="24"/>
                <w:highlight w:val="none"/>
              </w:rPr>
            </w:pPr>
            <w:r>
              <w:rPr>
                <w:rFonts w:hint="default" w:ascii="Times New Roman" w:hAnsi="Times New Roman" w:cs="Times New Roman"/>
                <w:b/>
                <w:sz w:val="24"/>
                <w:highlight w:val="none"/>
              </w:rPr>
              <w:t>低碳</w:t>
            </w:r>
          </w:p>
        </w:tc>
        <w:tc>
          <w:tcPr>
            <w:tcW w:w="0" w:type="auto"/>
            <w:vMerge w:val="restart"/>
            <w:vAlign w:val="center"/>
          </w:tcPr>
          <w:p w14:paraId="3263DB11">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绿色</w:t>
            </w:r>
          </w:p>
          <w:p w14:paraId="3BD7F11E">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生产</w:t>
            </w:r>
          </w:p>
        </w:tc>
        <w:tc>
          <w:tcPr>
            <w:tcW w:w="817" w:type="dxa"/>
            <w:vAlign w:val="center"/>
          </w:tcPr>
          <w:p w14:paraId="6649F2D9">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1</w:t>
            </w:r>
          </w:p>
        </w:tc>
        <w:tc>
          <w:tcPr>
            <w:tcW w:w="0" w:type="auto"/>
            <w:vAlign w:val="center"/>
          </w:tcPr>
          <w:p w14:paraId="3DF65EB3">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单位地区生产总值二氧化碳排放较2025年降低（%）</w:t>
            </w:r>
          </w:p>
        </w:tc>
        <w:tc>
          <w:tcPr>
            <w:tcW w:w="1296" w:type="dxa"/>
            <w:vAlign w:val="center"/>
          </w:tcPr>
          <w:p w14:paraId="2F9BDA23">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w:t>
            </w:r>
          </w:p>
        </w:tc>
        <w:tc>
          <w:tcPr>
            <w:tcW w:w="1416" w:type="dxa"/>
            <w:vAlign w:val="center"/>
          </w:tcPr>
          <w:p w14:paraId="090C33C8">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完成省级下达指标</w:t>
            </w:r>
          </w:p>
        </w:tc>
        <w:tc>
          <w:tcPr>
            <w:tcW w:w="1416" w:type="dxa"/>
            <w:vAlign w:val="center"/>
          </w:tcPr>
          <w:p w14:paraId="342B2293">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完成省级下达指标</w:t>
            </w:r>
          </w:p>
        </w:tc>
        <w:tc>
          <w:tcPr>
            <w:tcW w:w="1416" w:type="dxa"/>
            <w:vAlign w:val="center"/>
          </w:tcPr>
          <w:p w14:paraId="75DA2D9A">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完成省级下达指标</w:t>
            </w:r>
          </w:p>
        </w:tc>
        <w:tc>
          <w:tcPr>
            <w:tcW w:w="1208" w:type="dxa"/>
            <w:vAlign w:val="center"/>
          </w:tcPr>
          <w:p w14:paraId="4E1462BB">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约束性</w:t>
            </w:r>
          </w:p>
        </w:tc>
        <w:tc>
          <w:tcPr>
            <w:tcW w:w="2740" w:type="dxa"/>
            <w:vAlign w:val="center"/>
          </w:tcPr>
          <w:p w14:paraId="7F1C8E73">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市发展和改革委员会</w:t>
            </w:r>
          </w:p>
        </w:tc>
      </w:tr>
      <w:tr w14:paraId="7474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45BB814F">
            <w:pPr>
              <w:snapToGrid w:val="0"/>
              <w:spacing w:after="0" w:line="240" w:lineRule="auto"/>
              <w:ind w:firstLine="0" w:firstLineChars="0"/>
              <w:jc w:val="center"/>
              <w:rPr>
                <w:rFonts w:hint="default" w:ascii="Times New Roman" w:hAnsi="Times New Roman" w:cs="Times New Roman"/>
                <w:sz w:val="24"/>
                <w:highlight w:val="none"/>
              </w:rPr>
            </w:pPr>
          </w:p>
        </w:tc>
        <w:tc>
          <w:tcPr>
            <w:tcW w:w="0" w:type="auto"/>
            <w:vMerge w:val="continue"/>
            <w:vAlign w:val="center"/>
          </w:tcPr>
          <w:p w14:paraId="455C842C">
            <w:pPr>
              <w:snapToGrid w:val="0"/>
              <w:spacing w:after="0" w:line="360" w:lineRule="exact"/>
              <w:ind w:firstLine="0" w:firstLineChars="0"/>
              <w:jc w:val="center"/>
              <w:rPr>
                <w:rFonts w:hint="default" w:ascii="Times New Roman" w:hAnsi="Times New Roman" w:cs="Times New Roman"/>
                <w:sz w:val="24"/>
                <w:highlight w:val="none"/>
              </w:rPr>
            </w:pPr>
          </w:p>
        </w:tc>
        <w:tc>
          <w:tcPr>
            <w:tcW w:w="817" w:type="dxa"/>
            <w:vAlign w:val="center"/>
          </w:tcPr>
          <w:p w14:paraId="094768F9">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2</w:t>
            </w:r>
          </w:p>
        </w:tc>
        <w:tc>
          <w:tcPr>
            <w:tcW w:w="0" w:type="auto"/>
            <w:vAlign w:val="center"/>
          </w:tcPr>
          <w:p w14:paraId="1392DBE5">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单位地区生产总值用水量较2025年下降（%）</w:t>
            </w:r>
          </w:p>
        </w:tc>
        <w:tc>
          <w:tcPr>
            <w:tcW w:w="1296" w:type="dxa"/>
            <w:vAlign w:val="center"/>
          </w:tcPr>
          <w:p w14:paraId="040AA5F4">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w:t>
            </w:r>
          </w:p>
        </w:tc>
        <w:tc>
          <w:tcPr>
            <w:tcW w:w="1416" w:type="dxa"/>
            <w:vAlign w:val="center"/>
          </w:tcPr>
          <w:p w14:paraId="278D393D">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完成省级下达指标</w:t>
            </w:r>
          </w:p>
        </w:tc>
        <w:tc>
          <w:tcPr>
            <w:tcW w:w="1416" w:type="dxa"/>
            <w:vAlign w:val="center"/>
          </w:tcPr>
          <w:p w14:paraId="6FD9AA74">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完成省级下达指标</w:t>
            </w:r>
          </w:p>
        </w:tc>
        <w:tc>
          <w:tcPr>
            <w:tcW w:w="1416" w:type="dxa"/>
            <w:vAlign w:val="center"/>
          </w:tcPr>
          <w:p w14:paraId="0C6D276B">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完成省级下达指标</w:t>
            </w:r>
          </w:p>
        </w:tc>
        <w:tc>
          <w:tcPr>
            <w:tcW w:w="1208" w:type="dxa"/>
            <w:vAlign w:val="center"/>
          </w:tcPr>
          <w:p w14:paraId="528DF056">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预期性</w:t>
            </w:r>
          </w:p>
        </w:tc>
        <w:tc>
          <w:tcPr>
            <w:tcW w:w="2740" w:type="dxa"/>
            <w:vAlign w:val="center"/>
          </w:tcPr>
          <w:p w14:paraId="2A4A037D">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市水利局</w:t>
            </w:r>
          </w:p>
        </w:tc>
      </w:tr>
      <w:tr w14:paraId="5F00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35D0E0AC">
            <w:pPr>
              <w:snapToGrid w:val="0"/>
              <w:spacing w:after="0" w:line="240" w:lineRule="auto"/>
              <w:ind w:firstLine="0" w:firstLineChars="0"/>
              <w:jc w:val="center"/>
              <w:rPr>
                <w:rFonts w:hint="default" w:ascii="Times New Roman" w:hAnsi="Times New Roman" w:cs="Times New Roman"/>
                <w:sz w:val="24"/>
                <w:highlight w:val="none"/>
              </w:rPr>
            </w:pPr>
          </w:p>
        </w:tc>
        <w:tc>
          <w:tcPr>
            <w:tcW w:w="0" w:type="auto"/>
            <w:vMerge w:val="continue"/>
            <w:vAlign w:val="center"/>
          </w:tcPr>
          <w:p w14:paraId="2947F1A4">
            <w:pPr>
              <w:snapToGrid w:val="0"/>
              <w:spacing w:after="0" w:line="360" w:lineRule="exact"/>
              <w:ind w:firstLine="0" w:firstLineChars="0"/>
              <w:jc w:val="center"/>
              <w:rPr>
                <w:rFonts w:hint="default" w:ascii="Times New Roman" w:hAnsi="Times New Roman" w:cs="Times New Roman"/>
                <w:sz w:val="24"/>
                <w:highlight w:val="none"/>
              </w:rPr>
            </w:pPr>
          </w:p>
        </w:tc>
        <w:tc>
          <w:tcPr>
            <w:tcW w:w="817" w:type="dxa"/>
            <w:vAlign w:val="center"/>
          </w:tcPr>
          <w:p w14:paraId="480DDB2C">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3</w:t>
            </w:r>
          </w:p>
        </w:tc>
        <w:tc>
          <w:tcPr>
            <w:tcW w:w="0" w:type="auto"/>
            <w:vAlign w:val="center"/>
          </w:tcPr>
          <w:p w14:paraId="569E0279">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非化石能源占能源消费总量比重（%）</w:t>
            </w:r>
          </w:p>
        </w:tc>
        <w:tc>
          <w:tcPr>
            <w:tcW w:w="1296" w:type="dxa"/>
            <w:vAlign w:val="center"/>
          </w:tcPr>
          <w:p w14:paraId="06D1AD7C">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13</w:t>
            </w:r>
          </w:p>
        </w:tc>
        <w:tc>
          <w:tcPr>
            <w:tcW w:w="1416" w:type="dxa"/>
            <w:vAlign w:val="center"/>
          </w:tcPr>
          <w:p w14:paraId="34F91323">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≥15</w:t>
            </w:r>
          </w:p>
        </w:tc>
        <w:tc>
          <w:tcPr>
            <w:tcW w:w="1416" w:type="dxa"/>
            <w:vAlign w:val="center"/>
          </w:tcPr>
          <w:p w14:paraId="525FFC2E">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≥20</w:t>
            </w:r>
          </w:p>
        </w:tc>
        <w:tc>
          <w:tcPr>
            <w:tcW w:w="1416" w:type="dxa"/>
            <w:vAlign w:val="center"/>
          </w:tcPr>
          <w:p w14:paraId="475A6214">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力争达到25</w:t>
            </w:r>
          </w:p>
        </w:tc>
        <w:tc>
          <w:tcPr>
            <w:tcW w:w="1208" w:type="dxa"/>
            <w:vAlign w:val="center"/>
          </w:tcPr>
          <w:p w14:paraId="71716C49">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约束性</w:t>
            </w:r>
          </w:p>
        </w:tc>
        <w:tc>
          <w:tcPr>
            <w:tcW w:w="2740" w:type="dxa"/>
            <w:vAlign w:val="center"/>
          </w:tcPr>
          <w:p w14:paraId="27541040">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市发展和改革委员会</w:t>
            </w:r>
          </w:p>
        </w:tc>
      </w:tr>
      <w:tr w14:paraId="1F69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2674F08C">
            <w:pPr>
              <w:snapToGrid w:val="0"/>
              <w:spacing w:after="0" w:line="240" w:lineRule="auto"/>
              <w:ind w:firstLine="0" w:firstLineChars="0"/>
              <w:jc w:val="center"/>
              <w:rPr>
                <w:rFonts w:hint="default" w:ascii="Times New Roman" w:hAnsi="Times New Roman" w:cs="Times New Roman"/>
                <w:sz w:val="24"/>
                <w:highlight w:val="none"/>
              </w:rPr>
            </w:pPr>
          </w:p>
        </w:tc>
        <w:tc>
          <w:tcPr>
            <w:tcW w:w="0" w:type="auto"/>
            <w:vMerge w:val="continue"/>
            <w:vAlign w:val="center"/>
          </w:tcPr>
          <w:p w14:paraId="6F3D000D">
            <w:pPr>
              <w:snapToGrid w:val="0"/>
              <w:spacing w:after="0" w:line="360" w:lineRule="exact"/>
              <w:ind w:firstLine="0" w:firstLineChars="0"/>
              <w:jc w:val="center"/>
              <w:rPr>
                <w:rFonts w:hint="default" w:ascii="Times New Roman" w:hAnsi="Times New Roman" w:cs="Times New Roman"/>
                <w:sz w:val="24"/>
                <w:highlight w:val="none"/>
              </w:rPr>
            </w:pPr>
          </w:p>
        </w:tc>
        <w:tc>
          <w:tcPr>
            <w:tcW w:w="817" w:type="dxa"/>
            <w:vAlign w:val="center"/>
          </w:tcPr>
          <w:p w14:paraId="1237E0B8">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4</w:t>
            </w:r>
          </w:p>
        </w:tc>
        <w:tc>
          <w:tcPr>
            <w:tcW w:w="0" w:type="auto"/>
            <w:vAlign w:val="center"/>
          </w:tcPr>
          <w:p w14:paraId="04B4BF33">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清洁能源装机容量占电力总装机容量比重（%）</w:t>
            </w:r>
          </w:p>
        </w:tc>
        <w:tc>
          <w:tcPr>
            <w:tcW w:w="1296" w:type="dxa"/>
            <w:vAlign w:val="center"/>
          </w:tcPr>
          <w:p w14:paraId="2517BE87">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54.81</w:t>
            </w:r>
          </w:p>
        </w:tc>
        <w:tc>
          <w:tcPr>
            <w:tcW w:w="1416" w:type="dxa"/>
            <w:vAlign w:val="center"/>
          </w:tcPr>
          <w:p w14:paraId="1AF500F6">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57</w:t>
            </w:r>
          </w:p>
        </w:tc>
        <w:tc>
          <w:tcPr>
            <w:tcW w:w="1416" w:type="dxa"/>
            <w:vAlign w:val="center"/>
          </w:tcPr>
          <w:p w14:paraId="44328E85">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58</w:t>
            </w:r>
          </w:p>
        </w:tc>
        <w:tc>
          <w:tcPr>
            <w:tcW w:w="1416" w:type="dxa"/>
            <w:vAlign w:val="center"/>
          </w:tcPr>
          <w:p w14:paraId="62926426">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待定</w:t>
            </w:r>
          </w:p>
        </w:tc>
        <w:tc>
          <w:tcPr>
            <w:tcW w:w="1208" w:type="dxa"/>
            <w:vAlign w:val="center"/>
          </w:tcPr>
          <w:p w14:paraId="2518EBDC">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预期性</w:t>
            </w:r>
          </w:p>
        </w:tc>
        <w:tc>
          <w:tcPr>
            <w:tcW w:w="2740" w:type="dxa"/>
            <w:vAlign w:val="center"/>
          </w:tcPr>
          <w:p w14:paraId="481D1988">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市发展和改革委员会</w:t>
            </w:r>
          </w:p>
        </w:tc>
      </w:tr>
      <w:tr w14:paraId="0EC4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28F892E0">
            <w:pPr>
              <w:snapToGrid w:val="0"/>
              <w:spacing w:after="0" w:line="240" w:lineRule="auto"/>
              <w:ind w:firstLine="0" w:firstLineChars="0"/>
              <w:jc w:val="center"/>
              <w:rPr>
                <w:rFonts w:hint="default" w:ascii="Times New Roman" w:hAnsi="Times New Roman" w:cs="Times New Roman"/>
                <w:sz w:val="24"/>
                <w:highlight w:val="none"/>
              </w:rPr>
            </w:pPr>
          </w:p>
        </w:tc>
        <w:tc>
          <w:tcPr>
            <w:tcW w:w="0" w:type="auto"/>
            <w:vMerge w:val="restart"/>
            <w:vAlign w:val="center"/>
          </w:tcPr>
          <w:p w14:paraId="6327688D">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低碳</w:t>
            </w:r>
          </w:p>
          <w:p w14:paraId="79E2C681">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建设</w:t>
            </w:r>
          </w:p>
        </w:tc>
        <w:tc>
          <w:tcPr>
            <w:tcW w:w="817" w:type="dxa"/>
            <w:vAlign w:val="center"/>
          </w:tcPr>
          <w:p w14:paraId="0BE6488A">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5</w:t>
            </w:r>
          </w:p>
        </w:tc>
        <w:tc>
          <w:tcPr>
            <w:tcW w:w="0" w:type="auto"/>
            <w:vAlign w:val="center"/>
          </w:tcPr>
          <w:p w14:paraId="1C798B69">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公共充电桩城区覆盖率（%）</w:t>
            </w:r>
          </w:p>
        </w:tc>
        <w:tc>
          <w:tcPr>
            <w:tcW w:w="1296" w:type="dxa"/>
            <w:vAlign w:val="center"/>
          </w:tcPr>
          <w:p w14:paraId="7DE5F43D">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w:t>
            </w:r>
          </w:p>
        </w:tc>
        <w:tc>
          <w:tcPr>
            <w:tcW w:w="1416" w:type="dxa"/>
            <w:vAlign w:val="center"/>
          </w:tcPr>
          <w:p w14:paraId="79D7B1BB">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完成省级下达指标</w:t>
            </w:r>
          </w:p>
        </w:tc>
        <w:tc>
          <w:tcPr>
            <w:tcW w:w="1416" w:type="dxa"/>
            <w:vAlign w:val="center"/>
          </w:tcPr>
          <w:p w14:paraId="62CA5096">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完成省级下达指标</w:t>
            </w:r>
          </w:p>
        </w:tc>
        <w:tc>
          <w:tcPr>
            <w:tcW w:w="1416" w:type="dxa"/>
            <w:vAlign w:val="center"/>
          </w:tcPr>
          <w:p w14:paraId="06827BDD">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待定</w:t>
            </w:r>
          </w:p>
        </w:tc>
        <w:tc>
          <w:tcPr>
            <w:tcW w:w="1208" w:type="dxa"/>
            <w:vAlign w:val="center"/>
          </w:tcPr>
          <w:p w14:paraId="56D679F1">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预期性</w:t>
            </w:r>
          </w:p>
        </w:tc>
        <w:tc>
          <w:tcPr>
            <w:tcW w:w="2740" w:type="dxa"/>
            <w:vAlign w:val="center"/>
          </w:tcPr>
          <w:p w14:paraId="7D10F647">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市发展和改革委员会</w:t>
            </w:r>
          </w:p>
        </w:tc>
      </w:tr>
      <w:tr w14:paraId="205B5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358E951C">
            <w:pPr>
              <w:snapToGrid w:val="0"/>
              <w:spacing w:after="0" w:line="240" w:lineRule="auto"/>
              <w:ind w:firstLine="0" w:firstLineChars="0"/>
              <w:jc w:val="center"/>
              <w:rPr>
                <w:rFonts w:hint="default" w:ascii="Times New Roman" w:hAnsi="Times New Roman" w:cs="Times New Roman"/>
                <w:sz w:val="24"/>
                <w:highlight w:val="none"/>
              </w:rPr>
            </w:pPr>
          </w:p>
        </w:tc>
        <w:tc>
          <w:tcPr>
            <w:tcW w:w="0" w:type="auto"/>
            <w:vMerge w:val="continue"/>
            <w:vAlign w:val="center"/>
          </w:tcPr>
          <w:p w14:paraId="39FB140F">
            <w:pPr>
              <w:snapToGrid w:val="0"/>
              <w:spacing w:after="0" w:line="360" w:lineRule="exact"/>
              <w:ind w:firstLine="0" w:firstLineChars="0"/>
              <w:jc w:val="center"/>
              <w:rPr>
                <w:rFonts w:hint="default" w:ascii="Times New Roman" w:hAnsi="Times New Roman" w:cs="Times New Roman"/>
                <w:sz w:val="24"/>
                <w:highlight w:val="none"/>
              </w:rPr>
            </w:pPr>
          </w:p>
        </w:tc>
        <w:tc>
          <w:tcPr>
            <w:tcW w:w="817" w:type="dxa"/>
            <w:vAlign w:val="center"/>
          </w:tcPr>
          <w:p w14:paraId="703D68D3">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6</w:t>
            </w:r>
          </w:p>
        </w:tc>
        <w:tc>
          <w:tcPr>
            <w:tcW w:w="0" w:type="auto"/>
            <w:vAlign w:val="center"/>
          </w:tcPr>
          <w:p w14:paraId="7EEB5DA3">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城镇新建建筑中星级绿色建筑面积占比（%）</w:t>
            </w:r>
          </w:p>
        </w:tc>
        <w:tc>
          <w:tcPr>
            <w:tcW w:w="1296" w:type="dxa"/>
            <w:vAlign w:val="center"/>
          </w:tcPr>
          <w:p w14:paraId="26742124">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76.5</w:t>
            </w:r>
          </w:p>
        </w:tc>
        <w:tc>
          <w:tcPr>
            <w:tcW w:w="1416" w:type="dxa"/>
            <w:vAlign w:val="center"/>
          </w:tcPr>
          <w:p w14:paraId="50281D59">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100</w:t>
            </w:r>
          </w:p>
        </w:tc>
        <w:tc>
          <w:tcPr>
            <w:tcW w:w="1416" w:type="dxa"/>
            <w:vAlign w:val="center"/>
          </w:tcPr>
          <w:p w14:paraId="2DFAACCF">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100</w:t>
            </w:r>
          </w:p>
        </w:tc>
        <w:tc>
          <w:tcPr>
            <w:tcW w:w="1416" w:type="dxa"/>
            <w:vAlign w:val="center"/>
          </w:tcPr>
          <w:p w14:paraId="04C45400">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100</w:t>
            </w:r>
          </w:p>
        </w:tc>
        <w:tc>
          <w:tcPr>
            <w:tcW w:w="1208" w:type="dxa"/>
            <w:vAlign w:val="center"/>
          </w:tcPr>
          <w:p w14:paraId="7AD72C75">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预期性</w:t>
            </w:r>
          </w:p>
        </w:tc>
        <w:tc>
          <w:tcPr>
            <w:tcW w:w="2740" w:type="dxa"/>
            <w:vAlign w:val="center"/>
          </w:tcPr>
          <w:p w14:paraId="2BD18801">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市住房和城乡建设局</w:t>
            </w:r>
          </w:p>
        </w:tc>
      </w:tr>
      <w:tr w14:paraId="313E8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6C77730B">
            <w:pPr>
              <w:snapToGrid w:val="0"/>
              <w:spacing w:after="0" w:line="240" w:lineRule="auto"/>
              <w:ind w:firstLine="0" w:firstLineChars="0"/>
              <w:jc w:val="center"/>
              <w:rPr>
                <w:rFonts w:hint="default" w:ascii="Times New Roman" w:hAnsi="Times New Roman" w:cs="Times New Roman"/>
                <w:sz w:val="24"/>
                <w:highlight w:val="none"/>
              </w:rPr>
            </w:pPr>
          </w:p>
        </w:tc>
        <w:tc>
          <w:tcPr>
            <w:tcW w:w="0" w:type="auto"/>
            <w:vMerge w:val="restart"/>
            <w:vAlign w:val="center"/>
          </w:tcPr>
          <w:p w14:paraId="3D856DF3">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绿色</w:t>
            </w:r>
          </w:p>
          <w:p w14:paraId="42D7CDFB">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生活</w:t>
            </w:r>
          </w:p>
        </w:tc>
        <w:tc>
          <w:tcPr>
            <w:tcW w:w="817" w:type="dxa"/>
            <w:vAlign w:val="center"/>
          </w:tcPr>
          <w:p w14:paraId="6C05F3B1">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7</w:t>
            </w:r>
          </w:p>
        </w:tc>
        <w:tc>
          <w:tcPr>
            <w:tcW w:w="0" w:type="auto"/>
            <w:vAlign w:val="center"/>
          </w:tcPr>
          <w:p w14:paraId="3B62C184">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主城区新能源公交车和出租车（含网约车）占比（%）</w:t>
            </w:r>
          </w:p>
        </w:tc>
        <w:tc>
          <w:tcPr>
            <w:tcW w:w="1296" w:type="dxa"/>
            <w:vAlign w:val="center"/>
          </w:tcPr>
          <w:p w14:paraId="56A6B44D">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85.6</w:t>
            </w:r>
          </w:p>
        </w:tc>
        <w:tc>
          <w:tcPr>
            <w:tcW w:w="1416" w:type="dxa"/>
            <w:vAlign w:val="center"/>
          </w:tcPr>
          <w:p w14:paraId="545FD586">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100</w:t>
            </w:r>
          </w:p>
        </w:tc>
        <w:tc>
          <w:tcPr>
            <w:tcW w:w="1416" w:type="dxa"/>
            <w:vAlign w:val="center"/>
          </w:tcPr>
          <w:p w14:paraId="7B8F5090">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100</w:t>
            </w:r>
          </w:p>
        </w:tc>
        <w:tc>
          <w:tcPr>
            <w:tcW w:w="1416" w:type="dxa"/>
            <w:vAlign w:val="center"/>
          </w:tcPr>
          <w:p w14:paraId="4412B12E">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100</w:t>
            </w:r>
          </w:p>
        </w:tc>
        <w:tc>
          <w:tcPr>
            <w:tcW w:w="1208" w:type="dxa"/>
            <w:vAlign w:val="center"/>
          </w:tcPr>
          <w:p w14:paraId="1C23F7C5">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预期性</w:t>
            </w:r>
          </w:p>
        </w:tc>
        <w:tc>
          <w:tcPr>
            <w:tcW w:w="2740" w:type="dxa"/>
            <w:vAlign w:val="center"/>
          </w:tcPr>
          <w:p w14:paraId="2AE5140A">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市交通运输局</w:t>
            </w:r>
          </w:p>
        </w:tc>
      </w:tr>
      <w:tr w14:paraId="22DF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466BE7D3">
            <w:pPr>
              <w:snapToGrid w:val="0"/>
              <w:spacing w:after="0" w:line="240" w:lineRule="auto"/>
              <w:ind w:firstLine="0" w:firstLineChars="0"/>
              <w:jc w:val="center"/>
              <w:rPr>
                <w:rFonts w:hint="default" w:ascii="Times New Roman" w:hAnsi="Times New Roman" w:cs="Times New Roman"/>
                <w:sz w:val="24"/>
                <w:highlight w:val="none"/>
              </w:rPr>
            </w:pPr>
          </w:p>
        </w:tc>
        <w:tc>
          <w:tcPr>
            <w:tcW w:w="0" w:type="auto"/>
            <w:vMerge w:val="continue"/>
            <w:vAlign w:val="center"/>
          </w:tcPr>
          <w:p w14:paraId="34A95E66">
            <w:pPr>
              <w:snapToGrid w:val="0"/>
              <w:spacing w:after="0" w:line="360" w:lineRule="exact"/>
              <w:ind w:firstLine="0" w:firstLineChars="0"/>
              <w:jc w:val="center"/>
              <w:rPr>
                <w:rFonts w:hint="default" w:ascii="Times New Roman" w:hAnsi="Times New Roman" w:cs="Times New Roman"/>
                <w:sz w:val="24"/>
                <w:highlight w:val="none"/>
              </w:rPr>
            </w:pPr>
          </w:p>
        </w:tc>
        <w:tc>
          <w:tcPr>
            <w:tcW w:w="817" w:type="dxa"/>
            <w:vAlign w:val="center"/>
          </w:tcPr>
          <w:p w14:paraId="6097333D">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8</w:t>
            </w:r>
          </w:p>
        </w:tc>
        <w:tc>
          <w:tcPr>
            <w:tcW w:w="0" w:type="auto"/>
            <w:vAlign w:val="center"/>
          </w:tcPr>
          <w:p w14:paraId="2395903E">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绿色出行比例（%）（中心城区）</w:t>
            </w:r>
          </w:p>
        </w:tc>
        <w:tc>
          <w:tcPr>
            <w:tcW w:w="1296" w:type="dxa"/>
            <w:vAlign w:val="center"/>
          </w:tcPr>
          <w:p w14:paraId="3BCB4F46">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80</w:t>
            </w:r>
          </w:p>
        </w:tc>
        <w:tc>
          <w:tcPr>
            <w:tcW w:w="1416" w:type="dxa"/>
            <w:vAlign w:val="center"/>
          </w:tcPr>
          <w:p w14:paraId="01AD057A">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83</w:t>
            </w:r>
          </w:p>
        </w:tc>
        <w:tc>
          <w:tcPr>
            <w:tcW w:w="1416" w:type="dxa"/>
            <w:vAlign w:val="center"/>
          </w:tcPr>
          <w:p w14:paraId="65B7D303">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85</w:t>
            </w:r>
          </w:p>
        </w:tc>
        <w:tc>
          <w:tcPr>
            <w:tcW w:w="1416" w:type="dxa"/>
            <w:vAlign w:val="center"/>
          </w:tcPr>
          <w:p w14:paraId="5827150C">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待定</w:t>
            </w:r>
          </w:p>
        </w:tc>
        <w:tc>
          <w:tcPr>
            <w:tcW w:w="1208" w:type="dxa"/>
            <w:vAlign w:val="center"/>
          </w:tcPr>
          <w:p w14:paraId="6E5F60F9">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预期性</w:t>
            </w:r>
          </w:p>
        </w:tc>
        <w:tc>
          <w:tcPr>
            <w:tcW w:w="2740" w:type="dxa"/>
            <w:vAlign w:val="center"/>
          </w:tcPr>
          <w:p w14:paraId="5C1814B6">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市交通运输局</w:t>
            </w:r>
          </w:p>
        </w:tc>
      </w:tr>
      <w:tr w14:paraId="6BFA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restart"/>
            <w:vAlign w:val="center"/>
          </w:tcPr>
          <w:p w14:paraId="6F43FD16">
            <w:pPr>
              <w:snapToGrid w:val="0"/>
              <w:spacing w:after="0" w:line="240" w:lineRule="auto"/>
              <w:ind w:firstLine="0" w:firstLineChars="0"/>
              <w:jc w:val="center"/>
              <w:rPr>
                <w:rFonts w:hint="default" w:ascii="Times New Roman" w:hAnsi="Times New Roman" w:cs="Times New Roman"/>
                <w:b/>
                <w:sz w:val="24"/>
                <w:highlight w:val="none"/>
              </w:rPr>
            </w:pPr>
            <w:r>
              <w:rPr>
                <w:rFonts w:hint="default" w:ascii="Times New Roman" w:hAnsi="Times New Roman" w:cs="Times New Roman"/>
                <w:b/>
                <w:sz w:val="24"/>
                <w:highlight w:val="none"/>
              </w:rPr>
              <w:t>环境</w:t>
            </w:r>
          </w:p>
          <w:p w14:paraId="1E512F0E">
            <w:pPr>
              <w:snapToGrid w:val="0"/>
              <w:spacing w:after="0" w:line="240" w:lineRule="auto"/>
              <w:ind w:firstLine="0" w:firstLineChars="0"/>
              <w:jc w:val="center"/>
              <w:rPr>
                <w:rFonts w:hint="default" w:ascii="Times New Roman" w:hAnsi="Times New Roman" w:cs="Times New Roman"/>
                <w:sz w:val="24"/>
                <w:highlight w:val="none"/>
              </w:rPr>
            </w:pPr>
            <w:r>
              <w:rPr>
                <w:rFonts w:hint="default" w:ascii="Times New Roman" w:hAnsi="Times New Roman" w:cs="Times New Roman"/>
                <w:b/>
                <w:sz w:val="24"/>
                <w:highlight w:val="none"/>
              </w:rPr>
              <w:t>优美</w:t>
            </w:r>
          </w:p>
        </w:tc>
        <w:tc>
          <w:tcPr>
            <w:tcW w:w="0" w:type="auto"/>
            <w:vMerge w:val="restart"/>
            <w:vAlign w:val="center"/>
          </w:tcPr>
          <w:p w14:paraId="2B86DB84">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空气</w:t>
            </w:r>
          </w:p>
          <w:p w14:paraId="6FA02FF7">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清新</w:t>
            </w:r>
          </w:p>
        </w:tc>
        <w:tc>
          <w:tcPr>
            <w:tcW w:w="817" w:type="dxa"/>
            <w:vAlign w:val="center"/>
          </w:tcPr>
          <w:p w14:paraId="6F5D0ED7">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9</w:t>
            </w:r>
          </w:p>
        </w:tc>
        <w:tc>
          <w:tcPr>
            <w:tcW w:w="0" w:type="auto"/>
            <w:vAlign w:val="center"/>
          </w:tcPr>
          <w:p w14:paraId="600F2E89">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城市PM</w:t>
            </w:r>
            <w:r>
              <w:rPr>
                <w:rFonts w:hint="default" w:ascii="Times New Roman" w:hAnsi="Times New Roman" w:cs="Times New Roman"/>
                <w:sz w:val="24"/>
                <w:highlight w:val="none"/>
                <w:vertAlign w:val="subscript"/>
                <w:lang w:eastAsia="zh-CN"/>
              </w:rPr>
              <w:t>2.5</w:t>
            </w:r>
            <w:r>
              <w:rPr>
                <w:rFonts w:hint="default" w:ascii="Times New Roman" w:hAnsi="Times New Roman" w:cs="Times New Roman"/>
                <w:sz w:val="24"/>
                <w:highlight w:val="none"/>
                <w:lang w:eastAsia="zh-CN"/>
              </w:rPr>
              <w:t>浓度（微克/立方米）</w:t>
            </w:r>
          </w:p>
        </w:tc>
        <w:tc>
          <w:tcPr>
            <w:tcW w:w="1296" w:type="dxa"/>
            <w:vAlign w:val="center"/>
          </w:tcPr>
          <w:p w14:paraId="41793548">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37</w:t>
            </w:r>
          </w:p>
        </w:tc>
        <w:tc>
          <w:tcPr>
            <w:tcW w:w="1416" w:type="dxa"/>
            <w:vAlign w:val="center"/>
          </w:tcPr>
          <w:p w14:paraId="61FDDA21">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≤40</w:t>
            </w:r>
          </w:p>
        </w:tc>
        <w:tc>
          <w:tcPr>
            <w:tcW w:w="1416" w:type="dxa"/>
            <w:vAlign w:val="center"/>
          </w:tcPr>
          <w:p w14:paraId="62A60F0F">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≤35</w:t>
            </w:r>
          </w:p>
        </w:tc>
        <w:tc>
          <w:tcPr>
            <w:tcW w:w="1416" w:type="dxa"/>
            <w:vAlign w:val="center"/>
          </w:tcPr>
          <w:p w14:paraId="179CA1F2">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≤27</w:t>
            </w:r>
          </w:p>
        </w:tc>
        <w:tc>
          <w:tcPr>
            <w:tcW w:w="1208" w:type="dxa"/>
            <w:vAlign w:val="center"/>
          </w:tcPr>
          <w:p w14:paraId="6EFD7F2D">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约束性</w:t>
            </w:r>
          </w:p>
        </w:tc>
        <w:tc>
          <w:tcPr>
            <w:tcW w:w="2740" w:type="dxa"/>
            <w:vAlign w:val="center"/>
          </w:tcPr>
          <w:p w14:paraId="0E04DF61">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市生态环境局</w:t>
            </w:r>
          </w:p>
        </w:tc>
      </w:tr>
      <w:tr w14:paraId="1ED0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7D6D7E7D">
            <w:pPr>
              <w:snapToGrid w:val="0"/>
              <w:spacing w:after="0" w:line="240" w:lineRule="auto"/>
              <w:ind w:firstLine="0" w:firstLineChars="0"/>
              <w:jc w:val="center"/>
              <w:rPr>
                <w:rFonts w:hint="default" w:ascii="Times New Roman" w:hAnsi="Times New Roman" w:cs="Times New Roman"/>
                <w:sz w:val="24"/>
                <w:highlight w:val="none"/>
              </w:rPr>
            </w:pPr>
          </w:p>
        </w:tc>
        <w:tc>
          <w:tcPr>
            <w:tcW w:w="0" w:type="auto"/>
            <w:vMerge w:val="continue"/>
            <w:vAlign w:val="center"/>
          </w:tcPr>
          <w:p w14:paraId="6C9A8967">
            <w:pPr>
              <w:snapToGrid w:val="0"/>
              <w:spacing w:after="0" w:line="360" w:lineRule="exact"/>
              <w:ind w:firstLine="0" w:firstLineChars="0"/>
              <w:jc w:val="center"/>
              <w:rPr>
                <w:rFonts w:hint="default" w:ascii="Times New Roman" w:hAnsi="Times New Roman" w:cs="Times New Roman"/>
                <w:sz w:val="24"/>
                <w:highlight w:val="none"/>
              </w:rPr>
            </w:pPr>
          </w:p>
        </w:tc>
        <w:tc>
          <w:tcPr>
            <w:tcW w:w="817" w:type="dxa"/>
            <w:vAlign w:val="center"/>
          </w:tcPr>
          <w:p w14:paraId="7F962854">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10</w:t>
            </w:r>
          </w:p>
        </w:tc>
        <w:tc>
          <w:tcPr>
            <w:tcW w:w="0" w:type="auto"/>
            <w:vAlign w:val="center"/>
          </w:tcPr>
          <w:p w14:paraId="3E961EB8">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空气质量优良天数比率（%）</w:t>
            </w:r>
          </w:p>
        </w:tc>
        <w:tc>
          <w:tcPr>
            <w:tcW w:w="1296" w:type="dxa"/>
            <w:vAlign w:val="center"/>
          </w:tcPr>
          <w:p w14:paraId="20254A98">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71.2</w:t>
            </w:r>
          </w:p>
        </w:tc>
        <w:tc>
          <w:tcPr>
            <w:tcW w:w="1416" w:type="dxa"/>
            <w:vAlign w:val="center"/>
          </w:tcPr>
          <w:p w14:paraId="51AB6336">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≥70</w:t>
            </w:r>
          </w:p>
        </w:tc>
        <w:tc>
          <w:tcPr>
            <w:tcW w:w="1416" w:type="dxa"/>
            <w:vAlign w:val="center"/>
          </w:tcPr>
          <w:p w14:paraId="3709FF16">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≥75</w:t>
            </w:r>
          </w:p>
        </w:tc>
        <w:tc>
          <w:tcPr>
            <w:tcW w:w="1416" w:type="dxa"/>
            <w:vAlign w:val="center"/>
          </w:tcPr>
          <w:p w14:paraId="158BBB1F">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≥85</w:t>
            </w:r>
          </w:p>
        </w:tc>
        <w:tc>
          <w:tcPr>
            <w:tcW w:w="1208" w:type="dxa"/>
            <w:vAlign w:val="center"/>
          </w:tcPr>
          <w:p w14:paraId="2C965CB8">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约束性</w:t>
            </w:r>
          </w:p>
        </w:tc>
        <w:tc>
          <w:tcPr>
            <w:tcW w:w="2740" w:type="dxa"/>
            <w:vAlign w:val="center"/>
          </w:tcPr>
          <w:p w14:paraId="1F6FCB20">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市生态环境局</w:t>
            </w:r>
          </w:p>
        </w:tc>
      </w:tr>
      <w:tr w14:paraId="5774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764CA98F">
            <w:pPr>
              <w:snapToGrid w:val="0"/>
              <w:spacing w:after="0" w:line="240" w:lineRule="auto"/>
              <w:ind w:firstLine="0" w:firstLineChars="0"/>
              <w:jc w:val="center"/>
              <w:rPr>
                <w:rFonts w:hint="default" w:ascii="Times New Roman" w:hAnsi="Times New Roman" w:cs="Times New Roman"/>
                <w:sz w:val="24"/>
                <w:highlight w:val="none"/>
              </w:rPr>
            </w:pPr>
          </w:p>
        </w:tc>
        <w:tc>
          <w:tcPr>
            <w:tcW w:w="0" w:type="auto"/>
            <w:vMerge w:val="continue"/>
            <w:vAlign w:val="center"/>
          </w:tcPr>
          <w:p w14:paraId="599EA48C">
            <w:pPr>
              <w:snapToGrid w:val="0"/>
              <w:spacing w:after="0" w:line="360" w:lineRule="exact"/>
              <w:ind w:firstLine="0" w:firstLineChars="0"/>
              <w:jc w:val="center"/>
              <w:rPr>
                <w:rFonts w:hint="default" w:ascii="Times New Roman" w:hAnsi="Times New Roman" w:cs="Times New Roman"/>
                <w:sz w:val="24"/>
                <w:highlight w:val="none"/>
              </w:rPr>
            </w:pPr>
          </w:p>
        </w:tc>
        <w:tc>
          <w:tcPr>
            <w:tcW w:w="817" w:type="dxa"/>
            <w:vAlign w:val="center"/>
          </w:tcPr>
          <w:p w14:paraId="3976E966">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11</w:t>
            </w:r>
          </w:p>
        </w:tc>
        <w:tc>
          <w:tcPr>
            <w:tcW w:w="0" w:type="auto"/>
            <w:vAlign w:val="center"/>
          </w:tcPr>
          <w:p w14:paraId="5657CF95">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重度及以上污染天数比例（%）</w:t>
            </w:r>
          </w:p>
        </w:tc>
        <w:tc>
          <w:tcPr>
            <w:tcW w:w="1296" w:type="dxa"/>
            <w:vAlign w:val="center"/>
          </w:tcPr>
          <w:p w14:paraId="37C8F293">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w:t>
            </w:r>
          </w:p>
        </w:tc>
        <w:tc>
          <w:tcPr>
            <w:tcW w:w="1416" w:type="dxa"/>
            <w:vAlign w:val="center"/>
          </w:tcPr>
          <w:p w14:paraId="373034D0">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完成省级下达指标</w:t>
            </w:r>
          </w:p>
        </w:tc>
        <w:tc>
          <w:tcPr>
            <w:tcW w:w="1416" w:type="dxa"/>
            <w:vAlign w:val="center"/>
          </w:tcPr>
          <w:p w14:paraId="5C1A90FC">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&lt;0.9</w:t>
            </w:r>
          </w:p>
        </w:tc>
        <w:tc>
          <w:tcPr>
            <w:tcW w:w="1416" w:type="dxa"/>
            <w:vAlign w:val="center"/>
          </w:tcPr>
          <w:p w14:paraId="1216A2BE">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&lt;0.9</w:t>
            </w:r>
          </w:p>
        </w:tc>
        <w:tc>
          <w:tcPr>
            <w:tcW w:w="1208" w:type="dxa"/>
            <w:vAlign w:val="center"/>
          </w:tcPr>
          <w:p w14:paraId="7DFA57B3">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约束性</w:t>
            </w:r>
          </w:p>
        </w:tc>
        <w:tc>
          <w:tcPr>
            <w:tcW w:w="2740" w:type="dxa"/>
            <w:vAlign w:val="center"/>
          </w:tcPr>
          <w:p w14:paraId="697C4CDD">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市生态环境局</w:t>
            </w:r>
          </w:p>
        </w:tc>
      </w:tr>
      <w:tr w14:paraId="4CED8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35670311">
            <w:pPr>
              <w:snapToGrid w:val="0"/>
              <w:spacing w:after="0" w:line="240" w:lineRule="auto"/>
              <w:ind w:firstLine="0" w:firstLineChars="0"/>
              <w:jc w:val="center"/>
              <w:rPr>
                <w:rFonts w:hint="default" w:ascii="Times New Roman" w:hAnsi="Times New Roman" w:cs="Times New Roman"/>
                <w:sz w:val="24"/>
                <w:highlight w:val="none"/>
              </w:rPr>
            </w:pPr>
          </w:p>
        </w:tc>
        <w:tc>
          <w:tcPr>
            <w:tcW w:w="0" w:type="auto"/>
            <w:vMerge w:val="restart"/>
            <w:vAlign w:val="center"/>
          </w:tcPr>
          <w:p w14:paraId="4BED7A51">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水体</w:t>
            </w:r>
          </w:p>
          <w:p w14:paraId="707A58C7">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洁净</w:t>
            </w:r>
          </w:p>
        </w:tc>
        <w:tc>
          <w:tcPr>
            <w:tcW w:w="817" w:type="dxa"/>
            <w:vAlign w:val="center"/>
          </w:tcPr>
          <w:p w14:paraId="20ACC4F4">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12</w:t>
            </w:r>
          </w:p>
        </w:tc>
        <w:tc>
          <w:tcPr>
            <w:tcW w:w="0" w:type="auto"/>
            <w:vAlign w:val="center"/>
          </w:tcPr>
          <w:p w14:paraId="1F0C8575">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美丽河湖建成率（%）</w:t>
            </w:r>
          </w:p>
        </w:tc>
        <w:tc>
          <w:tcPr>
            <w:tcW w:w="1296" w:type="dxa"/>
            <w:vAlign w:val="center"/>
          </w:tcPr>
          <w:p w14:paraId="3E68918D">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14.3</w:t>
            </w:r>
          </w:p>
        </w:tc>
        <w:tc>
          <w:tcPr>
            <w:tcW w:w="1416" w:type="dxa"/>
            <w:vAlign w:val="center"/>
          </w:tcPr>
          <w:p w14:paraId="4CA4A2F7">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57</w:t>
            </w:r>
          </w:p>
        </w:tc>
        <w:tc>
          <w:tcPr>
            <w:tcW w:w="1416" w:type="dxa"/>
            <w:vAlign w:val="center"/>
          </w:tcPr>
          <w:p w14:paraId="630CC847">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≥70</w:t>
            </w:r>
          </w:p>
        </w:tc>
        <w:tc>
          <w:tcPr>
            <w:tcW w:w="1416" w:type="dxa"/>
            <w:vAlign w:val="center"/>
          </w:tcPr>
          <w:p w14:paraId="7C6C30DE">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待定</w:t>
            </w:r>
          </w:p>
        </w:tc>
        <w:tc>
          <w:tcPr>
            <w:tcW w:w="1208" w:type="dxa"/>
            <w:vAlign w:val="center"/>
          </w:tcPr>
          <w:p w14:paraId="5D9BB61F">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预期性</w:t>
            </w:r>
          </w:p>
        </w:tc>
        <w:tc>
          <w:tcPr>
            <w:tcW w:w="2740" w:type="dxa"/>
            <w:vAlign w:val="center"/>
          </w:tcPr>
          <w:p w14:paraId="39A6BEAB">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市生态环境局</w:t>
            </w:r>
          </w:p>
        </w:tc>
      </w:tr>
      <w:tr w14:paraId="7559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4F41674E">
            <w:pPr>
              <w:snapToGrid w:val="0"/>
              <w:spacing w:after="0" w:line="240" w:lineRule="auto"/>
              <w:ind w:firstLine="0" w:firstLineChars="0"/>
              <w:jc w:val="center"/>
              <w:rPr>
                <w:rFonts w:hint="default" w:ascii="Times New Roman" w:hAnsi="Times New Roman" w:cs="Times New Roman"/>
                <w:sz w:val="24"/>
                <w:highlight w:val="none"/>
              </w:rPr>
            </w:pPr>
          </w:p>
        </w:tc>
        <w:tc>
          <w:tcPr>
            <w:tcW w:w="0" w:type="auto"/>
            <w:vMerge w:val="continue"/>
            <w:vAlign w:val="center"/>
          </w:tcPr>
          <w:p w14:paraId="1B24F7F3">
            <w:pPr>
              <w:snapToGrid w:val="0"/>
              <w:spacing w:after="0" w:line="360" w:lineRule="exact"/>
              <w:ind w:firstLine="0" w:firstLineChars="0"/>
              <w:jc w:val="center"/>
              <w:rPr>
                <w:rFonts w:hint="default" w:ascii="Times New Roman" w:hAnsi="Times New Roman" w:cs="Times New Roman"/>
                <w:sz w:val="24"/>
                <w:highlight w:val="none"/>
              </w:rPr>
            </w:pPr>
          </w:p>
        </w:tc>
        <w:tc>
          <w:tcPr>
            <w:tcW w:w="817" w:type="dxa"/>
            <w:vAlign w:val="center"/>
          </w:tcPr>
          <w:p w14:paraId="7448EC3B">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13</w:t>
            </w:r>
          </w:p>
        </w:tc>
        <w:tc>
          <w:tcPr>
            <w:tcW w:w="0" w:type="auto"/>
            <w:vAlign w:val="center"/>
          </w:tcPr>
          <w:p w14:paraId="2C9B9429">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地表水达到好于Ⅲ类水体的国、省控断面比例（%）</w:t>
            </w:r>
          </w:p>
        </w:tc>
        <w:tc>
          <w:tcPr>
            <w:tcW w:w="1296" w:type="dxa"/>
            <w:vAlign w:val="center"/>
          </w:tcPr>
          <w:p w14:paraId="678FC521">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80</w:t>
            </w:r>
          </w:p>
        </w:tc>
        <w:tc>
          <w:tcPr>
            <w:tcW w:w="1416" w:type="dxa"/>
            <w:vAlign w:val="center"/>
          </w:tcPr>
          <w:p w14:paraId="118A73D5">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83</w:t>
            </w:r>
          </w:p>
        </w:tc>
        <w:tc>
          <w:tcPr>
            <w:tcW w:w="1416" w:type="dxa"/>
            <w:vAlign w:val="center"/>
          </w:tcPr>
          <w:p w14:paraId="078A7AFD">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w:t>
            </w:r>
            <w:r>
              <w:rPr>
                <w:rFonts w:hint="default" w:ascii="Times New Roman" w:hAnsi="Times New Roman" w:cs="Times New Roman"/>
                <w:sz w:val="24"/>
                <w:highlight w:val="none"/>
                <w:lang w:eastAsia="zh-CN"/>
              </w:rPr>
              <w:t>8</w:t>
            </w:r>
            <w:r>
              <w:rPr>
                <w:rFonts w:hint="default" w:ascii="Times New Roman" w:hAnsi="Times New Roman" w:cs="Times New Roman"/>
                <w:sz w:val="24"/>
                <w:highlight w:val="none"/>
              </w:rPr>
              <w:t>5</w:t>
            </w:r>
          </w:p>
        </w:tc>
        <w:tc>
          <w:tcPr>
            <w:tcW w:w="1416" w:type="dxa"/>
            <w:vAlign w:val="center"/>
          </w:tcPr>
          <w:p w14:paraId="669CEFC2">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待定</w:t>
            </w:r>
          </w:p>
        </w:tc>
        <w:tc>
          <w:tcPr>
            <w:tcW w:w="1208" w:type="dxa"/>
            <w:vAlign w:val="center"/>
          </w:tcPr>
          <w:p w14:paraId="2DA6D9FE">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约束性</w:t>
            </w:r>
          </w:p>
        </w:tc>
        <w:tc>
          <w:tcPr>
            <w:tcW w:w="2740" w:type="dxa"/>
            <w:vAlign w:val="center"/>
          </w:tcPr>
          <w:p w14:paraId="7505AA0E">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市生态环境局</w:t>
            </w:r>
          </w:p>
        </w:tc>
      </w:tr>
      <w:tr w14:paraId="39525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11C8C872">
            <w:pPr>
              <w:snapToGrid w:val="0"/>
              <w:spacing w:after="0" w:line="240" w:lineRule="auto"/>
              <w:ind w:firstLine="0" w:firstLineChars="0"/>
              <w:jc w:val="center"/>
              <w:rPr>
                <w:rFonts w:hint="default" w:ascii="Times New Roman" w:hAnsi="Times New Roman" w:cs="Times New Roman"/>
                <w:sz w:val="24"/>
                <w:highlight w:val="none"/>
              </w:rPr>
            </w:pPr>
          </w:p>
        </w:tc>
        <w:tc>
          <w:tcPr>
            <w:tcW w:w="0" w:type="auto"/>
            <w:vAlign w:val="center"/>
          </w:tcPr>
          <w:p w14:paraId="5EBE7622">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土壤</w:t>
            </w:r>
          </w:p>
          <w:p w14:paraId="4BC6E372">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安全</w:t>
            </w:r>
          </w:p>
        </w:tc>
        <w:tc>
          <w:tcPr>
            <w:tcW w:w="817" w:type="dxa"/>
            <w:vAlign w:val="center"/>
          </w:tcPr>
          <w:p w14:paraId="2810783D">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14</w:t>
            </w:r>
          </w:p>
        </w:tc>
        <w:tc>
          <w:tcPr>
            <w:tcW w:w="0" w:type="auto"/>
            <w:vAlign w:val="center"/>
          </w:tcPr>
          <w:p w14:paraId="1AE17E40">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重点建设用地安全利用率（%）</w:t>
            </w:r>
          </w:p>
        </w:tc>
        <w:tc>
          <w:tcPr>
            <w:tcW w:w="1296" w:type="dxa"/>
            <w:vAlign w:val="center"/>
          </w:tcPr>
          <w:p w14:paraId="57B518AB">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有效保障</w:t>
            </w:r>
          </w:p>
        </w:tc>
        <w:tc>
          <w:tcPr>
            <w:tcW w:w="1416" w:type="dxa"/>
            <w:vAlign w:val="center"/>
          </w:tcPr>
          <w:p w14:paraId="59803388">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有效保障</w:t>
            </w:r>
          </w:p>
        </w:tc>
        <w:tc>
          <w:tcPr>
            <w:tcW w:w="1416" w:type="dxa"/>
            <w:vAlign w:val="center"/>
          </w:tcPr>
          <w:p w14:paraId="2645D953">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有效保障</w:t>
            </w:r>
          </w:p>
        </w:tc>
        <w:tc>
          <w:tcPr>
            <w:tcW w:w="1416" w:type="dxa"/>
            <w:vAlign w:val="center"/>
          </w:tcPr>
          <w:p w14:paraId="60AF14B9">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有效保障</w:t>
            </w:r>
          </w:p>
        </w:tc>
        <w:tc>
          <w:tcPr>
            <w:tcW w:w="1208" w:type="dxa"/>
            <w:vAlign w:val="center"/>
          </w:tcPr>
          <w:p w14:paraId="37BAF9AA">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预期性</w:t>
            </w:r>
          </w:p>
        </w:tc>
        <w:tc>
          <w:tcPr>
            <w:tcW w:w="2740" w:type="dxa"/>
            <w:vAlign w:val="center"/>
          </w:tcPr>
          <w:p w14:paraId="1B08BD49">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市生态环境局</w:t>
            </w:r>
          </w:p>
        </w:tc>
      </w:tr>
      <w:tr w14:paraId="28763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27718C84">
            <w:pPr>
              <w:snapToGrid w:val="0"/>
              <w:spacing w:after="0" w:line="240" w:lineRule="auto"/>
              <w:ind w:firstLine="0" w:firstLineChars="0"/>
              <w:jc w:val="center"/>
              <w:rPr>
                <w:rFonts w:hint="default" w:ascii="Times New Roman" w:hAnsi="Times New Roman" w:cs="Times New Roman"/>
                <w:sz w:val="24"/>
                <w:highlight w:val="none"/>
              </w:rPr>
            </w:pPr>
          </w:p>
        </w:tc>
        <w:tc>
          <w:tcPr>
            <w:tcW w:w="0" w:type="auto"/>
            <w:vAlign w:val="center"/>
          </w:tcPr>
          <w:p w14:paraId="4A285FF8">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减污 降碳</w:t>
            </w:r>
          </w:p>
        </w:tc>
        <w:tc>
          <w:tcPr>
            <w:tcW w:w="817" w:type="dxa"/>
            <w:vAlign w:val="center"/>
          </w:tcPr>
          <w:p w14:paraId="09F699E5">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15</w:t>
            </w:r>
          </w:p>
        </w:tc>
        <w:tc>
          <w:tcPr>
            <w:tcW w:w="0" w:type="auto"/>
            <w:vAlign w:val="center"/>
          </w:tcPr>
          <w:p w14:paraId="547A8FC7">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大气和水主要污染物排放总量较2025年下降（%）</w:t>
            </w:r>
          </w:p>
        </w:tc>
        <w:tc>
          <w:tcPr>
            <w:tcW w:w="1296" w:type="dxa"/>
            <w:vAlign w:val="center"/>
          </w:tcPr>
          <w:p w14:paraId="7CEA97DC">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w:t>
            </w:r>
          </w:p>
        </w:tc>
        <w:tc>
          <w:tcPr>
            <w:tcW w:w="1416" w:type="dxa"/>
            <w:vAlign w:val="center"/>
          </w:tcPr>
          <w:p w14:paraId="4ED0D991">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完成省级下达指标</w:t>
            </w:r>
          </w:p>
        </w:tc>
        <w:tc>
          <w:tcPr>
            <w:tcW w:w="1416" w:type="dxa"/>
            <w:vAlign w:val="center"/>
          </w:tcPr>
          <w:p w14:paraId="3D377940">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完成省级下达指标</w:t>
            </w:r>
          </w:p>
        </w:tc>
        <w:tc>
          <w:tcPr>
            <w:tcW w:w="1416" w:type="dxa"/>
            <w:vAlign w:val="center"/>
          </w:tcPr>
          <w:p w14:paraId="14336378">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完成省级下达指标</w:t>
            </w:r>
          </w:p>
        </w:tc>
        <w:tc>
          <w:tcPr>
            <w:tcW w:w="1208" w:type="dxa"/>
            <w:vAlign w:val="center"/>
          </w:tcPr>
          <w:p w14:paraId="127BB68F">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约束性</w:t>
            </w:r>
          </w:p>
        </w:tc>
        <w:tc>
          <w:tcPr>
            <w:tcW w:w="2740" w:type="dxa"/>
            <w:vAlign w:val="center"/>
          </w:tcPr>
          <w:p w14:paraId="2F1735C3">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市生态环境局</w:t>
            </w:r>
          </w:p>
        </w:tc>
      </w:tr>
      <w:tr w14:paraId="1BE30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restart"/>
            <w:vAlign w:val="center"/>
          </w:tcPr>
          <w:p w14:paraId="5AC0768F">
            <w:pPr>
              <w:snapToGrid w:val="0"/>
              <w:spacing w:after="0" w:line="240" w:lineRule="auto"/>
              <w:ind w:firstLine="0" w:firstLineChars="0"/>
              <w:jc w:val="center"/>
              <w:rPr>
                <w:rFonts w:hint="default" w:ascii="Times New Roman" w:hAnsi="Times New Roman" w:cs="Times New Roman"/>
                <w:b/>
                <w:sz w:val="24"/>
                <w:highlight w:val="none"/>
              </w:rPr>
            </w:pPr>
            <w:r>
              <w:rPr>
                <w:rFonts w:hint="default" w:ascii="Times New Roman" w:hAnsi="Times New Roman" w:cs="Times New Roman"/>
                <w:b/>
                <w:sz w:val="24"/>
                <w:highlight w:val="none"/>
              </w:rPr>
              <w:t>生态</w:t>
            </w:r>
          </w:p>
          <w:p w14:paraId="24913693">
            <w:pPr>
              <w:snapToGrid w:val="0"/>
              <w:spacing w:after="0" w:line="240" w:lineRule="auto"/>
              <w:ind w:firstLine="0" w:firstLineChars="0"/>
              <w:jc w:val="center"/>
              <w:rPr>
                <w:rFonts w:hint="default" w:ascii="Times New Roman" w:hAnsi="Times New Roman" w:cs="Times New Roman"/>
                <w:sz w:val="24"/>
                <w:highlight w:val="none"/>
              </w:rPr>
            </w:pPr>
            <w:r>
              <w:rPr>
                <w:rFonts w:hint="default" w:ascii="Times New Roman" w:hAnsi="Times New Roman" w:cs="Times New Roman"/>
                <w:b/>
                <w:sz w:val="24"/>
                <w:highlight w:val="none"/>
              </w:rPr>
              <w:t>宜居</w:t>
            </w:r>
          </w:p>
        </w:tc>
        <w:tc>
          <w:tcPr>
            <w:tcW w:w="755" w:type="dxa"/>
            <w:vMerge w:val="restart"/>
            <w:vAlign w:val="center"/>
          </w:tcPr>
          <w:p w14:paraId="71E76B15">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空间</w:t>
            </w:r>
          </w:p>
          <w:p w14:paraId="560401FC">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有序</w:t>
            </w:r>
          </w:p>
        </w:tc>
        <w:tc>
          <w:tcPr>
            <w:tcW w:w="817" w:type="dxa"/>
            <w:vAlign w:val="center"/>
          </w:tcPr>
          <w:p w14:paraId="72CCF60A">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16</w:t>
            </w:r>
          </w:p>
        </w:tc>
        <w:tc>
          <w:tcPr>
            <w:tcW w:w="0" w:type="auto"/>
            <w:vAlign w:val="center"/>
          </w:tcPr>
          <w:p w14:paraId="3C07C123">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蓝绿空间比例（%）</w:t>
            </w:r>
          </w:p>
        </w:tc>
        <w:tc>
          <w:tcPr>
            <w:tcW w:w="1296" w:type="dxa"/>
            <w:vAlign w:val="center"/>
          </w:tcPr>
          <w:p w14:paraId="10893DF3">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13.34</w:t>
            </w:r>
          </w:p>
        </w:tc>
        <w:tc>
          <w:tcPr>
            <w:tcW w:w="1416" w:type="dxa"/>
            <w:vAlign w:val="center"/>
          </w:tcPr>
          <w:p w14:paraId="7C1A4BC5">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13.39</w:t>
            </w:r>
          </w:p>
        </w:tc>
        <w:tc>
          <w:tcPr>
            <w:tcW w:w="1416" w:type="dxa"/>
            <w:vAlign w:val="center"/>
          </w:tcPr>
          <w:p w14:paraId="17D9C320">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13.39</w:t>
            </w:r>
          </w:p>
        </w:tc>
        <w:tc>
          <w:tcPr>
            <w:tcW w:w="1416" w:type="dxa"/>
            <w:vAlign w:val="center"/>
          </w:tcPr>
          <w:p w14:paraId="181F4E29">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13.39</w:t>
            </w:r>
          </w:p>
        </w:tc>
        <w:tc>
          <w:tcPr>
            <w:tcW w:w="1208" w:type="dxa"/>
            <w:vAlign w:val="center"/>
          </w:tcPr>
          <w:p w14:paraId="040642D4">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预期性</w:t>
            </w:r>
          </w:p>
        </w:tc>
        <w:tc>
          <w:tcPr>
            <w:tcW w:w="2740" w:type="dxa"/>
            <w:vAlign w:val="center"/>
          </w:tcPr>
          <w:p w14:paraId="7F3E80E0">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市园林局</w:t>
            </w:r>
          </w:p>
        </w:tc>
      </w:tr>
      <w:tr w14:paraId="6BCB7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45739234">
            <w:pPr>
              <w:snapToGrid w:val="0"/>
              <w:spacing w:after="0" w:line="240" w:lineRule="auto"/>
              <w:ind w:firstLine="0" w:firstLineChars="0"/>
              <w:jc w:val="center"/>
              <w:rPr>
                <w:rFonts w:hint="default" w:ascii="Times New Roman" w:hAnsi="Times New Roman" w:cs="Times New Roman"/>
                <w:sz w:val="24"/>
                <w:highlight w:val="none"/>
              </w:rPr>
            </w:pPr>
          </w:p>
        </w:tc>
        <w:tc>
          <w:tcPr>
            <w:tcW w:w="755" w:type="dxa"/>
            <w:vMerge w:val="continue"/>
            <w:vAlign w:val="center"/>
          </w:tcPr>
          <w:p w14:paraId="4E589B24">
            <w:pPr>
              <w:snapToGrid w:val="0"/>
              <w:spacing w:after="0" w:line="360" w:lineRule="exact"/>
              <w:ind w:firstLine="0" w:firstLineChars="0"/>
              <w:jc w:val="center"/>
              <w:rPr>
                <w:rFonts w:hint="default" w:ascii="Times New Roman" w:hAnsi="Times New Roman" w:cs="Times New Roman"/>
                <w:sz w:val="24"/>
                <w:highlight w:val="none"/>
              </w:rPr>
            </w:pPr>
          </w:p>
        </w:tc>
        <w:tc>
          <w:tcPr>
            <w:tcW w:w="817" w:type="dxa"/>
            <w:vAlign w:val="center"/>
          </w:tcPr>
          <w:p w14:paraId="2CC801CE">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17</w:t>
            </w:r>
          </w:p>
        </w:tc>
        <w:tc>
          <w:tcPr>
            <w:tcW w:w="0" w:type="auto"/>
            <w:vAlign w:val="center"/>
          </w:tcPr>
          <w:p w14:paraId="13FA85FD">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城市公园绿地服务半径覆盖率（%）</w:t>
            </w:r>
          </w:p>
        </w:tc>
        <w:tc>
          <w:tcPr>
            <w:tcW w:w="1296" w:type="dxa"/>
            <w:vAlign w:val="center"/>
          </w:tcPr>
          <w:p w14:paraId="31E47427">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w:t>
            </w:r>
          </w:p>
        </w:tc>
        <w:tc>
          <w:tcPr>
            <w:tcW w:w="1416" w:type="dxa"/>
            <w:vAlign w:val="center"/>
          </w:tcPr>
          <w:p w14:paraId="20DF5323">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≥85</w:t>
            </w:r>
          </w:p>
        </w:tc>
        <w:tc>
          <w:tcPr>
            <w:tcW w:w="1416" w:type="dxa"/>
            <w:vAlign w:val="center"/>
          </w:tcPr>
          <w:p w14:paraId="1AFC6C68">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≥88</w:t>
            </w:r>
          </w:p>
        </w:tc>
        <w:tc>
          <w:tcPr>
            <w:tcW w:w="1416" w:type="dxa"/>
            <w:vAlign w:val="center"/>
          </w:tcPr>
          <w:p w14:paraId="5AF6B387">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持续提升</w:t>
            </w:r>
          </w:p>
        </w:tc>
        <w:tc>
          <w:tcPr>
            <w:tcW w:w="1208" w:type="dxa"/>
            <w:vAlign w:val="center"/>
          </w:tcPr>
          <w:p w14:paraId="6063DFAA">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预期性</w:t>
            </w:r>
          </w:p>
        </w:tc>
        <w:tc>
          <w:tcPr>
            <w:tcW w:w="2740" w:type="dxa"/>
            <w:vAlign w:val="center"/>
          </w:tcPr>
          <w:p w14:paraId="5F1E69A5">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市园林局</w:t>
            </w:r>
          </w:p>
        </w:tc>
      </w:tr>
      <w:tr w14:paraId="415C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258B3203">
            <w:pPr>
              <w:snapToGrid w:val="0"/>
              <w:spacing w:after="0" w:line="240" w:lineRule="auto"/>
              <w:ind w:firstLine="0" w:firstLineChars="0"/>
              <w:jc w:val="center"/>
              <w:rPr>
                <w:rFonts w:hint="default" w:ascii="Times New Roman" w:hAnsi="Times New Roman" w:cs="Times New Roman"/>
                <w:sz w:val="24"/>
                <w:highlight w:val="none"/>
              </w:rPr>
            </w:pPr>
          </w:p>
        </w:tc>
        <w:tc>
          <w:tcPr>
            <w:tcW w:w="755" w:type="dxa"/>
            <w:vMerge w:val="continue"/>
            <w:vAlign w:val="center"/>
          </w:tcPr>
          <w:p w14:paraId="71D166A8">
            <w:pPr>
              <w:snapToGrid w:val="0"/>
              <w:spacing w:after="0" w:line="360" w:lineRule="exact"/>
              <w:ind w:firstLine="0" w:firstLineChars="0"/>
              <w:jc w:val="center"/>
              <w:rPr>
                <w:rFonts w:hint="default" w:ascii="Times New Roman" w:hAnsi="Times New Roman" w:cs="Times New Roman"/>
                <w:sz w:val="24"/>
                <w:highlight w:val="none"/>
              </w:rPr>
            </w:pPr>
          </w:p>
        </w:tc>
        <w:tc>
          <w:tcPr>
            <w:tcW w:w="817" w:type="dxa"/>
            <w:vAlign w:val="center"/>
          </w:tcPr>
          <w:p w14:paraId="3D24824B">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18</w:t>
            </w:r>
          </w:p>
        </w:tc>
        <w:tc>
          <w:tcPr>
            <w:tcW w:w="0" w:type="auto"/>
            <w:vAlign w:val="center"/>
          </w:tcPr>
          <w:p w14:paraId="243A04F5">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每年新建口袋公园数量（座）</w:t>
            </w:r>
          </w:p>
        </w:tc>
        <w:tc>
          <w:tcPr>
            <w:tcW w:w="1296" w:type="dxa"/>
            <w:vAlign w:val="center"/>
          </w:tcPr>
          <w:p w14:paraId="6F22891B">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61</w:t>
            </w:r>
          </w:p>
        </w:tc>
        <w:tc>
          <w:tcPr>
            <w:tcW w:w="1416" w:type="dxa"/>
            <w:vAlign w:val="center"/>
          </w:tcPr>
          <w:p w14:paraId="40CE5CA8">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≥50</w:t>
            </w:r>
          </w:p>
        </w:tc>
        <w:tc>
          <w:tcPr>
            <w:tcW w:w="1416" w:type="dxa"/>
            <w:vAlign w:val="center"/>
          </w:tcPr>
          <w:p w14:paraId="1623E84F">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≥50</w:t>
            </w:r>
          </w:p>
        </w:tc>
        <w:tc>
          <w:tcPr>
            <w:tcW w:w="1416" w:type="dxa"/>
            <w:vAlign w:val="center"/>
          </w:tcPr>
          <w:p w14:paraId="5E46C422">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持续推进</w:t>
            </w:r>
          </w:p>
        </w:tc>
        <w:tc>
          <w:tcPr>
            <w:tcW w:w="1208" w:type="dxa"/>
            <w:vAlign w:val="center"/>
          </w:tcPr>
          <w:p w14:paraId="2AC2BC9E">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预期性</w:t>
            </w:r>
          </w:p>
        </w:tc>
        <w:tc>
          <w:tcPr>
            <w:tcW w:w="2740" w:type="dxa"/>
            <w:vAlign w:val="center"/>
          </w:tcPr>
          <w:p w14:paraId="34C6958E">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市园林局</w:t>
            </w:r>
          </w:p>
        </w:tc>
      </w:tr>
      <w:tr w14:paraId="4AEB5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4766F925">
            <w:pPr>
              <w:snapToGrid w:val="0"/>
              <w:spacing w:after="0" w:line="240" w:lineRule="auto"/>
              <w:ind w:firstLine="0" w:firstLineChars="0"/>
              <w:jc w:val="center"/>
              <w:rPr>
                <w:rFonts w:hint="default" w:ascii="Times New Roman" w:hAnsi="Times New Roman" w:cs="Times New Roman"/>
                <w:sz w:val="24"/>
                <w:highlight w:val="none"/>
              </w:rPr>
            </w:pPr>
          </w:p>
        </w:tc>
        <w:tc>
          <w:tcPr>
            <w:tcW w:w="755" w:type="dxa"/>
            <w:vMerge w:val="continue"/>
            <w:vAlign w:val="center"/>
          </w:tcPr>
          <w:p w14:paraId="4C51C9A0">
            <w:pPr>
              <w:snapToGrid w:val="0"/>
              <w:spacing w:after="0" w:line="360" w:lineRule="exact"/>
              <w:ind w:firstLine="0" w:firstLineChars="0"/>
              <w:jc w:val="center"/>
              <w:rPr>
                <w:rFonts w:hint="default" w:ascii="Times New Roman" w:hAnsi="Times New Roman" w:cs="Times New Roman"/>
                <w:sz w:val="24"/>
                <w:highlight w:val="none"/>
              </w:rPr>
            </w:pPr>
          </w:p>
        </w:tc>
        <w:tc>
          <w:tcPr>
            <w:tcW w:w="817" w:type="dxa"/>
            <w:vAlign w:val="center"/>
          </w:tcPr>
          <w:p w14:paraId="030C7126">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19</w:t>
            </w:r>
          </w:p>
        </w:tc>
        <w:tc>
          <w:tcPr>
            <w:tcW w:w="0" w:type="auto"/>
            <w:vAlign w:val="center"/>
          </w:tcPr>
          <w:p w14:paraId="6F067938">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新增城市绿道里程（公里）</w:t>
            </w:r>
          </w:p>
        </w:tc>
        <w:tc>
          <w:tcPr>
            <w:tcW w:w="1296" w:type="dxa"/>
            <w:vAlign w:val="center"/>
          </w:tcPr>
          <w:p w14:paraId="20E8223F">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w:t>
            </w:r>
          </w:p>
        </w:tc>
        <w:tc>
          <w:tcPr>
            <w:tcW w:w="1416" w:type="dxa"/>
            <w:vAlign w:val="center"/>
          </w:tcPr>
          <w:p w14:paraId="6AB506F1">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待核定</w:t>
            </w:r>
          </w:p>
        </w:tc>
        <w:tc>
          <w:tcPr>
            <w:tcW w:w="1416" w:type="dxa"/>
            <w:vAlign w:val="center"/>
          </w:tcPr>
          <w:p w14:paraId="32AF0DCC">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待核定</w:t>
            </w:r>
          </w:p>
        </w:tc>
        <w:tc>
          <w:tcPr>
            <w:tcW w:w="1416" w:type="dxa"/>
            <w:vAlign w:val="center"/>
          </w:tcPr>
          <w:p w14:paraId="7DE0B29D">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待核定</w:t>
            </w:r>
          </w:p>
        </w:tc>
        <w:tc>
          <w:tcPr>
            <w:tcW w:w="1208" w:type="dxa"/>
            <w:vAlign w:val="center"/>
          </w:tcPr>
          <w:p w14:paraId="163E2939">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预期性</w:t>
            </w:r>
          </w:p>
        </w:tc>
        <w:tc>
          <w:tcPr>
            <w:tcW w:w="2740" w:type="dxa"/>
            <w:vAlign w:val="center"/>
          </w:tcPr>
          <w:p w14:paraId="00F8B8BF">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市园林局</w:t>
            </w:r>
          </w:p>
        </w:tc>
      </w:tr>
      <w:tr w14:paraId="5BDE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3DD39007">
            <w:pPr>
              <w:snapToGrid w:val="0"/>
              <w:spacing w:after="0" w:line="240" w:lineRule="auto"/>
              <w:ind w:firstLine="0" w:firstLineChars="0"/>
              <w:jc w:val="center"/>
              <w:rPr>
                <w:rFonts w:hint="default" w:ascii="Times New Roman" w:hAnsi="Times New Roman" w:cs="Times New Roman"/>
                <w:sz w:val="24"/>
                <w:highlight w:val="none"/>
              </w:rPr>
            </w:pPr>
          </w:p>
        </w:tc>
        <w:tc>
          <w:tcPr>
            <w:tcW w:w="755" w:type="dxa"/>
            <w:vMerge w:val="continue"/>
            <w:vAlign w:val="center"/>
          </w:tcPr>
          <w:p w14:paraId="7BF22FE9">
            <w:pPr>
              <w:snapToGrid w:val="0"/>
              <w:spacing w:after="0" w:line="360" w:lineRule="exact"/>
              <w:ind w:firstLine="0" w:firstLineChars="0"/>
              <w:jc w:val="center"/>
              <w:rPr>
                <w:rFonts w:hint="default" w:ascii="Times New Roman" w:hAnsi="Times New Roman" w:cs="Times New Roman"/>
                <w:sz w:val="24"/>
                <w:highlight w:val="none"/>
              </w:rPr>
            </w:pPr>
          </w:p>
        </w:tc>
        <w:tc>
          <w:tcPr>
            <w:tcW w:w="817" w:type="dxa"/>
            <w:vAlign w:val="center"/>
          </w:tcPr>
          <w:p w14:paraId="2D17592A">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20</w:t>
            </w:r>
          </w:p>
        </w:tc>
        <w:tc>
          <w:tcPr>
            <w:tcW w:w="0" w:type="auto"/>
            <w:vAlign w:val="center"/>
          </w:tcPr>
          <w:p w14:paraId="1B68811B">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建成区慢行交通系统覆盖率（%）</w:t>
            </w:r>
          </w:p>
        </w:tc>
        <w:tc>
          <w:tcPr>
            <w:tcW w:w="1296" w:type="dxa"/>
            <w:vAlign w:val="center"/>
          </w:tcPr>
          <w:p w14:paraId="1F3C63CE">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w:t>
            </w:r>
          </w:p>
        </w:tc>
        <w:tc>
          <w:tcPr>
            <w:tcW w:w="1416" w:type="dxa"/>
            <w:vAlign w:val="center"/>
          </w:tcPr>
          <w:p w14:paraId="354E17BC">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待核定</w:t>
            </w:r>
          </w:p>
        </w:tc>
        <w:tc>
          <w:tcPr>
            <w:tcW w:w="1416" w:type="dxa"/>
            <w:vAlign w:val="center"/>
          </w:tcPr>
          <w:p w14:paraId="1847482D">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待核定</w:t>
            </w:r>
          </w:p>
        </w:tc>
        <w:tc>
          <w:tcPr>
            <w:tcW w:w="1416" w:type="dxa"/>
            <w:vAlign w:val="center"/>
          </w:tcPr>
          <w:p w14:paraId="0A7903A4">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待核定</w:t>
            </w:r>
          </w:p>
        </w:tc>
        <w:tc>
          <w:tcPr>
            <w:tcW w:w="1208" w:type="dxa"/>
            <w:vAlign w:val="center"/>
          </w:tcPr>
          <w:p w14:paraId="03B59A78">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预期性</w:t>
            </w:r>
          </w:p>
        </w:tc>
        <w:tc>
          <w:tcPr>
            <w:tcW w:w="2740" w:type="dxa"/>
            <w:vAlign w:val="center"/>
          </w:tcPr>
          <w:p w14:paraId="0A1B117F">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市交通运输局、市园林局</w:t>
            </w:r>
          </w:p>
        </w:tc>
      </w:tr>
      <w:tr w14:paraId="3D12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7568E88B">
            <w:pPr>
              <w:snapToGrid w:val="0"/>
              <w:spacing w:after="0" w:line="240" w:lineRule="auto"/>
              <w:ind w:firstLine="0" w:firstLineChars="0"/>
              <w:jc w:val="center"/>
              <w:rPr>
                <w:rFonts w:hint="default" w:ascii="Times New Roman" w:hAnsi="Times New Roman" w:cs="Times New Roman"/>
                <w:sz w:val="24"/>
                <w:highlight w:val="none"/>
              </w:rPr>
            </w:pPr>
          </w:p>
        </w:tc>
        <w:tc>
          <w:tcPr>
            <w:tcW w:w="0" w:type="auto"/>
            <w:vAlign w:val="center"/>
          </w:tcPr>
          <w:p w14:paraId="54AE0804">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生态</w:t>
            </w:r>
          </w:p>
          <w:p w14:paraId="33767478">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优良</w:t>
            </w:r>
          </w:p>
        </w:tc>
        <w:tc>
          <w:tcPr>
            <w:tcW w:w="817" w:type="dxa"/>
            <w:vAlign w:val="center"/>
          </w:tcPr>
          <w:p w14:paraId="625EF276">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21</w:t>
            </w:r>
          </w:p>
        </w:tc>
        <w:tc>
          <w:tcPr>
            <w:tcW w:w="0" w:type="auto"/>
            <w:vAlign w:val="center"/>
          </w:tcPr>
          <w:p w14:paraId="6F889505">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生态质量指数（EQI）</w:t>
            </w:r>
          </w:p>
        </w:tc>
        <w:tc>
          <w:tcPr>
            <w:tcW w:w="1296" w:type="dxa"/>
            <w:vAlign w:val="center"/>
          </w:tcPr>
          <w:p w14:paraId="65C9E031">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待补充</w:t>
            </w:r>
          </w:p>
        </w:tc>
        <w:tc>
          <w:tcPr>
            <w:tcW w:w="1416" w:type="dxa"/>
            <w:vAlign w:val="center"/>
          </w:tcPr>
          <w:p w14:paraId="0CAAAFEA">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基本稳定</w:t>
            </w:r>
          </w:p>
        </w:tc>
        <w:tc>
          <w:tcPr>
            <w:tcW w:w="1416" w:type="dxa"/>
            <w:vAlign w:val="center"/>
          </w:tcPr>
          <w:p w14:paraId="0B2B5E02">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基本稳定</w:t>
            </w:r>
          </w:p>
        </w:tc>
        <w:tc>
          <w:tcPr>
            <w:tcW w:w="1416" w:type="dxa"/>
            <w:vAlign w:val="center"/>
          </w:tcPr>
          <w:p w14:paraId="19C21678">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基本稳定</w:t>
            </w:r>
          </w:p>
        </w:tc>
        <w:tc>
          <w:tcPr>
            <w:tcW w:w="1208" w:type="dxa"/>
            <w:vAlign w:val="center"/>
          </w:tcPr>
          <w:p w14:paraId="45E4C5B9">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预期性</w:t>
            </w:r>
          </w:p>
        </w:tc>
        <w:tc>
          <w:tcPr>
            <w:tcW w:w="2740" w:type="dxa"/>
            <w:vAlign w:val="center"/>
          </w:tcPr>
          <w:p w14:paraId="748212A9">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市生态环境局</w:t>
            </w:r>
          </w:p>
        </w:tc>
      </w:tr>
      <w:tr w14:paraId="612F0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7DEA84EC">
            <w:pPr>
              <w:snapToGrid w:val="0"/>
              <w:spacing w:after="0" w:line="240" w:lineRule="auto"/>
              <w:ind w:firstLine="0" w:firstLineChars="0"/>
              <w:jc w:val="center"/>
              <w:rPr>
                <w:rFonts w:hint="default" w:ascii="Times New Roman" w:hAnsi="Times New Roman" w:cs="Times New Roman"/>
                <w:sz w:val="24"/>
                <w:highlight w:val="none"/>
              </w:rPr>
            </w:pPr>
          </w:p>
        </w:tc>
        <w:tc>
          <w:tcPr>
            <w:tcW w:w="0" w:type="auto"/>
            <w:vAlign w:val="center"/>
          </w:tcPr>
          <w:p w14:paraId="28FA4294">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宁静</w:t>
            </w:r>
          </w:p>
          <w:p w14:paraId="23D8F086">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和谐</w:t>
            </w:r>
          </w:p>
        </w:tc>
        <w:tc>
          <w:tcPr>
            <w:tcW w:w="817" w:type="dxa"/>
            <w:vAlign w:val="center"/>
          </w:tcPr>
          <w:p w14:paraId="54900677">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22</w:t>
            </w:r>
          </w:p>
        </w:tc>
        <w:tc>
          <w:tcPr>
            <w:tcW w:w="0" w:type="auto"/>
            <w:vAlign w:val="center"/>
          </w:tcPr>
          <w:p w14:paraId="3454EF81">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城市声环境功能区夜间达标率（%）</w:t>
            </w:r>
          </w:p>
        </w:tc>
        <w:tc>
          <w:tcPr>
            <w:tcW w:w="1296" w:type="dxa"/>
            <w:vAlign w:val="center"/>
          </w:tcPr>
          <w:p w14:paraId="3974ED66">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85</w:t>
            </w:r>
          </w:p>
        </w:tc>
        <w:tc>
          <w:tcPr>
            <w:tcW w:w="1416" w:type="dxa"/>
            <w:vAlign w:val="center"/>
          </w:tcPr>
          <w:p w14:paraId="55C42B1C">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≥85</w:t>
            </w:r>
          </w:p>
        </w:tc>
        <w:tc>
          <w:tcPr>
            <w:tcW w:w="1416" w:type="dxa"/>
            <w:vAlign w:val="center"/>
          </w:tcPr>
          <w:p w14:paraId="61B6AED5">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≥85</w:t>
            </w:r>
          </w:p>
        </w:tc>
        <w:tc>
          <w:tcPr>
            <w:tcW w:w="1416" w:type="dxa"/>
            <w:vAlign w:val="center"/>
          </w:tcPr>
          <w:p w14:paraId="385DFD2B">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≥85</w:t>
            </w:r>
          </w:p>
        </w:tc>
        <w:tc>
          <w:tcPr>
            <w:tcW w:w="1208" w:type="dxa"/>
            <w:vAlign w:val="center"/>
          </w:tcPr>
          <w:p w14:paraId="08C621A8">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预期性</w:t>
            </w:r>
          </w:p>
        </w:tc>
        <w:tc>
          <w:tcPr>
            <w:tcW w:w="2740" w:type="dxa"/>
            <w:vAlign w:val="center"/>
          </w:tcPr>
          <w:p w14:paraId="3405E500">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市生态环境局</w:t>
            </w:r>
          </w:p>
        </w:tc>
      </w:tr>
      <w:tr w14:paraId="08C1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restart"/>
            <w:vAlign w:val="center"/>
          </w:tcPr>
          <w:p w14:paraId="75204EC3">
            <w:pPr>
              <w:snapToGrid w:val="0"/>
              <w:spacing w:after="0" w:line="240" w:lineRule="auto"/>
              <w:ind w:firstLine="0" w:firstLineChars="0"/>
              <w:jc w:val="center"/>
              <w:rPr>
                <w:rFonts w:hint="default" w:ascii="Times New Roman" w:hAnsi="Times New Roman" w:cs="Times New Roman"/>
                <w:b/>
                <w:sz w:val="24"/>
                <w:highlight w:val="none"/>
              </w:rPr>
            </w:pPr>
            <w:r>
              <w:rPr>
                <w:rFonts w:hint="default" w:ascii="Times New Roman" w:hAnsi="Times New Roman" w:cs="Times New Roman"/>
                <w:b/>
                <w:sz w:val="24"/>
                <w:highlight w:val="none"/>
              </w:rPr>
              <w:t>安全</w:t>
            </w:r>
          </w:p>
          <w:p w14:paraId="737A8BD1">
            <w:pPr>
              <w:snapToGrid w:val="0"/>
              <w:spacing w:after="0" w:line="240" w:lineRule="auto"/>
              <w:ind w:firstLine="0" w:firstLineChars="0"/>
              <w:jc w:val="center"/>
              <w:rPr>
                <w:rFonts w:hint="default" w:ascii="Times New Roman" w:hAnsi="Times New Roman" w:cs="Times New Roman"/>
                <w:sz w:val="24"/>
                <w:highlight w:val="none"/>
              </w:rPr>
            </w:pPr>
            <w:r>
              <w:rPr>
                <w:rFonts w:hint="default" w:ascii="Times New Roman" w:hAnsi="Times New Roman" w:cs="Times New Roman"/>
                <w:b/>
                <w:sz w:val="24"/>
                <w:highlight w:val="none"/>
              </w:rPr>
              <w:t>健康</w:t>
            </w:r>
          </w:p>
        </w:tc>
        <w:tc>
          <w:tcPr>
            <w:tcW w:w="0" w:type="auto"/>
            <w:vAlign w:val="center"/>
          </w:tcPr>
          <w:p w14:paraId="3F52D03B">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环境</w:t>
            </w:r>
          </w:p>
          <w:p w14:paraId="670B3249">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健康</w:t>
            </w:r>
          </w:p>
        </w:tc>
        <w:tc>
          <w:tcPr>
            <w:tcW w:w="817" w:type="dxa"/>
            <w:vAlign w:val="center"/>
          </w:tcPr>
          <w:p w14:paraId="339505F8">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23</w:t>
            </w:r>
          </w:p>
        </w:tc>
        <w:tc>
          <w:tcPr>
            <w:tcW w:w="0" w:type="auto"/>
            <w:vAlign w:val="center"/>
          </w:tcPr>
          <w:p w14:paraId="7712C0B3">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环境健康风险源管控率（%）</w:t>
            </w:r>
          </w:p>
        </w:tc>
        <w:tc>
          <w:tcPr>
            <w:tcW w:w="1296" w:type="dxa"/>
            <w:vAlign w:val="center"/>
          </w:tcPr>
          <w:p w14:paraId="2577896A">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有效管控</w:t>
            </w:r>
          </w:p>
        </w:tc>
        <w:tc>
          <w:tcPr>
            <w:tcW w:w="1416" w:type="dxa"/>
            <w:vAlign w:val="center"/>
          </w:tcPr>
          <w:p w14:paraId="75DF810B">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有效管控</w:t>
            </w:r>
          </w:p>
        </w:tc>
        <w:tc>
          <w:tcPr>
            <w:tcW w:w="1416" w:type="dxa"/>
            <w:vAlign w:val="center"/>
          </w:tcPr>
          <w:p w14:paraId="1A668586">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有效管控</w:t>
            </w:r>
          </w:p>
        </w:tc>
        <w:tc>
          <w:tcPr>
            <w:tcW w:w="1416" w:type="dxa"/>
            <w:vAlign w:val="center"/>
          </w:tcPr>
          <w:p w14:paraId="6A1D2956">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有效管控</w:t>
            </w:r>
          </w:p>
        </w:tc>
        <w:tc>
          <w:tcPr>
            <w:tcW w:w="1208" w:type="dxa"/>
            <w:vAlign w:val="center"/>
          </w:tcPr>
          <w:p w14:paraId="7BC7C944">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预期性</w:t>
            </w:r>
          </w:p>
        </w:tc>
        <w:tc>
          <w:tcPr>
            <w:tcW w:w="2740" w:type="dxa"/>
            <w:vAlign w:val="center"/>
          </w:tcPr>
          <w:p w14:paraId="3A812DAA">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市生态环境局</w:t>
            </w:r>
          </w:p>
        </w:tc>
      </w:tr>
      <w:tr w14:paraId="47119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07ED87EE">
            <w:pPr>
              <w:snapToGrid w:val="0"/>
              <w:spacing w:after="0" w:line="240" w:lineRule="auto"/>
              <w:ind w:firstLine="0" w:firstLineChars="0"/>
              <w:jc w:val="center"/>
              <w:rPr>
                <w:rFonts w:hint="default" w:ascii="Times New Roman" w:hAnsi="Times New Roman" w:cs="Times New Roman"/>
                <w:sz w:val="24"/>
                <w:highlight w:val="none"/>
              </w:rPr>
            </w:pPr>
          </w:p>
        </w:tc>
        <w:tc>
          <w:tcPr>
            <w:tcW w:w="0" w:type="auto"/>
            <w:vAlign w:val="center"/>
          </w:tcPr>
          <w:p w14:paraId="3E847CB8">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生物</w:t>
            </w:r>
          </w:p>
          <w:p w14:paraId="7BB16EB7">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多样</w:t>
            </w:r>
          </w:p>
        </w:tc>
        <w:tc>
          <w:tcPr>
            <w:tcW w:w="817" w:type="dxa"/>
            <w:vAlign w:val="center"/>
          </w:tcPr>
          <w:p w14:paraId="60F15472">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24</w:t>
            </w:r>
          </w:p>
        </w:tc>
        <w:tc>
          <w:tcPr>
            <w:tcW w:w="0" w:type="auto"/>
            <w:vAlign w:val="center"/>
          </w:tcPr>
          <w:p w14:paraId="25417DE5">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rPr>
              <w:t>外来物种入侵</w:t>
            </w:r>
          </w:p>
        </w:tc>
        <w:tc>
          <w:tcPr>
            <w:tcW w:w="1296" w:type="dxa"/>
            <w:vAlign w:val="center"/>
          </w:tcPr>
          <w:p w14:paraId="5C8783EB">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动态平衡</w:t>
            </w:r>
          </w:p>
        </w:tc>
        <w:tc>
          <w:tcPr>
            <w:tcW w:w="1416" w:type="dxa"/>
            <w:vAlign w:val="center"/>
          </w:tcPr>
          <w:p w14:paraId="55DCC462">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动态平衡</w:t>
            </w:r>
          </w:p>
        </w:tc>
        <w:tc>
          <w:tcPr>
            <w:tcW w:w="1416" w:type="dxa"/>
            <w:vAlign w:val="center"/>
          </w:tcPr>
          <w:p w14:paraId="1166C0AA">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动态平衡</w:t>
            </w:r>
          </w:p>
        </w:tc>
        <w:tc>
          <w:tcPr>
            <w:tcW w:w="1416" w:type="dxa"/>
            <w:vAlign w:val="center"/>
          </w:tcPr>
          <w:p w14:paraId="2DFA042A">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动态平衡</w:t>
            </w:r>
          </w:p>
        </w:tc>
        <w:tc>
          <w:tcPr>
            <w:tcW w:w="1208" w:type="dxa"/>
            <w:vAlign w:val="center"/>
          </w:tcPr>
          <w:p w14:paraId="6B7E80E5">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预期性</w:t>
            </w:r>
          </w:p>
        </w:tc>
        <w:tc>
          <w:tcPr>
            <w:tcW w:w="2740" w:type="dxa"/>
            <w:vAlign w:val="center"/>
          </w:tcPr>
          <w:p w14:paraId="6F23AF86">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市农业农村局、市林业局、正定海关、鹿泉海关、石家庄机场海关</w:t>
            </w:r>
          </w:p>
        </w:tc>
      </w:tr>
      <w:tr w14:paraId="18E29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7E69FBE2">
            <w:pPr>
              <w:snapToGrid w:val="0"/>
              <w:spacing w:after="0" w:line="240" w:lineRule="auto"/>
              <w:ind w:firstLine="0" w:firstLineChars="0"/>
              <w:jc w:val="center"/>
              <w:rPr>
                <w:rFonts w:hint="default" w:ascii="Times New Roman" w:hAnsi="Times New Roman" w:cs="Times New Roman"/>
                <w:sz w:val="24"/>
                <w:highlight w:val="none"/>
                <w:lang w:eastAsia="zh-CN"/>
              </w:rPr>
            </w:pPr>
          </w:p>
        </w:tc>
        <w:tc>
          <w:tcPr>
            <w:tcW w:w="0" w:type="auto"/>
            <w:vAlign w:val="center"/>
          </w:tcPr>
          <w:p w14:paraId="42F111E0">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城市</w:t>
            </w:r>
          </w:p>
          <w:p w14:paraId="3547931F">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韧性</w:t>
            </w:r>
          </w:p>
        </w:tc>
        <w:tc>
          <w:tcPr>
            <w:tcW w:w="817" w:type="dxa"/>
            <w:vAlign w:val="center"/>
          </w:tcPr>
          <w:p w14:paraId="15E3D073">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25</w:t>
            </w:r>
          </w:p>
        </w:tc>
        <w:tc>
          <w:tcPr>
            <w:tcW w:w="0" w:type="auto"/>
            <w:vAlign w:val="center"/>
          </w:tcPr>
          <w:p w14:paraId="5FC08A7E">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城区透水面积占比（%）</w:t>
            </w:r>
          </w:p>
        </w:tc>
        <w:tc>
          <w:tcPr>
            <w:tcW w:w="1296" w:type="dxa"/>
            <w:vAlign w:val="center"/>
          </w:tcPr>
          <w:p w14:paraId="788DDEE2">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21</w:t>
            </w:r>
          </w:p>
        </w:tc>
        <w:tc>
          <w:tcPr>
            <w:tcW w:w="1416" w:type="dxa"/>
            <w:vAlign w:val="center"/>
          </w:tcPr>
          <w:p w14:paraId="75AC7F81">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25</w:t>
            </w:r>
          </w:p>
        </w:tc>
        <w:tc>
          <w:tcPr>
            <w:tcW w:w="1416" w:type="dxa"/>
            <w:vAlign w:val="center"/>
          </w:tcPr>
          <w:p w14:paraId="75A47E5B">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28</w:t>
            </w:r>
          </w:p>
        </w:tc>
        <w:tc>
          <w:tcPr>
            <w:tcW w:w="1416" w:type="dxa"/>
            <w:vAlign w:val="center"/>
          </w:tcPr>
          <w:p w14:paraId="42906B0F">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待定</w:t>
            </w:r>
          </w:p>
        </w:tc>
        <w:tc>
          <w:tcPr>
            <w:tcW w:w="1208" w:type="dxa"/>
            <w:vAlign w:val="center"/>
          </w:tcPr>
          <w:p w14:paraId="3967FDFC">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预期性</w:t>
            </w:r>
          </w:p>
        </w:tc>
        <w:tc>
          <w:tcPr>
            <w:tcW w:w="2740" w:type="dxa"/>
            <w:vAlign w:val="center"/>
          </w:tcPr>
          <w:p w14:paraId="658776B9">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市城市管理综合行政执法局</w:t>
            </w:r>
          </w:p>
        </w:tc>
      </w:tr>
      <w:tr w14:paraId="2D04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restart"/>
            <w:vAlign w:val="center"/>
          </w:tcPr>
          <w:p w14:paraId="46D4B475">
            <w:pPr>
              <w:snapToGrid w:val="0"/>
              <w:spacing w:after="0" w:line="240" w:lineRule="auto"/>
              <w:ind w:firstLine="0" w:firstLineChars="0"/>
              <w:jc w:val="center"/>
              <w:rPr>
                <w:rFonts w:hint="default" w:ascii="Times New Roman" w:hAnsi="Times New Roman" w:cs="Times New Roman"/>
                <w:b/>
                <w:sz w:val="24"/>
                <w:highlight w:val="none"/>
              </w:rPr>
            </w:pPr>
            <w:r>
              <w:rPr>
                <w:rFonts w:hint="default" w:ascii="Times New Roman" w:hAnsi="Times New Roman" w:cs="Times New Roman"/>
                <w:b/>
                <w:sz w:val="24"/>
                <w:highlight w:val="none"/>
              </w:rPr>
              <w:t>智慧</w:t>
            </w:r>
          </w:p>
          <w:p w14:paraId="691BB927">
            <w:pPr>
              <w:snapToGrid w:val="0"/>
              <w:spacing w:after="0" w:line="240" w:lineRule="auto"/>
              <w:ind w:firstLine="0" w:firstLineChars="0"/>
              <w:jc w:val="center"/>
              <w:rPr>
                <w:rFonts w:hint="default" w:ascii="Times New Roman" w:hAnsi="Times New Roman" w:cs="Times New Roman"/>
                <w:sz w:val="24"/>
                <w:highlight w:val="none"/>
              </w:rPr>
            </w:pPr>
            <w:r>
              <w:rPr>
                <w:rFonts w:hint="default" w:ascii="Times New Roman" w:hAnsi="Times New Roman" w:cs="Times New Roman"/>
                <w:b/>
                <w:sz w:val="24"/>
                <w:highlight w:val="none"/>
              </w:rPr>
              <w:t>高效</w:t>
            </w:r>
          </w:p>
        </w:tc>
        <w:tc>
          <w:tcPr>
            <w:tcW w:w="0" w:type="auto"/>
            <w:vAlign w:val="center"/>
          </w:tcPr>
          <w:p w14:paraId="679B0666">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设施</w:t>
            </w:r>
          </w:p>
          <w:p w14:paraId="41517336">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完善</w:t>
            </w:r>
          </w:p>
        </w:tc>
        <w:tc>
          <w:tcPr>
            <w:tcW w:w="817" w:type="dxa"/>
            <w:vAlign w:val="center"/>
          </w:tcPr>
          <w:p w14:paraId="6CBDB7A1">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26</w:t>
            </w:r>
          </w:p>
        </w:tc>
        <w:tc>
          <w:tcPr>
            <w:tcW w:w="0" w:type="auto"/>
            <w:vAlign w:val="center"/>
          </w:tcPr>
          <w:p w14:paraId="453A9399">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城区生活污水集中收集率（%）</w:t>
            </w:r>
          </w:p>
        </w:tc>
        <w:tc>
          <w:tcPr>
            <w:tcW w:w="1296" w:type="dxa"/>
            <w:vAlign w:val="center"/>
          </w:tcPr>
          <w:p w14:paraId="733D3503">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87</w:t>
            </w:r>
          </w:p>
        </w:tc>
        <w:tc>
          <w:tcPr>
            <w:tcW w:w="1416" w:type="dxa"/>
            <w:vAlign w:val="center"/>
          </w:tcPr>
          <w:p w14:paraId="0E27AB87">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88</w:t>
            </w:r>
          </w:p>
        </w:tc>
        <w:tc>
          <w:tcPr>
            <w:tcW w:w="1416" w:type="dxa"/>
            <w:vAlign w:val="center"/>
          </w:tcPr>
          <w:p w14:paraId="22EC2233">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完成省级下达指标</w:t>
            </w:r>
          </w:p>
        </w:tc>
        <w:tc>
          <w:tcPr>
            <w:tcW w:w="1416" w:type="dxa"/>
            <w:vAlign w:val="center"/>
          </w:tcPr>
          <w:p w14:paraId="57E8D54B">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完成省级下达指标</w:t>
            </w:r>
          </w:p>
        </w:tc>
        <w:tc>
          <w:tcPr>
            <w:tcW w:w="1208" w:type="dxa"/>
            <w:vAlign w:val="center"/>
          </w:tcPr>
          <w:p w14:paraId="1A4B8520">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预期性</w:t>
            </w:r>
          </w:p>
        </w:tc>
        <w:tc>
          <w:tcPr>
            <w:tcW w:w="2740" w:type="dxa"/>
            <w:vAlign w:val="center"/>
          </w:tcPr>
          <w:p w14:paraId="5E3EDF29">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市城市管理综合行政执法局</w:t>
            </w:r>
          </w:p>
        </w:tc>
      </w:tr>
      <w:tr w14:paraId="02D6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0F784751">
            <w:pPr>
              <w:snapToGrid w:val="0"/>
              <w:spacing w:after="0" w:line="240" w:lineRule="auto"/>
              <w:ind w:firstLine="0" w:firstLineChars="0"/>
              <w:jc w:val="center"/>
              <w:rPr>
                <w:rFonts w:hint="default" w:ascii="Times New Roman" w:hAnsi="Times New Roman" w:cs="Times New Roman"/>
                <w:sz w:val="24"/>
                <w:highlight w:val="none"/>
                <w:lang w:eastAsia="zh-CN"/>
              </w:rPr>
            </w:pPr>
          </w:p>
        </w:tc>
        <w:tc>
          <w:tcPr>
            <w:tcW w:w="0" w:type="auto"/>
            <w:vMerge w:val="restart"/>
            <w:vAlign w:val="center"/>
          </w:tcPr>
          <w:p w14:paraId="145494DE">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感知</w:t>
            </w:r>
          </w:p>
          <w:p w14:paraId="0BDFC319">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高效</w:t>
            </w:r>
          </w:p>
        </w:tc>
        <w:tc>
          <w:tcPr>
            <w:tcW w:w="817" w:type="dxa"/>
            <w:vAlign w:val="center"/>
          </w:tcPr>
          <w:p w14:paraId="224C3D46">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27</w:t>
            </w:r>
          </w:p>
        </w:tc>
        <w:tc>
          <w:tcPr>
            <w:tcW w:w="0" w:type="auto"/>
            <w:vAlign w:val="center"/>
          </w:tcPr>
          <w:p w14:paraId="61D759D4">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生态环境监测站点数量（个）</w:t>
            </w:r>
          </w:p>
        </w:tc>
        <w:tc>
          <w:tcPr>
            <w:tcW w:w="1296" w:type="dxa"/>
            <w:vAlign w:val="center"/>
          </w:tcPr>
          <w:p w14:paraId="1D9E0B16">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367</w:t>
            </w:r>
          </w:p>
        </w:tc>
        <w:tc>
          <w:tcPr>
            <w:tcW w:w="1416" w:type="dxa"/>
            <w:vAlign w:val="center"/>
          </w:tcPr>
          <w:p w14:paraId="531C0223">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持续提升</w:t>
            </w:r>
          </w:p>
        </w:tc>
        <w:tc>
          <w:tcPr>
            <w:tcW w:w="1416" w:type="dxa"/>
            <w:vAlign w:val="center"/>
          </w:tcPr>
          <w:p w14:paraId="748AECED">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持续提升</w:t>
            </w:r>
          </w:p>
        </w:tc>
        <w:tc>
          <w:tcPr>
            <w:tcW w:w="1416" w:type="dxa"/>
            <w:vAlign w:val="center"/>
          </w:tcPr>
          <w:p w14:paraId="10B035BD">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持续提升</w:t>
            </w:r>
          </w:p>
        </w:tc>
        <w:tc>
          <w:tcPr>
            <w:tcW w:w="1208" w:type="dxa"/>
            <w:vAlign w:val="center"/>
          </w:tcPr>
          <w:p w14:paraId="530A4E07">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预期性</w:t>
            </w:r>
          </w:p>
        </w:tc>
        <w:tc>
          <w:tcPr>
            <w:tcW w:w="2740" w:type="dxa"/>
            <w:vAlign w:val="center"/>
          </w:tcPr>
          <w:p w14:paraId="4D604F7D">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市生态环境局</w:t>
            </w:r>
          </w:p>
        </w:tc>
      </w:tr>
      <w:tr w14:paraId="5E05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7239C9EF">
            <w:pPr>
              <w:snapToGrid w:val="0"/>
              <w:spacing w:after="0" w:line="240" w:lineRule="auto"/>
              <w:ind w:firstLine="0" w:firstLineChars="0"/>
              <w:jc w:val="center"/>
              <w:rPr>
                <w:rFonts w:hint="default" w:ascii="Times New Roman" w:hAnsi="Times New Roman" w:cs="Times New Roman"/>
                <w:sz w:val="24"/>
                <w:highlight w:val="none"/>
              </w:rPr>
            </w:pPr>
          </w:p>
        </w:tc>
        <w:tc>
          <w:tcPr>
            <w:tcW w:w="0" w:type="auto"/>
            <w:vMerge w:val="continue"/>
            <w:vAlign w:val="center"/>
          </w:tcPr>
          <w:p w14:paraId="2E04DD39">
            <w:pPr>
              <w:snapToGrid w:val="0"/>
              <w:spacing w:after="0" w:line="360" w:lineRule="exact"/>
              <w:ind w:firstLine="0" w:firstLineChars="0"/>
              <w:jc w:val="center"/>
              <w:rPr>
                <w:rFonts w:hint="default" w:ascii="Times New Roman" w:hAnsi="Times New Roman" w:cs="Times New Roman"/>
                <w:sz w:val="24"/>
                <w:highlight w:val="none"/>
              </w:rPr>
            </w:pPr>
          </w:p>
        </w:tc>
        <w:tc>
          <w:tcPr>
            <w:tcW w:w="817" w:type="dxa"/>
            <w:vAlign w:val="center"/>
          </w:tcPr>
          <w:p w14:paraId="0BA7A6CE">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28</w:t>
            </w:r>
          </w:p>
        </w:tc>
        <w:tc>
          <w:tcPr>
            <w:tcW w:w="0" w:type="auto"/>
            <w:vAlign w:val="center"/>
          </w:tcPr>
          <w:p w14:paraId="39B6F12C">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生态环境监测要素数量（种）</w:t>
            </w:r>
          </w:p>
        </w:tc>
        <w:tc>
          <w:tcPr>
            <w:tcW w:w="1296" w:type="dxa"/>
            <w:vAlign w:val="center"/>
          </w:tcPr>
          <w:p w14:paraId="3A4EF1A3">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144</w:t>
            </w:r>
          </w:p>
        </w:tc>
        <w:tc>
          <w:tcPr>
            <w:tcW w:w="1416" w:type="dxa"/>
            <w:vAlign w:val="center"/>
          </w:tcPr>
          <w:p w14:paraId="0198CD17">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监测要素全覆盖</w:t>
            </w:r>
          </w:p>
        </w:tc>
        <w:tc>
          <w:tcPr>
            <w:tcW w:w="1416" w:type="dxa"/>
            <w:vAlign w:val="center"/>
          </w:tcPr>
          <w:p w14:paraId="5E009AC9">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监测要素全覆盖</w:t>
            </w:r>
          </w:p>
        </w:tc>
        <w:tc>
          <w:tcPr>
            <w:tcW w:w="1416" w:type="dxa"/>
            <w:vAlign w:val="center"/>
          </w:tcPr>
          <w:p w14:paraId="583EEA09">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监测要素全覆盖</w:t>
            </w:r>
          </w:p>
        </w:tc>
        <w:tc>
          <w:tcPr>
            <w:tcW w:w="1208" w:type="dxa"/>
            <w:vAlign w:val="center"/>
          </w:tcPr>
          <w:p w14:paraId="00A5387C">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预期性</w:t>
            </w:r>
          </w:p>
        </w:tc>
        <w:tc>
          <w:tcPr>
            <w:tcW w:w="2740" w:type="dxa"/>
            <w:vAlign w:val="center"/>
          </w:tcPr>
          <w:p w14:paraId="5D749F06">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市生态环境局</w:t>
            </w:r>
          </w:p>
        </w:tc>
      </w:tr>
      <w:tr w14:paraId="0C863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156349BD">
            <w:pPr>
              <w:snapToGrid w:val="0"/>
              <w:spacing w:after="0" w:line="240" w:lineRule="auto"/>
              <w:ind w:firstLine="0" w:firstLineChars="0"/>
              <w:jc w:val="center"/>
              <w:rPr>
                <w:rFonts w:hint="default" w:ascii="Times New Roman" w:hAnsi="Times New Roman" w:cs="Times New Roman"/>
                <w:sz w:val="24"/>
                <w:highlight w:val="none"/>
              </w:rPr>
            </w:pPr>
          </w:p>
        </w:tc>
        <w:tc>
          <w:tcPr>
            <w:tcW w:w="0" w:type="auto"/>
            <w:vAlign w:val="center"/>
          </w:tcPr>
          <w:p w14:paraId="1D109661">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管理</w:t>
            </w:r>
          </w:p>
          <w:p w14:paraId="2065BBFD">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智能</w:t>
            </w:r>
          </w:p>
        </w:tc>
        <w:tc>
          <w:tcPr>
            <w:tcW w:w="817" w:type="dxa"/>
            <w:vAlign w:val="center"/>
          </w:tcPr>
          <w:p w14:paraId="79E9ADF3">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rPr>
              <w:t>29</w:t>
            </w:r>
          </w:p>
        </w:tc>
        <w:tc>
          <w:tcPr>
            <w:tcW w:w="0" w:type="auto"/>
            <w:vAlign w:val="center"/>
          </w:tcPr>
          <w:p w14:paraId="14C349B4">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城市智慧环保信息平台应用场景（个）</w:t>
            </w:r>
          </w:p>
        </w:tc>
        <w:tc>
          <w:tcPr>
            <w:tcW w:w="1296" w:type="dxa"/>
            <w:vAlign w:val="center"/>
          </w:tcPr>
          <w:p w14:paraId="22EF2CC6">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3</w:t>
            </w:r>
          </w:p>
        </w:tc>
        <w:tc>
          <w:tcPr>
            <w:tcW w:w="1416" w:type="dxa"/>
            <w:vAlign w:val="center"/>
          </w:tcPr>
          <w:p w14:paraId="4C956C1D">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5</w:t>
            </w:r>
          </w:p>
        </w:tc>
        <w:tc>
          <w:tcPr>
            <w:tcW w:w="1416" w:type="dxa"/>
            <w:vAlign w:val="center"/>
          </w:tcPr>
          <w:p w14:paraId="1B61799E">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7</w:t>
            </w:r>
          </w:p>
        </w:tc>
        <w:tc>
          <w:tcPr>
            <w:tcW w:w="1416" w:type="dxa"/>
            <w:vAlign w:val="center"/>
          </w:tcPr>
          <w:p w14:paraId="05835727">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待定</w:t>
            </w:r>
          </w:p>
        </w:tc>
        <w:tc>
          <w:tcPr>
            <w:tcW w:w="1208" w:type="dxa"/>
            <w:vAlign w:val="center"/>
          </w:tcPr>
          <w:p w14:paraId="1AB321DA">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预期性</w:t>
            </w:r>
          </w:p>
        </w:tc>
        <w:tc>
          <w:tcPr>
            <w:tcW w:w="2740" w:type="dxa"/>
            <w:vAlign w:val="center"/>
          </w:tcPr>
          <w:p w14:paraId="652661E3">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市生态环境局</w:t>
            </w:r>
          </w:p>
        </w:tc>
      </w:tr>
      <w:tr w14:paraId="34691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vAlign w:val="center"/>
          </w:tcPr>
          <w:p w14:paraId="14C8D7D9">
            <w:pPr>
              <w:snapToGrid w:val="0"/>
              <w:spacing w:after="0" w:line="240" w:lineRule="auto"/>
              <w:ind w:firstLine="0" w:firstLineChars="0"/>
              <w:jc w:val="center"/>
              <w:rPr>
                <w:rFonts w:hint="default" w:ascii="Times New Roman" w:hAnsi="Times New Roman" w:cs="Times New Roman"/>
                <w:sz w:val="24"/>
                <w:highlight w:val="none"/>
              </w:rPr>
            </w:pPr>
          </w:p>
        </w:tc>
        <w:tc>
          <w:tcPr>
            <w:tcW w:w="755" w:type="dxa"/>
            <w:vAlign w:val="center"/>
          </w:tcPr>
          <w:p w14:paraId="780D66C9">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公众</w:t>
            </w:r>
          </w:p>
          <w:p w14:paraId="352D2DBF">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满意</w:t>
            </w:r>
          </w:p>
        </w:tc>
        <w:tc>
          <w:tcPr>
            <w:tcW w:w="817" w:type="dxa"/>
            <w:vAlign w:val="center"/>
          </w:tcPr>
          <w:p w14:paraId="2140D4A0">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30</w:t>
            </w:r>
          </w:p>
        </w:tc>
        <w:tc>
          <w:tcPr>
            <w:tcW w:w="2960" w:type="dxa"/>
            <w:vAlign w:val="center"/>
          </w:tcPr>
          <w:p w14:paraId="4F29C89A">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公众对城市生态环境满意度（%）</w:t>
            </w:r>
          </w:p>
        </w:tc>
        <w:tc>
          <w:tcPr>
            <w:tcW w:w="1296" w:type="dxa"/>
            <w:vAlign w:val="center"/>
          </w:tcPr>
          <w:p w14:paraId="1101AAEB">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88</w:t>
            </w:r>
          </w:p>
        </w:tc>
        <w:tc>
          <w:tcPr>
            <w:tcW w:w="1416" w:type="dxa"/>
            <w:vAlign w:val="center"/>
          </w:tcPr>
          <w:p w14:paraId="0806AD3A">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90</w:t>
            </w:r>
          </w:p>
        </w:tc>
        <w:tc>
          <w:tcPr>
            <w:tcW w:w="1416" w:type="dxa"/>
            <w:vAlign w:val="center"/>
          </w:tcPr>
          <w:p w14:paraId="033031DC">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92</w:t>
            </w:r>
          </w:p>
        </w:tc>
        <w:tc>
          <w:tcPr>
            <w:tcW w:w="1416" w:type="dxa"/>
            <w:vAlign w:val="center"/>
          </w:tcPr>
          <w:p w14:paraId="6AF589B4">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待定</w:t>
            </w:r>
          </w:p>
        </w:tc>
        <w:tc>
          <w:tcPr>
            <w:tcW w:w="1208" w:type="dxa"/>
            <w:vAlign w:val="center"/>
          </w:tcPr>
          <w:p w14:paraId="68B0B4DA">
            <w:pPr>
              <w:snapToGrid w:val="0"/>
              <w:spacing w:after="0" w:line="360" w:lineRule="exact"/>
              <w:ind w:firstLine="0" w:firstLineChars="0"/>
              <w:jc w:val="center"/>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预期性</w:t>
            </w:r>
          </w:p>
        </w:tc>
        <w:tc>
          <w:tcPr>
            <w:tcW w:w="2740" w:type="dxa"/>
            <w:vAlign w:val="center"/>
          </w:tcPr>
          <w:p w14:paraId="5E1706B4">
            <w:pPr>
              <w:snapToGrid w:val="0"/>
              <w:spacing w:after="0" w:line="360" w:lineRule="exact"/>
              <w:ind w:firstLine="0" w:firstLineChars="0"/>
              <w:jc w:val="center"/>
              <w:rPr>
                <w:rFonts w:hint="default" w:ascii="Times New Roman" w:hAnsi="Times New Roman" w:cs="Times New Roman"/>
                <w:sz w:val="24"/>
                <w:highlight w:val="none"/>
              </w:rPr>
            </w:pPr>
            <w:r>
              <w:rPr>
                <w:rFonts w:hint="default" w:ascii="Times New Roman" w:hAnsi="Times New Roman" w:cs="Times New Roman"/>
                <w:sz w:val="24"/>
                <w:highlight w:val="none"/>
              </w:rPr>
              <w:t>市生态环境局</w:t>
            </w:r>
          </w:p>
        </w:tc>
      </w:tr>
    </w:tbl>
    <w:p w14:paraId="3F7FF6A5">
      <w:pPr>
        <w:spacing w:after="0" w:line="560" w:lineRule="exact"/>
        <w:ind w:firstLine="0" w:firstLineChars="0"/>
        <w:jc w:val="left"/>
        <w:rPr>
          <w:rFonts w:hint="default" w:ascii="Times New Roman" w:hAnsi="Times New Roman" w:eastAsia="黑体" w:cs="Times New Roman"/>
          <w:szCs w:val="22"/>
          <w:highlight w:val="none"/>
          <w:lang w:eastAsia="zh-CN"/>
        </w:rPr>
      </w:pPr>
    </w:p>
    <w:p w14:paraId="4584DC86">
      <w:pPr>
        <w:spacing w:after="0" w:line="560" w:lineRule="exact"/>
        <w:ind w:firstLine="0" w:firstLineChars="0"/>
        <w:jc w:val="left"/>
        <w:rPr>
          <w:rFonts w:hint="default" w:ascii="Times New Roman" w:hAnsi="Times New Roman" w:eastAsia="黑体" w:cs="Times New Roman"/>
          <w:szCs w:val="22"/>
          <w:highlight w:val="none"/>
          <w:lang w:eastAsia="zh-CN"/>
        </w:rPr>
      </w:pPr>
    </w:p>
    <w:p w14:paraId="4A033B3F">
      <w:pPr>
        <w:spacing w:before="120" w:beforeLines="50"/>
        <w:ind w:firstLine="0" w:firstLineChars="0"/>
        <w:jc w:val="left"/>
        <w:outlineLvl w:val="0"/>
        <w:rPr>
          <w:rFonts w:hint="default" w:ascii="Times New Roman" w:hAnsi="Times New Roman" w:eastAsia="黑体" w:cs="Times New Roman"/>
          <w:sz w:val="32"/>
          <w:szCs w:val="32"/>
          <w:highlight w:val="none"/>
          <w:lang w:eastAsia="zh-CN"/>
        </w:rPr>
      </w:pPr>
    </w:p>
    <w:p w14:paraId="75744A2F">
      <w:pPr>
        <w:spacing w:before="120" w:beforeLines="50"/>
        <w:ind w:firstLine="0" w:firstLineChars="0"/>
        <w:jc w:val="left"/>
        <w:outlineLvl w:val="0"/>
        <w:rPr>
          <w:rFonts w:hint="default"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lang w:eastAsia="zh-CN"/>
        </w:rPr>
        <w:t>附件2</w:t>
      </w:r>
    </w:p>
    <w:p w14:paraId="094EF54C">
      <w:pPr>
        <w:spacing w:before="120" w:beforeLines="50" w:after="120" w:afterLines="50" w:line="560" w:lineRule="exact"/>
        <w:ind w:firstLine="0" w:firstLineChars="0"/>
        <w:jc w:val="center"/>
        <w:rPr>
          <w:rFonts w:hint="default" w:ascii="Times New Roman" w:hAnsi="Times New Roman" w:eastAsia="方正小标宋简体" w:cs="Times New Roman"/>
          <w:sz w:val="44"/>
          <w:highlight w:val="none"/>
          <w:lang w:eastAsia="zh-CN"/>
        </w:rPr>
      </w:pPr>
      <w:r>
        <w:rPr>
          <w:rFonts w:hint="default" w:ascii="Times New Roman" w:hAnsi="Times New Roman" w:eastAsia="方正小标宋简体" w:cs="Times New Roman"/>
          <w:sz w:val="44"/>
          <w:highlight w:val="none"/>
          <w:lang w:eastAsia="zh-CN"/>
        </w:rPr>
        <w:t>石家庄美丽城市建设重点任务清单</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706"/>
        <w:gridCol w:w="7368"/>
        <w:gridCol w:w="3544"/>
        <w:gridCol w:w="1777"/>
      </w:tblGrid>
      <w:tr w14:paraId="7FF42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blHeader/>
          <w:jc w:val="center"/>
        </w:trPr>
        <w:tc>
          <w:tcPr>
            <w:tcW w:w="275" w:type="pct"/>
            <w:vAlign w:val="center"/>
          </w:tcPr>
          <w:p w14:paraId="352520C7">
            <w:pPr>
              <w:snapToGrid w:val="0"/>
              <w:spacing w:after="0" w:line="240" w:lineRule="auto"/>
              <w:ind w:firstLine="0" w:firstLineChars="0"/>
              <w:jc w:val="center"/>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领域</w:t>
            </w:r>
          </w:p>
        </w:tc>
        <w:tc>
          <w:tcPr>
            <w:tcW w:w="249" w:type="pct"/>
            <w:vAlign w:val="center"/>
          </w:tcPr>
          <w:p w14:paraId="6C6746A9">
            <w:pPr>
              <w:snapToGrid w:val="0"/>
              <w:spacing w:after="0" w:line="240" w:lineRule="auto"/>
              <w:ind w:firstLine="0" w:firstLineChars="0"/>
              <w:jc w:val="center"/>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序号</w:t>
            </w:r>
          </w:p>
        </w:tc>
        <w:tc>
          <w:tcPr>
            <w:tcW w:w="2599" w:type="pct"/>
            <w:vAlign w:val="center"/>
          </w:tcPr>
          <w:p w14:paraId="510EAF77">
            <w:pPr>
              <w:snapToGrid w:val="0"/>
              <w:spacing w:after="0" w:line="240" w:lineRule="auto"/>
              <w:ind w:firstLine="0" w:firstLineChars="0"/>
              <w:jc w:val="center"/>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建设内容</w:t>
            </w:r>
          </w:p>
        </w:tc>
        <w:tc>
          <w:tcPr>
            <w:tcW w:w="1250" w:type="pct"/>
            <w:vAlign w:val="center"/>
          </w:tcPr>
          <w:p w14:paraId="3B6E3BA0">
            <w:pPr>
              <w:snapToGrid w:val="0"/>
              <w:spacing w:after="0" w:line="240" w:lineRule="auto"/>
              <w:ind w:firstLine="0" w:firstLineChars="0"/>
              <w:jc w:val="center"/>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责任部门</w:t>
            </w:r>
          </w:p>
        </w:tc>
        <w:tc>
          <w:tcPr>
            <w:tcW w:w="627" w:type="pct"/>
            <w:vAlign w:val="center"/>
          </w:tcPr>
          <w:p w14:paraId="0EF24956">
            <w:pPr>
              <w:snapToGrid w:val="0"/>
              <w:spacing w:after="0" w:line="240" w:lineRule="auto"/>
              <w:ind w:firstLine="0" w:firstLineChars="0"/>
              <w:jc w:val="center"/>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完成时间</w:t>
            </w:r>
          </w:p>
        </w:tc>
      </w:tr>
      <w:tr w14:paraId="4325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5"/>
            <w:vAlign w:val="center"/>
          </w:tcPr>
          <w:p w14:paraId="5425A483">
            <w:pPr>
              <w:snapToGrid w:val="0"/>
              <w:spacing w:after="0" w:line="240" w:lineRule="auto"/>
              <w:ind w:firstLine="0" w:firstLineChars="0"/>
              <w:jc w:val="left"/>
              <w:rPr>
                <w:rFonts w:hint="default" w:ascii="Times New Roman" w:hAnsi="Times New Roman" w:cs="Times New Roman"/>
                <w:highlight w:val="none"/>
                <w:lang w:eastAsia="zh-CN"/>
              </w:rPr>
            </w:pPr>
            <w:r>
              <w:rPr>
                <w:rFonts w:hint="default" w:ascii="Times New Roman" w:hAnsi="Times New Roman" w:cs="Times New Roman"/>
                <w:b/>
                <w:sz w:val="24"/>
                <w:highlight w:val="none"/>
                <w:lang w:eastAsia="zh-CN"/>
              </w:rPr>
              <w:t>（一）建设绿色低碳协调发展之城</w:t>
            </w:r>
          </w:p>
        </w:tc>
      </w:tr>
      <w:tr w14:paraId="07A3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restart"/>
            <w:vAlign w:val="center"/>
          </w:tcPr>
          <w:p w14:paraId="02DB9D76">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lang w:eastAsia="zh-CN"/>
              </w:rPr>
              <w:t>优化城市开发保护格局</w:t>
            </w:r>
          </w:p>
        </w:tc>
        <w:tc>
          <w:tcPr>
            <w:tcW w:w="249" w:type="pct"/>
            <w:vAlign w:val="center"/>
          </w:tcPr>
          <w:p w14:paraId="3E346280">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rPr>
              <w:t>1</w:t>
            </w:r>
          </w:p>
        </w:tc>
        <w:tc>
          <w:tcPr>
            <w:tcW w:w="2599" w:type="pct"/>
            <w:vAlign w:val="center"/>
          </w:tcPr>
          <w:p w14:paraId="7AB3AFE6">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lang w:eastAsia="zh-CN"/>
              </w:rPr>
              <w:t>优化国土空间发展格局，依托太行山生态屏障和滹沱河流域生态廊道，建立以城市化地区、农产品主产区、重点生态功能区为主体，其他功能区域为补充的主体功能分区。</w:t>
            </w:r>
          </w:p>
        </w:tc>
        <w:tc>
          <w:tcPr>
            <w:tcW w:w="1250" w:type="pct"/>
            <w:vAlign w:val="center"/>
          </w:tcPr>
          <w:p w14:paraId="5A7014DF">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lang w:eastAsia="zh-CN"/>
              </w:rPr>
              <w:t>市发展和改革委员会、市自然资源和规划局</w:t>
            </w:r>
          </w:p>
        </w:tc>
        <w:tc>
          <w:tcPr>
            <w:tcW w:w="627" w:type="pct"/>
            <w:vAlign w:val="center"/>
          </w:tcPr>
          <w:p w14:paraId="18DD94D8">
            <w:pPr>
              <w:snapToGrid w:val="0"/>
              <w:spacing w:after="0" w:line="240" w:lineRule="auto"/>
              <w:ind w:firstLine="0" w:firstLineChars="0"/>
              <w:jc w:val="cente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持续推进</w:t>
            </w:r>
          </w:p>
        </w:tc>
      </w:tr>
      <w:tr w14:paraId="706A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3276208C">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p>
        </w:tc>
        <w:tc>
          <w:tcPr>
            <w:tcW w:w="249" w:type="pct"/>
            <w:vAlign w:val="center"/>
          </w:tcPr>
          <w:p w14:paraId="78CB584C">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rPr>
              <w:t>2</w:t>
            </w:r>
          </w:p>
        </w:tc>
        <w:tc>
          <w:tcPr>
            <w:tcW w:w="2599" w:type="pct"/>
            <w:vAlign w:val="center"/>
          </w:tcPr>
          <w:p w14:paraId="2C0759B7">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lang w:eastAsia="zh-CN"/>
              </w:rPr>
              <w:t>坚守生态保护红线，严格控制各类开发利用活动对生态空间的占用扰动，确保生态保护红线生态功能不降低、面积不减少、性质不改变。严格落实生态环境分区管控，开展生态环境分区管控成果定期调整和动态更新。（依据生态环境分区管控相关技术指南实施）</w:t>
            </w:r>
          </w:p>
        </w:tc>
        <w:tc>
          <w:tcPr>
            <w:tcW w:w="1250" w:type="pct"/>
            <w:vAlign w:val="center"/>
          </w:tcPr>
          <w:p w14:paraId="31098FEE">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lang w:eastAsia="zh-CN"/>
              </w:rPr>
              <w:t>市自然资源和规划局、市生态环境局</w:t>
            </w:r>
          </w:p>
        </w:tc>
        <w:tc>
          <w:tcPr>
            <w:tcW w:w="627" w:type="pct"/>
            <w:vAlign w:val="center"/>
          </w:tcPr>
          <w:p w14:paraId="56E37E1E">
            <w:pPr>
              <w:snapToGrid w:val="0"/>
              <w:spacing w:after="0" w:line="240" w:lineRule="auto"/>
              <w:ind w:firstLine="0" w:firstLineChars="0"/>
              <w:jc w:val="cente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2027年并持续推进</w:t>
            </w:r>
          </w:p>
        </w:tc>
      </w:tr>
      <w:tr w14:paraId="567C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275" w:type="pct"/>
            <w:vMerge w:val="restart"/>
            <w:vAlign w:val="center"/>
          </w:tcPr>
          <w:p w14:paraId="33FBB562">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lang w:eastAsia="zh-CN"/>
              </w:rPr>
              <w:t>推动现有产业绿色低碳转型</w:t>
            </w:r>
          </w:p>
        </w:tc>
        <w:tc>
          <w:tcPr>
            <w:tcW w:w="249" w:type="pct"/>
            <w:vAlign w:val="center"/>
          </w:tcPr>
          <w:p w14:paraId="5A6A3A8E">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rPr>
              <w:t>3</w:t>
            </w:r>
          </w:p>
        </w:tc>
        <w:tc>
          <w:tcPr>
            <w:tcW w:w="2599" w:type="pct"/>
            <w:vAlign w:val="center"/>
          </w:tcPr>
          <w:p w14:paraId="38553E24">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lang w:eastAsia="zh-CN"/>
              </w:rPr>
              <w:t>大力推动钢铁、水泥、平板玻璃、建筑陶瓷等传统行业开展全流程清洁化、低碳化、智能化改造，推动整合退出一批限制类产能。</w:t>
            </w:r>
          </w:p>
        </w:tc>
        <w:tc>
          <w:tcPr>
            <w:tcW w:w="1250" w:type="pct"/>
            <w:vAlign w:val="center"/>
          </w:tcPr>
          <w:p w14:paraId="393DBBC7">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lang w:eastAsia="zh-CN"/>
              </w:rPr>
              <w:t>市发展和改革委员会、市工业和信息化局、市生态环境局</w:t>
            </w:r>
          </w:p>
        </w:tc>
        <w:tc>
          <w:tcPr>
            <w:tcW w:w="627" w:type="pct"/>
            <w:vAlign w:val="center"/>
          </w:tcPr>
          <w:p w14:paraId="10598CD3">
            <w:pPr>
              <w:snapToGrid w:val="0"/>
              <w:spacing w:after="0" w:line="240" w:lineRule="auto"/>
              <w:ind w:firstLine="0" w:firstLineChars="0"/>
              <w:jc w:val="cente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2027年并持续推进</w:t>
            </w:r>
          </w:p>
        </w:tc>
      </w:tr>
      <w:tr w14:paraId="5DC3B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275" w:type="pct"/>
            <w:vMerge w:val="continue"/>
            <w:vAlign w:val="center"/>
          </w:tcPr>
          <w:p w14:paraId="758C7373">
            <w:pPr>
              <w:snapToGrid w:val="0"/>
              <w:spacing w:after="0" w:line="240" w:lineRule="auto"/>
              <w:ind w:firstLine="480"/>
              <w:jc w:val="center"/>
              <w:rPr>
                <w:rFonts w:hint="default" w:ascii="Times New Roman" w:hAnsi="Times New Roman" w:cs="Times New Roman"/>
                <w:bCs/>
                <w:sz w:val="24"/>
                <w:szCs w:val="24"/>
                <w:highlight w:val="none"/>
                <w:lang w:eastAsia="zh-CN"/>
              </w:rPr>
            </w:pPr>
          </w:p>
        </w:tc>
        <w:tc>
          <w:tcPr>
            <w:tcW w:w="249" w:type="pct"/>
            <w:vAlign w:val="center"/>
          </w:tcPr>
          <w:p w14:paraId="2835FC8A">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rPr>
              <w:t>4</w:t>
            </w:r>
          </w:p>
        </w:tc>
        <w:tc>
          <w:tcPr>
            <w:tcW w:w="2599" w:type="pct"/>
            <w:vAlign w:val="center"/>
          </w:tcPr>
          <w:p w14:paraId="3A25F40E">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lang w:eastAsia="zh-CN"/>
              </w:rPr>
              <w:t>分批对无极县挂车制造、赵县金属铸造等传统制造业升级改造，石家庄市高新区等具备条件的国家级和省级园区全部实施循环化改造</w:t>
            </w:r>
          </w:p>
        </w:tc>
        <w:tc>
          <w:tcPr>
            <w:tcW w:w="1250" w:type="pct"/>
            <w:vAlign w:val="center"/>
          </w:tcPr>
          <w:p w14:paraId="5D108038">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lang w:eastAsia="zh-CN"/>
              </w:rPr>
              <w:t>市工业和信息化局、市生态环境局</w:t>
            </w:r>
          </w:p>
        </w:tc>
        <w:tc>
          <w:tcPr>
            <w:tcW w:w="627" w:type="pct"/>
            <w:vAlign w:val="center"/>
          </w:tcPr>
          <w:p w14:paraId="5D13DAF4">
            <w:pPr>
              <w:snapToGrid w:val="0"/>
              <w:spacing w:after="0" w:line="240" w:lineRule="auto"/>
              <w:ind w:firstLine="0" w:firstLineChars="0"/>
              <w:jc w:val="cente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2027年并持续推进</w:t>
            </w:r>
          </w:p>
        </w:tc>
      </w:tr>
      <w:tr w14:paraId="38891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75" w:type="pct"/>
            <w:vMerge w:val="continue"/>
            <w:vAlign w:val="center"/>
          </w:tcPr>
          <w:p w14:paraId="376D68CB">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p>
        </w:tc>
        <w:tc>
          <w:tcPr>
            <w:tcW w:w="249" w:type="pct"/>
            <w:vAlign w:val="center"/>
          </w:tcPr>
          <w:p w14:paraId="7B59F861">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rPr>
              <w:t>5</w:t>
            </w:r>
          </w:p>
        </w:tc>
        <w:tc>
          <w:tcPr>
            <w:tcW w:w="2599" w:type="pct"/>
            <w:vAlign w:val="center"/>
          </w:tcPr>
          <w:p w14:paraId="459A89C3">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lang w:eastAsia="zh-CN"/>
              </w:rPr>
              <w:t>加速绿色制造体系建设，落实绿色工厂梯度培育，探索装备制造产业绿色低碳路径和解决方案。</w:t>
            </w:r>
          </w:p>
        </w:tc>
        <w:tc>
          <w:tcPr>
            <w:tcW w:w="1250" w:type="pct"/>
            <w:vAlign w:val="center"/>
          </w:tcPr>
          <w:p w14:paraId="54A3E6AA">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lang w:eastAsia="zh-CN"/>
              </w:rPr>
              <w:t>市工业和信息化局、市生态环境局</w:t>
            </w:r>
          </w:p>
        </w:tc>
        <w:tc>
          <w:tcPr>
            <w:tcW w:w="627" w:type="pct"/>
            <w:vAlign w:val="center"/>
          </w:tcPr>
          <w:p w14:paraId="2ED4E605">
            <w:pPr>
              <w:snapToGrid w:val="0"/>
              <w:spacing w:after="0" w:line="240" w:lineRule="auto"/>
              <w:ind w:firstLine="0" w:firstLineChars="0"/>
              <w:jc w:val="cente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2027年并持续推进</w:t>
            </w:r>
          </w:p>
        </w:tc>
      </w:tr>
      <w:tr w14:paraId="6EB4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275" w:type="pct"/>
            <w:vMerge w:val="restart"/>
            <w:vAlign w:val="center"/>
          </w:tcPr>
          <w:p w14:paraId="7DE90A8C">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lang w:eastAsia="zh-CN"/>
              </w:rPr>
              <w:t>培育发展绿色新质生产力</w:t>
            </w:r>
          </w:p>
        </w:tc>
        <w:tc>
          <w:tcPr>
            <w:tcW w:w="249" w:type="pct"/>
            <w:vAlign w:val="center"/>
          </w:tcPr>
          <w:p w14:paraId="7046A78D">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rPr>
              <w:t>6</w:t>
            </w:r>
          </w:p>
        </w:tc>
        <w:tc>
          <w:tcPr>
            <w:tcW w:w="2599" w:type="pct"/>
            <w:vAlign w:val="center"/>
          </w:tcPr>
          <w:p w14:paraId="6196AE74">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lang w:eastAsia="zh-CN"/>
              </w:rPr>
              <w:t>聚焦新一代电子信息、生物医药、先进装备制造、现代食品和现代商贸物流五大主导产业，全力打造五大千亿级产业集群。</w:t>
            </w:r>
          </w:p>
        </w:tc>
        <w:tc>
          <w:tcPr>
            <w:tcW w:w="1250" w:type="pct"/>
            <w:vAlign w:val="center"/>
          </w:tcPr>
          <w:p w14:paraId="6CAF7713">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lang w:eastAsia="zh-CN"/>
              </w:rPr>
              <w:t>市发展和改革委员会、市工业和信息化局、市科学技术局</w:t>
            </w:r>
          </w:p>
        </w:tc>
        <w:tc>
          <w:tcPr>
            <w:tcW w:w="627" w:type="pct"/>
            <w:vAlign w:val="center"/>
          </w:tcPr>
          <w:p w14:paraId="2277F310">
            <w:pPr>
              <w:snapToGrid w:val="0"/>
              <w:spacing w:after="0" w:line="240" w:lineRule="auto"/>
              <w:ind w:firstLine="0" w:firstLineChars="0"/>
              <w:jc w:val="cente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持续推进</w:t>
            </w:r>
          </w:p>
        </w:tc>
      </w:tr>
      <w:tr w14:paraId="51E8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275" w:type="pct"/>
            <w:vMerge w:val="continue"/>
            <w:vAlign w:val="center"/>
          </w:tcPr>
          <w:p w14:paraId="1CD29B09">
            <w:pPr>
              <w:snapToGrid w:val="0"/>
              <w:spacing w:after="0" w:line="240" w:lineRule="auto"/>
              <w:ind w:firstLine="480"/>
              <w:jc w:val="center"/>
              <w:rPr>
                <w:rFonts w:hint="default" w:ascii="Times New Roman" w:hAnsi="Times New Roman" w:cs="Times New Roman"/>
                <w:bCs/>
                <w:sz w:val="24"/>
                <w:szCs w:val="24"/>
                <w:highlight w:val="none"/>
                <w:lang w:eastAsia="zh-CN"/>
              </w:rPr>
            </w:pPr>
          </w:p>
        </w:tc>
        <w:tc>
          <w:tcPr>
            <w:tcW w:w="249" w:type="pct"/>
            <w:vAlign w:val="center"/>
          </w:tcPr>
          <w:p w14:paraId="569262A3">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rPr>
              <w:t>7</w:t>
            </w:r>
          </w:p>
        </w:tc>
        <w:tc>
          <w:tcPr>
            <w:tcW w:w="2599" w:type="pct"/>
            <w:vAlign w:val="center"/>
          </w:tcPr>
          <w:p w14:paraId="48DEF429">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lang w:eastAsia="zh-CN"/>
              </w:rPr>
              <w:t>发展加快算力基础设施建设，推进正定、鹿泉区、高新区数字经济产业园建设，依托燕赵现代交通实验室构建北斗产业生态链，强化人工智能产业在医药和钢铁领域创新研究。</w:t>
            </w:r>
          </w:p>
        </w:tc>
        <w:tc>
          <w:tcPr>
            <w:tcW w:w="1250" w:type="pct"/>
            <w:vAlign w:val="center"/>
          </w:tcPr>
          <w:p w14:paraId="2C49A6C8">
            <w:pPr>
              <w:snapToGrid w:val="0"/>
              <w:spacing w:after="0" w:line="240" w:lineRule="auto"/>
              <w:ind w:firstLine="0" w:firstLineChars="0"/>
              <w:jc w:val="center"/>
              <w:rPr>
                <w:rFonts w:hint="default" w:ascii="Times New Roman" w:hAnsi="Times New Roman" w:cs="Times New Roman"/>
                <w:bCs/>
                <w:sz w:val="24"/>
                <w:szCs w:val="24"/>
                <w:highlight w:val="none"/>
                <w:lang w:eastAsia="zh-CN"/>
              </w:rPr>
            </w:pPr>
            <w:r>
              <w:rPr>
                <w:rFonts w:hint="default" w:ascii="Times New Roman" w:hAnsi="Times New Roman" w:cs="Times New Roman"/>
                <w:bCs/>
                <w:sz w:val="24"/>
                <w:szCs w:val="24"/>
                <w:highlight w:val="none"/>
                <w:lang w:eastAsia="zh-CN"/>
              </w:rPr>
              <w:t>市发展和改革委员会、市工业和信息化局、市科学技术局</w:t>
            </w:r>
          </w:p>
        </w:tc>
        <w:tc>
          <w:tcPr>
            <w:tcW w:w="627" w:type="pct"/>
            <w:vAlign w:val="center"/>
          </w:tcPr>
          <w:p w14:paraId="209010FD">
            <w:pPr>
              <w:snapToGrid w:val="0"/>
              <w:spacing w:after="0" w:line="240" w:lineRule="auto"/>
              <w:ind w:firstLine="0" w:firstLineChars="0"/>
              <w:jc w:val="center"/>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rPr>
              <w:t>2027年并持续推进</w:t>
            </w:r>
          </w:p>
        </w:tc>
      </w:tr>
      <w:tr w14:paraId="649D3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5DCD3438">
            <w:pPr>
              <w:snapToGrid w:val="0"/>
              <w:spacing w:after="0" w:line="240" w:lineRule="auto"/>
              <w:ind w:firstLine="480"/>
              <w:jc w:val="center"/>
              <w:rPr>
                <w:rFonts w:hint="default" w:ascii="Times New Roman" w:hAnsi="Times New Roman" w:cs="Times New Roman"/>
                <w:bCs/>
                <w:sz w:val="24"/>
                <w:highlight w:val="none"/>
                <w:lang w:eastAsia="zh-CN"/>
              </w:rPr>
            </w:pPr>
          </w:p>
        </w:tc>
        <w:tc>
          <w:tcPr>
            <w:tcW w:w="249" w:type="pct"/>
            <w:vAlign w:val="center"/>
          </w:tcPr>
          <w:p w14:paraId="24593C1C">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8</w:t>
            </w:r>
          </w:p>
        </w:tc>
        <w:tc>
          <w:tcPr>
            <w:tcW w:w="2599" w:type="pct"/>
            <w:vAlign w:val="center"/>
          </w:tcPr>
          <w:p w14:paraId="0E63CA01">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适度超前布局低空基础设施，推动行唐通用机场、栾城工业无人机产业园建设，探索在赞皇等西部县（区）打造低空文旅应用场景。</w:t>
            </w:r>
          </w:p>
        </w:tc>
        <w:tc>
          <w:tcPr>
            <w:tcW w:w="1250" w:type="pct"/>
            <w:vAlign w:val="center"/>
          </w:tcPr>
          <w:p w14:paraId="254934F3">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市发展和改革委员会、市工业和信息化局</w:t>
            </w:r>
          </w:p>
        </w:tc>
        <w:tc>
          <w:tcPr>
            <w:tcW w:w="627" w:type="pct"/>
            <w:vAlign w:val="center"/>
          </w:tcPr>
          <w:p w14:paraId="048104AE">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443F8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7E238C24">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34C44447">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9</w:t>
            </w:r>
          </w:p>
        </w:tc>
        <w:tc>
          <w:tcPr>
            <w:tcW w:w="2599" w:type="pct"/>
            <w:vAlign w:val="center"/>
          </w:tcPr>
          <w:p w14:paraId="687C33BA">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推进农业生产作业机械化、装备智能化、加快农业投入品减量增效技术推广应用，鼓励平山县发展生态种植、生态养殖、种养一体结合的生态循环农业。</w:t>
            </w:r>
          </w:p>
        </w:tc>
        <w:tc>
          <w:tcPr>
            <w:tcW w:w="1250" w:type="pct"/>
            <w:vAlign w:val="center"/>
          </w:tcPr>
          <w:p w14:paraId="7FD961E6">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市农业农村局</w:t>
            </w:r>
          </w:p>
        </w:tc>
        <w:tc>
          <w:tcPr>
            <w:tcW w:w="627" w:type="pct"/>
            <w:vAlign w:val="center"/>
          </w:tcPr>
          <w:p w14:paraId="518DB402">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44CF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restart"/>
            <w:vAlign w:val="center"/>
          </w:tcPr>
          <w:p w14:paraId="548B7028">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构建清洁高效的能源体系</w:t>
            </w:r>
          </w:p>
        </w:tc>
        <w:tc>
          <w:tcPr>
            <w:tcW w:w="249" w:type="pct"/>
            <w:vAlign w:val="center"/>
          </w:tcPr>
          <w:p w14:paraId="045A9B42">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10</w:t>
            </w:r>
          </w:p>
        </w:tc>
        <w:tc>
          <w:tcPr>
            <w:tcW w:w="2599" w:type="pct"/>
            <w:vAlign w:val="center"/>
          </w:tcPr>
          <w:p w14:paraId="2302D59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推进煤电机组节煤降耗改造、供热改造、灵活性改造“三改联动”，2027年底前全面完成具备改造条件煤电机组的改造任务。</w:t>
            </w:r>
          </w:p>
        </w:tc>
        <w:tc>
          <w:tcPr>
            <w:tcW w:w="1250" w:type="pct"/>
            <w:vAlign w:val="center"/>
          </w:tcPr>
          <w:p w14:paraId="3EC8FEE9">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市发展和改革委员会</w:t>
            </w:r>
          </w:p>
        </w:tc>
        <w:tc>
          <w:tcPr>
            <w:tcW w:w="627" w:type="pct"/>
            <w:vAlign w:val="center"/>
          </w:tcPr>
          <w:p w14:paraId="3FE8108E">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1077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758DD560">
            <w:pPr>
              <w:snapToGrid w:val="0"/>
              <w:spacing w:after="0" w:line="240" w:lineRule="auto"/>
              <w:ind w:firstLine="480"/>
              <w:jc w:val="center"/>
              <w:rPr>
                <w:rFonts w:hint="default" w:ascii="Times New Roman" w:hAnsi="Times New Roman" w:cs="Times New Roman"/>
                <w:bCs/>
                <w:sz w:val="24"/>
                <w:highlight w:val="none"/>
              </w:rPr>
            </w:pPr>
          </w:p>
        </w:tc>
        <w:tc>
          <w:tcPr>
            <w:tcW w:w="249" w:type="pct"/>
            <w:vAlign w:val="center"/>
          </w:tcPr>
          <w:p w14:paraId="5D3FB072">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11</w:t>
            </w:r>
          </w:p>
        </w:tc>
        <w:tc>
          <w:tcPr>
            <w:tcW w:w="2599" w:type="pct"/>
            <w:vAlign w:val="center"/>
          </w:tcPr>
          <w:p w14:paraId="6F60E6E5">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推动分散燃煤清洁化，加大散煤替代力度，有序实施非工业燃气锅炉替代。2026年，完成桥西区、新华区、裕华区、长安区、高新区剩余169台居民供暖燃气锅炉中100台以上集中供热替代，2027年对具备条件的剩余居民燃气锅炉积极稳妥推进替代工作。</w:t>
            </w:r>
          </w:p>
        </w:tc>
        <w:tc>
          <w:tcPr>
            <w:tcW w:w="1250" w:type="pct"/>
            <w:vAlign w:val="center"/>
          </w:tcPr>
          <w:p w14:paraId="7386C517">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市发展和改革委员会、市城市管理综合行政执法局、市生态环境局、国网石家庄供电公司、市大气污染防治服务保障中心</w:t>
            </w:r>
          </w:p>
        </w:tc>
        <w:tc>
          <w:tcPr>
            <w:tcW w:w="627" w:type="pct"/>
            <w:vAlign w:val="center"/>
          </w:tcPr>
          <w:p w14:paraId="144404C2">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5B2D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75" w:type="pct"/>
            <w:vMerge w:val="continue"/>
            <w:vAlign w:val="center"/>
          </w:tcPr>
          <w:p w14:paraId="4CF66946">
            <w:pPr>
              <w:snapToGrid w:val="0"/>
              <w:spacing w:after="0" w:line="240" w:lineRule="auto"/>
              <w:ind w:firstLine="480"/>
              <w:jc w:val="center"/>
              <w:rPr>
                <w:rFonts w:hint="default" w:ascii="Times New Roman" w:hAnsi="Times New Roman" w:cs="Times New Roman"/>
                <w:bCs/>
                <w:sz w:val="24"/>
                <w:highlight w:val="none"/>
              </w:rPr>
            </w:pPr>
          </w:p>
        </w:tc>
        <w:tc>
          <w:tcPr>
            <w:tcW w:w="249" w:type="pct"/>
            <w:vAlign w:val="center"/>
          </w:tcPr>
          <w:p w14:paraId="2431728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12</w:t>
            </w:r>
          </w:p>
        </w:tc>
        <w:tc>
          <w:tcPr>
            <w:tcW w:w="2599" w:type="pct"/>
            <w:vAlign w:val="center"/>
          </w:tcPr>
          <w:p w14:paraId="1803858E">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提高非化石能源供给，积极布局绿色氢能产业，推进市区分布式光伏建设，自来水厂、污水处理厂等公共基础设施的安装比例达到90%以上。</w:t>
            </w:r>
          </w:p>
        </w:tc>
        <w:tc>
          <w:tcPr>
            <w:tcW w:w="1250" w:type="pct"/>
            <w:vAlign w:val="center"/>
          </w:tcPr>
          <w:p w14:paraId="5A274A43">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市发展和改革委员会、市住房和城乡建设局</w:t>
            </w:r>
          </w:p>
        </w:tc>
        <w:tc>
          <w:tcPr>
            <w:tcW w:w="627" w:type="pct"/>
            <w:vAlign w:val="center"/>
          </w:tcPr>
          <w:p w14:paraId="3058D697">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2027年并持续推进</w:t>
            </w:r>
          </w:p>
        </w:tc>
      </w:tr>
      <w:tr w14:paraId="535C4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6E66B30B">
            <w:pPr>
              <w:snapToGrid w:val="0"/>
              <w:spacing w:after="0" w:line="240" w:lineRule="auto"/>
              <w:ind w:firstLine="0" w:firstLineChars="0"/>
              <w:jc w:val="center"/>
              <w:rPr>
                <w:rFonts w:hint="default" w:ascii="Times New Roman" w:hAnsi="Times New Roman" w:cs="Times New Roman"/>
                <w:bCs/>
                <w:sz w:val="24"/>
                <w:highlight w:val="none"/>
              </w:rPr>
            </w:pPr>
          </w:p>
        </w:tc>
        <w:tc>
          <w:tcPr>
            <w:tcW w:w="249" w:type="pct"/>
            <w:vAlign w:val="center"/>
          </w:tcPr>
          <w:p w14:paraId="74EFA6E7">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13</w:t>
            </w:r>
          </w:p>
        </w:tc>
        <w:tc>
          <w:tcPr>
            <w:tcW w:w="2599" w:type="pct"/>
            <w:vAlign w:val="center"/>
          </w:tcPr>
          <w:p w14:paraId="28E2DA24">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加快灵寿、赞皇抽水蓄能电站建设，大力争取新增入石外受电通道，加大市外清洁电力的引入力度。</w:t>
            </w:r>
          </w:p>
        </w:tc>
        <w:tc>
          <w:tcPr>
            <w:tcW w:w="1250" w:type="pct"/>
            <w:vAlign w:val="center"/>
          </w:tcPr>
          <w:p w14:paraId="21D7520D">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市发展和改革委员会、市水利局</w:t>
            </w:r>
          </w:p>
        </w:tc>
        <w:tc>
          <w:tcPr>
            <w:tcW w:w="627" w:type="pct"/>
            <w:vAlign w:val="center"/>
          </w:tcPr>
          <w:p w14:paraId="5C736E53">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2027年并持续推进</w:t>
            </w:r>
          </w:p>
        </w:tc>
      </w:tr>
      <w:tr w14:paraId="7F00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275" w:type="pct"/>
            <w:vMerge w:val="restart"/>
            <w:vAlign w:val="center"/>
          </w:tcPr>
          <w:p w14:paraId="1679F4A7">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加快构建绿色交通运输体系</w:t>
            </w:r>
          </w:p>
        </w:tc>
        <w:tc>
          <w:tcPr>
            <w:tcW w:w="249" w:type="pct"/>
            <w:vAlign w:val="center"/>
          </w:tcPr>
          <w:p w14:paraId="5FAB6F87">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14</w:t>
            </w:r>
          </w:p>
        </w:tc>
        <w:tc>
          <w:tcPr>
            <w:tcW w:w="2599" w:type="pct"/>
            <w:vAlign w:val="center"/>
          </w:tcPr>
          <w:p w14:paraId="4EE2651C">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优化多式联运监管模式，扩大“铁路快通”模式应用规模。</w:t>
            </w:r>
          </w:p>
        </w:tc>
        <w:tc>
          <w:tcPr>
            <w:tcW w:w="1250" w:type="pct"/>
            <w:vAlign w:val="center"/>
          </w:tcPr>
          <w:p w14:paraId="5E4DBF8F">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市交通运输局</w:t>
            </w:r>
          </w:p>
        </w:tc>
        <w:tc>
          <w:tcPr>
            <w:tcW w:w="627" w:type="pct"/>
            <w:vAlign w:val="center"/>
          </w:tcPr>
          <w:p w14:paraId="67BAA95D">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310C5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275" w:type="pct"/>
            <w:vMerge w:val="continue"/>
            <w:vAlign w:val="center"/>
          </w:tcPr>
          <w:p w14:paraId="46F7EB8D">
            <w:pPr>
              <w:snapToGrid w:val="0"/>
              <w:spacing w:after="0" w:line="240" w:lineRule="auto"/>
              <w:ind w:firstLine="480"/>
              <w:jc w:val="center"/>
              <w:rPr>
                <w:rFonts w:hint="default" w:ascii="Times New Roman" w:hAnsi="Times New Roman" w:cs="Times New Roman"/>
                <w:bCs/>
                <w:sz w:val="24"/>
                <w:highlight w:val="none"/>
                <w:lang w:eastAsia="zh-CN"/>
              </w:rPr>
            </w:pPr>
          </w:p>
        </w:tc>
        <w:tc>
          <w:tcPr>
            <w:tcW w:w="249" w:type="pct"/>
            <w:vAlign w:val="center"/>
          </w:tcPr>
          <w:p w14:paraId="30146DD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15</w:t>
            </w:r>
          </w:p>
        </w:tc>
        <w:tc>
          <w:tcPr>
            <w:tcW w:w="2599" w:type="pct"/>
            <w:vAlign w:val="center"/>
          </w:tcPr>
          <w:p w14:paraId="1AC6C75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加快推动公共交通绿色化，持续推进涉及1号线三期、4号线、5号线一期以及6号线一期等四个重要建设项目的轨道交通二期建设，新增及更新公交车辆全部采用新能源车型，同步推进出租车电动化替代。</w:t>
            </w:r>
          </w:p>
        </w:tc>
        <w:tc>
          <w:tcPr>
            <w:tcW w:w="1250" w:type="pct"/>
            <w:vAlign w:val="center"/>
          </w:tcPr>
          <w:p w14:paraId="56DA4692">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市发展和改革委员会、市交通运输局、市轨道交通建设办公室</w:t>
            </w:r>
          </w:p>
        </w:tc>
        <w:tc>
          <w:tcPr>
            <w:tcW w:w="627" w:type="pct"/>
            <w:vAlign w:val="center"/>
          </w:tcPr>
          <w:p w14:paraId="0ED23372">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3CED3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75" w:type="pct"/>
            <w:vMerge w:val="continue"/>
            <w:vAlign w:val="center"/>
          </w:tcPr>
          <w:p w14:paraId="42AC151E">
            <w:pPr>
              <w:snapToGrid w:val="0"/>
              <w:spacing w:after="0" w:line="240" w:lineRule="auto"/>
              <w:ind w:firstLine="480"/>
              <w:jc w:val="center"/>
              <w:rPr>
                <w:rFonts w:hint="default" w:ascii="Times New Roman" w:hAnsi="Times New Roman" w:cs="Times New Roman"/>
                <w:bCs/>
                <w:sz w:val="24"/>
                <w:highlight w:val="none"/>
                <w:lang w:eastAsia="zh-CN"/>
              </w:rPr>
            </w:pPr>
          </w:p>
        </w:tc>
        <w:tc>
          <w:tcPr>
            <w:tcW w:w="249" w:type="pct"/>
            <w:vAlign w:val="center"/>
          </w:tcPr>
          <w:p w14:paraId="5EB2FC95">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16</w:t>
            </w:r>
          </w:p>
        </w:tc>
        <w:tc>
          <w:tcPr>
            <w:tcW w:w="2599" w:type="pct"/>
            <w:vAlign w:val="center"/>
          </w:tcPr>
          <w:p w14:paraId="1390D46C">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进一步优化公共充电基础设施布局。</w:t>
            </w:r>
          </w:p>
        </w:tc>
        <w:tc>
          <w:tcPr>
            <w:tcW w:w="1250" w:type="pct"/>
            <w:vAlign w:val="center"/>
          </w:tcPr>
          <w:p w14:paraId="3631E31D">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市发展和改革委员会、国网石家庄供电公司</w:t>
            </w:r>
          </w:p>
        </w:tc>
        <w:tc>
          <w:tcPr>
            <w:tcW w:w="627" w:type="pct"/>
            <w:vAlign w:val="center"/>
          </w:tcPr>
          <w:p w14:paraId="32E2ABFF">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3D84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7317E36B">
            <w:pPr>
              <w:snapToGrid w:val="0"/>
              <w:spacing w:after="0" w:line="240" w:lineRule="auto"/>
              <w:ind w:firstLine="480"/>
              <w:jc w:val="center"/>
              <w:rPr>
                <w:rFonts w:hint="default" w:ascii="Times New Roman" w:hAnsi="Times New Roman" w:cs="Times New Roman"/>
                <w:bCs/>
                <w:sz w:val="24"/>
                <w:highlight w:val="none"/>
                <w:lang w:eastAsia="zh-CN"/>
              </w:rPr>
            </w:pPr>
          </w:p>
        </w:tc>
        <w:tc>
          <w:tcPr>
            <w:tcW w:w="249" w:type="pct"/>
            <w:vAlign w:val="center"/>
          </w:tcPr>
          <w:p w14:paraId="767C8192">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17</w:t>
            </w:r>
          </w:p>
        </w:tc>
        <w:tc>
          <w:tcPr>
            <w:tcW w:w="2599" w:type="pct"/>
            <w:vAlign w:val="center"/>
          </w:tcPr>
          <w:p w14:paraId="2183A811">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深入实施石家庄国家绿色货运配送示范工程，引导企业发展统一配送、集中配送、共同配送、夜间配送等集约化运输。</w:t>
            </w:r>
          </w:p>
        </w:tc>
        <w:tc>
          <w:tcPr>
            <w:tcW w:w="1250" w:type="pct"/>
            <w:vAlign w:val="center"/>
          </w:tcPr>
          <w:p w14:paraId="52D3488D">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市发展和改革委员会、市交通运输局、市邮政管理局等</w:t>
            </w:r>
          </w:p>
        </w:tc>
        <w:tc>
          <w:tcPr>
            <w:tcW w:w="627" w:type="pct"/>
            <w:vAlign w:val="center"/>
          </w:tcPr>
          <w:p w14:paraId="0E9321CB">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1182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0E80DC4C">
            <w:pPr>
              <w:snapToGrid w:val="0"/>
              <w:spacing w:after="0" w:line="240" w:lineRule="auto"/>
              <w:ind w:firstLine="480"/>
              <w:jc w:val="center"/>
              <w:rPr>
                <w:rFonts w:hint="default" w:ascii="Times New Roman" w:hAnsi="Times New Roman" w:cs="Times New Roman"/>
                <w:bCs/>
                <w:sz w:val="24"/>
                <w:highlight w:val="none"/>
                <w:lang w:eastAsia="zh-CN"/>
              </w:rPr>
            </w:pPr>
          </w:p>
        </w:tc>
        <w:tc>
          <w:tcPr>
            <w:tcW w:w="249" w:type="pct"/>
            <w:vAlign w:val="center"/>
          </w:tcPr>
          <w:p w14:paraId="0090177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18</w:t>
            </w:r>
          </w:p>
        </w:tc>
        <w:tc>
          <w:tcPr>
            <w:tcW w:w="2599" w:type="pct"/>
            <w:vAlign w:val="center"/>
          </w:tcPr>
          <w:p w14:paraId="32E1117D">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主城区建筑垃圾运输车辆全部新能源化。</w:t>
            </w:r>
          </w:p>
        </w:tc>
        <w:tc>
          <w:tcPr>
            <w:tcW w:w="1250" w:type="pct"/>
            <w:vAlign w:val="center"/>
          </w:tcPr>
          <w:p w14:paraId="7F68B96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市城市管理综合行政执法局</w:t>
            </w:r>
          </w:p>
        </w:tc>
        <w:tc>
          <w:tcPr>
            <w:tcW w:w="627" w:type="pct"/>
            <w:vAlign w:val="center"/>
          </w:tcPr>
          <w:p w14:paraId="6F9DBDAE">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4817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5FC7FD26">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16478B5A">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19</w:t>
            </w:r>
          </w:p>
        </w:tc>
        <w:tc>
          <w:tcPr>
            <w:tcW w:w="2599" w:type="pct"/>
            <w:vAlign w:val="center"/>
          </w:tcPr>
          <w:p w14:paraId="51B9A86D">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加严实施国四及以下排放标准中重型货车限行政策，加快淘汰汽油燃油货车。</w:t>
            </w:r>
          </w:p>
        </w:tc>
        <w:tc>
          <w:tcPr>
            <w:tcW w:w="1250" w:type="pct"/>
            <w:vAlign w:val="center"/>
          </w:tcPr>
          <w:p w14:paraId="5A7F484B">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市交通运输局、市交管局</w:t>
            </w:r>
          </w:p>
        </w:tc>
        <w:tc>
          <w:tcPr>
            <w:tcW w:w="627" w:type="pct"/>
            <w:vAlign w:val="center"/>
          </w:tcPr>
          <w:p w14:paraId="60055842">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6E691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restart"/>
            <w:vAlign w:val="center"/>
          </w:tcPr>
          <w:p w14:paraId="555B4E69">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推进资源集约节约循环利用</w:t>
            </w:r>
          </w:p>
        </w:tc>
        <w:tc>
          <w:tcPr>
            <w:tcW w:w="249" w:type="pct"/>
            <w:vAlign w:val="center"/>
          </w:tcPr>
          <w:p w14:paraId="2ADBEB29">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20</w:t>
            </w:r>
          </w:p>
        </w:tc>
        <w:tc>
          <w:tcPr>
            <w:tcW w:w="2599" w:type="pct"/>
            <w:vAlign w:val="center"/>
          </w:tcPr>
          <w:p w14:paraId="51D955A4">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严格用水总量和强度控制，提升医药制造等工业用水单位、元氏县八一灌区服务中心等农业灌区用水效率，持续遴选发布水效“领跑者”、工业废水循环利用试点企业园区。</w:t>
            </w:r>
          </w:p>
        </w:tc>
        <w:tc>
          <w:tcPr>
            <w:tcW w:w="1250" w:type="pct"/>
            <w:vAlign w:val="center"/>
          </w:tcPr>
          <w:p w14:paraId="19B754F0">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市发展和改革委员会、市工业和信息化局、市生态环境局</w:t>
            </w:r>
          </w:p>
        </w:tc>
        <w:tc>
          <w:tcPr>
            <w:tcW w:w="627" w:type="pct"/>
            <w:vAlign w:val="center"/>
          </w:tcPr>
          <w:p w14:paraId="2942454B">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2027年并持续推进</w:t>
            </w:r>
          </w:p>
        </w:tc>
      </w:tr>
      <w:tr w14:paraId="4AE3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51259D54">
            <w:pPr>
              <w:snapToGrid w:val="0"/>
              <w:spacing w:after="0" w:line="240" w:lineRule="auto"/>
              <w:ind w:firstLine="480"/>
              <w:jc w:val="center"/>
              <w:rPr>
                <w:rFonts w:hint="default" w:ascii="Times New Roman" w:hAnsi="Times New Roman" w:cs="Times New Roman"/>
                <w:bCs/>
                <w:sz w:val="24"/>
                <w:highlight w:val="none"/>
                <w:lang w:eastAsia="zh-CN"/>
              </w:rPr>
            </w:pPr>
          </w:p>
        </w:tc>
        <w:tc>
          <w:tcPr>
            <w:tcW w:w="249" w:type="pct"/>
            <w:vAlign w:val="center"/>
          </w:tcPr>
          <w:p w14:paraId="2B11923C">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21</w:t>
            </w:r>
          </w:p>
        </w:tc>
        <w:tc>
          <w:tcPr>
            <w:tcW w:w="2599" w:type="pct"/>
            <w:vAlign w:val="center"/>
          </w:tcPr>
          <w:p w14:paraId="5C23BECB">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持续实施建设用地总量与强度双控，推广先进节地技术和模式，推动单位地区生产总值建设用地使用面积稳步下降。</w:t>
            </w:r>
          </w:p>
        </w:tc>
        <w:tc>
          <w:tcPr>
            <w:tcW w:w="1250" w:type="pct"/>
            <w:vAlign w:val="center"/>
          </w:tcPr>
          <w:p w14:paraId="625B5805">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市发展和改革委员会、市生态环境局</w:t>
            </w:r>
          </w:p>
        </w:tc>
        <w:tc>
          <w:tcPr>
            <w:tcW w:w="627" w:type="pct"/>
            <w:vAlign w:val="center"/>
          </w:tcPr>
          <w:p w14:paraId="654CB5B2">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0E9EE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0D20E731">
            <w:pPr>
              <w:snapToGrid w:val="0"/>
              <w:spacing w:after="0" w:line="240" w:lineRule="auto"/>
              <w:ind w:firstLine="480"/>
              <w:jc w:val="center"/>
              <w:rPr>
                <w:rFonts w:hint="default" w:ascii="Times New Roman" w:hAnsi="Times New Roman" w:cs="Times New Roman"/>
                <w:bCs/>
                <w:sz w:val="24"/>
                <w:highlight w:val="none"/>
                <w:lang w:eastAsia="zh-CN"/>
              </w:rPr>
            </w:pPr>
          </w:p>
        </w:tc>
        <w:tc>
          <w:tcPr>
            <w:tcW w:w="249" w:type="pct"/>
            <w:vAlign w:val="center"/>
          </w:tcPr>
          <w:p w14:paraId="4252056A">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22</w:t>
            </w:r>
          </w:p>
        </w:tc>
        <w:tc>
          <w:tcPr>
            <w:tcW w:w="2599" w:type="pct"/>
            <w:vAlign w:val="center"/>
          </w:tcPr>
          <w:p w14:paraId="5FA67957">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打造“回收网络化、服务便利化、分拣工厂化、利用高效化、监管信息化”的全链条新型再生资源回收体系</w:t>
            </w:r>
          </w:p>
        </w:tc>
        <w:tc>
          <w:tcPr>
            <w:tcW w:w="1250" w:type="pct"/>
            <w:vAlign w:val="center"/>
          </w:tcPr>
          <w:p w14:paraId="1089E389">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市供销社</w:t>
            </w:r>
          </w:p>
        </w:tc>
        <w:tc>
          <w:tcPr>
            <w:tcW w:w="627" w:type="pct"/>
            <w:vAlign w:val="center"/>
          </w:tcPr>
          <w:p w14:paraId="14EACBF3">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2027年并持续推进</w:t>
            </w:r>
          </w:p>
        </w:tc>
      </w:tr>
      <w:tr w14:paraId="2CC23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275" w:type="pct"/>
            <w:vMerge w:val="continue"/>
            <w:vAlign w:val="center"/>
          </w:tcPr>
          <w:p w14:paraId="000BE3D7">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63306461">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23</w:t>
            </w:r>
          </w:p>
        </w:tc>
        <w:tc>
          <w:tcPr>
            <w:tcW w:w="2599" w:type="pct"/>
            <w:vAlign w:val="center"/>
          </w:tcPr>
          <w:p w14:paraId="5287BCB3">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推进农业废弃物处理资源化利用。</w:t>
            </w:r>
          </w:p>
        </w:tc>
        <w:tc>
          <w:tcPr>
            <w:tcW w:w="1250" w:type="pct"/>
            <w:vAlign w:val="center"/>
          </w:tcPr>
          <w:p w14:paraId="3C5EEFE0">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市农业农村局</w:t>
            </w:r>
          </w:p>
        </w:tc>
        <w:tc>
          <w:tcPr>
            <w:tcW w:w="627" w:type="pct"/>
            <w:vAlign w:val="center"/>
          </w:tcPr>
          <w:p w14:paraId="21253DD7">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2027年并持续推进</w:t>
            </w:r>
          </w:p>
        </w:tc>
      </w:tr>
      <w:tr w14:paraId="5F59D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000" w:type="pct"/>
            <w:gridSpan w:val="5"/>
            <w:vAlign w:val="center"/>
          </w:tcPr>
          <w:p w14:paraId="31A9EF9B">
            <w:pPr>
              <w:snapToGrid w:val="0"/>
              <w:spacing w:after="0" w:line="240" w:lineRule="auto"/>
              <w:ind w:firstLine="0" w:firstLineChars="0"/>
              <w:jc w:val="left"/>
              <w:rPr>
                <w:rFonts w:hint="default" w:ascii="Times New Roman" w:hAnsi="Times New Roman" w:cs="Times New Roman"/>
                <w:bCs/>
                <w:sz w:val="24"/>
                <w:highlight w:val="none"/>
                <w:lang w:eastAsia="zh-CN"/>
              </w:rPr>
            </w:pPr>
            <w:r>
              <w:rPr>
                <w:rFonts w:hint="default" w:ascii="Times New Roman" w:hAnsi="Times New Roman" w:cs="Times New Roman"/>
                <w:b/>
                <w:sz w:val="24"/>
                <w:highlight w:val="none"/>
                <w:lang w:eastAsia="zh-CN"/>
              </w:rPr>
              <w:t>（二）建设天蓝水秀环境优美之城</w:t>
            </w:r>
          </w:p>
        </w:tc>
      </w:tr>
      <w:tr w14:paraId="5B905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restart"/>
            <w:vAlign w:val="center"/>
          </w:tcPr>
          <w:p w14:paraId="150005C2">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推进大气污染防治提质增效</w:t>
            </w:r>
          </w:p>
        </w:tc>
        <w:tc>
          <w:tcPr>
            <w:tcW w:w="249" w:type="pct"/>
            <w:vAlign w:val="center"/>
          </w:tcPr>
          <w:p w14:paraId="3CE9A364">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24</w:t>
            </w:r>
          </w:p>
        </w:tc>
        <w:tc>
          <w:tcPr>
            <w:tcW w:w="2599" w:type="pct"/>
            <w:vAlign w:val="center"/>
          </w:tcPr>
          <w:p w14:paraId="6A2E0AD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推进重点行业深度治理，持续提升工业企业环保绩效等级，完成水泥行业超低排放改造，深入推动重点行业深度治理，开展锅炉和工业炉窑等简易低效污染治理设施排查整治和升级更新。</w:t>
            </w:r>
          </w:p>
        </w:tc>
        <w:tc>
          <w:tcPr>
            <w:tcW w:w="1250" w:type="pct"/>
            <w:vAlign w:val="center"/>
          </w:tcPr>
          <w:p w14:paraId="0362E04E">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w:t>
            </w:r>
          </w:p>
        </w:tc>
        <w:tc>
          <w:tcPr>
            <w:tcW w:w="627" w:type="pct"/>
            <w:vAlign w:val="center"/>
          </w:tcPr>
          <w:p w14:paraId="0343D007">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2027年并持续推进</w:t>
            </w:r>
          </w:p>
        </w:tc>
      </w:tr>
      <w:tr w14:paraId="7DC9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4C9F475E">
            <w:pPr>
              <w:snapToGrid w:val="0"/>
              <w:spacing w:after="0" w:line="240" w:lineRule="auto"/>
              <w:ind w:firstLine="480"/>
              <w:jc w:val="center"/>
              <w:rPr>
                <w:rFonts w:hint="default" w:ascii="Times New Roman" w:hAnsi="Times New Roman" w:cs="Times New Roman"/>
                <w:bCs/>
                <w:sz w:val="24"/>
                <w:highlight w:val="none"/>
                <w:lang w:eastAsia="zh-CN"/>
              </w:rPr>
            </w:pPr>
          </w:p>
        </w:tc>
        <w:tc>
          <w:tcPr>
            <w:tcW w:w="249" w:type="pct"/>
            <w:vAlign w:val="center"/>
          </w:tcPr>
          <w:p w14:paraId="1581B6B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25</w:t>
            </w:r>
          </w:p>
        </w:tc>
        <w:tc>
          <w:tcPr>
            <w:tcW w:w="2599" w:type="pct"/>
            <w:vAlign w:val="center"/>
          </w:tcPr>
          <w:p w14:paraId="2C4B74F5">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深化VOCs全流程治理，高效推进石化、化工等重点行业领域挥发性有机物综合治理，实施原辅材料和产品源头替代。</w:t>
            </w:r>
          </w:p>
        </w:tc>
        <w:tc>
          <w:tcPr>
            <w:tcW w:w="1250" w:type="pct"/>
            <w:vAlign w:val="center"/>
          </w:tcPr>
          <w:p w14:paraId="65D292C0">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市生态环境局、市大气污染防治服务保障中心、市市场监督管理局</w:t>
            </w:r>
          </w:p>
        </w:tc>
        <w:tc>
          <w:tcPr>
            <w:tcW w:w="627" w:type="pct"/>
            <w:vAlign w:val="center"/>
          </w:tcPr>
          <w:p w14:paraId="5A54AEFC">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2027年并持续推进</w:t>
            </w:r>
          </w:p>
        </w:tc>
      </w:tr>
      <w:tr w14:paraId="00C4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275" w:type="pct"/>
            <w:vMerge w:val="continue"/>
            <w:vAlign w:val="center"/>
          </w:tcPr>
          <w:p w14:paraId="41F8F78F">
            <w:pPr>
              <w:snapToGrid w:val="0"/>
              <w:spacing w:after="0" w:line="240" w:lineRule="auto"/>
              <w:ind w:firstLine="480"/>
              <w:jc w:val="center"/>
              <w:rPr>
                <w:rFonts w:hint="default" w:ascii="Times New Roman" w:hAnsi="Times New Roman" w:cs="Times New Roman"/>
                <w:bCs/>
                <w:sz w:val="24"/>
                <w:highlight w:val="none"/>
                <w:lang w:eastAsia="zh-CN"/>
              </w:rPr>
            </w:pPr>
          </w:p>
        </w:tc>
        <w:tc>
          <w:tcPr>
            <w:tcW w:w="249" w:type="pct"/>
            <w:vAlign w:val="center"/>
          </w:tcPr>
          <w:p w14:paraId="073E123A">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26</w:t>
            </w:r>
          </w:p>
        </w:tc>
        <w:tc>
          <w:tcPr>
            <w:tcW w:w="2599" w:type="pct"/>
            <w:vAlign w:val="center"/>
          </w:tcPr>
          <w:p w14:paraId="734DF669">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深化移动源监管和污染治理，全面清理整顿自建油、流动加油车和黑加油站点、常态化油品监测，建立柴油货车常态化检查检测长效机制，优化调整非道路移动机械低排放控制区，加快淘汰国二及以下老旧工程机械和国四及以下排放标准柴油货车。</w:t>
            </w:r>
          </w:p>
        </w:tc>
        <w:tc>
          <w:tcPr>
            <w:tcW w:w="1250" w:type="pct"/>
            <w:vAlign w:val="center"/>
          </w:tcPr>
          <w:p w14:paraId="10F314F5">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市生态环境局、市大气污染防治服务保障中心、市交通运输局、市交管局、市发展和改革委员会</w:t>
            </w:r>
          </w:p>
        </w:tc>
        <w:tc>
          <w:tcPr>
            <w:tcW w:w="627" w:type="pct"/>
            <w:vAlign w:val="center"/>
          </w:tcPr>
          <w:p w14:paraId="5877A364">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2027年并持续推进</w:t>
            </w:r>
          </w:p>
        </w:tc>
      </w:tr>
      <w:tr w14:paraId="11F1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7BAD22A0">
            <w:pPr>
              <w:snapToGrid w:val="0"/>
              <w:spacing w:after="0" w:line="240" w:lineRule="auto"/>
              <w:ind w:firstLine="480"/>
              <w:jc w:val="center"/>
              <w:rPr>
                <w:rFonts w:hint="default" w:ascii="Times New Roman" w:hAnsi="Times New Roman" w:cs="Times New Roman"/>
                <w:bCs/>
                <w:sz w:val="24"/>
                <w:highlight w:val="none"/>
                <w:lang w:eastAsia="zh-CN"/>
              </w:rPr>
            </w:pPr>
          </w:p>
        </w:tc>
        <w:tc>
          <w:tcPr>
            <w:tcW w:w="249" w:type="pct"/>
            <w:vAlign w:val="center"/>
          </w:tcPr>
          <w:p w14:paraId="3C165DFF">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27</w:t>
            </w:r>
          </w:p>
        </w:tc>
        <w:tc>
          <w:tcPr>
            <w:tcW w:w="2599" w:type="pct"/>
            <w:vAlign w:val="center"/>
          </w:tcPr>
          <w:p w14:paraId="4120C70B">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持续推进面源污染整治，推广低尘机械化湿式清扫作业，深化餐饮油烟污染和恶臭异味治理，强化秸秆综合利用和禁烧管控。</w:t>
            </w:r>
          </w:p>
        </w:tc>
        <w:tc>
          <w:tcPr>
            <w:tcW w:w="1250" w:type="pct"/>
            <w:vAlign w:val="center"/>
          </w:tcPr>
          <w:p w14:paraId="2180CECF">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w:t>
            </w:r>
          </w:p>
        </w:tc>
        <w:tc>
          <w:tcPr>
            <w:tcW w:w="627" w:type="pct"/>
            <w:vAlign w:val="center"/>
          </w:tcPr>
          <w:p w14:paraId="658A9E8F">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2027年并持续推进</w:t>
            </w:r>
          </w:p>
        </w:tc>
      </w:tr>
      <w:tr w14:paraId="4096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0156FC88">
            <w:pPr>
              <w:snapToGrid w:val="0"/>
              <w:spacing w:after="0" w:line="240" w:lineRule="auto"/>
              <w:ind w:firstLine="480"/>
              <w:jc w:val="center"/>
              <w:rPr>
                <w:rFonts w:hint="default" w:ascii="Times New Roman" w:hAnsi="Times New Roman" w:cs="Times New Roman"/>
                <w:bCs/>
                <w:sz w:val="24"/>
                <w:highlight w:val="none"/>
                <w:lang w:eastAsia="zh-CN"/>
              </w:rPr>
            </w:pPr>
          </w:p>
        </w:tc>
        <w:tc>
          <w:tcPr>
            <w:tcW w:w="249" w:type="pct"/>
            <w:vAlign w:val="center"/>
          </w:tcPr>
          <w:p w14:paraId="012297F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28</w:t>
            </w:r>
          </w:p>
        </w:tc>
        <w:tc>
          <w:tcPr>
            <w:tcW w:w="2599" w:type="pct"/>
            <w:vAlign w:val="center"/>
          </w:tcPr>
          <w:p w14:paraId="272CBF2B">
            <w:pPr>
              <w:snapToGrid w:val="0"/>
              <w:spacing w:after="0" w:line="32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完善重污染天气应对机制，将涉气工业企业全部纳入应急减排清单，对区域内排放占比大的重点行业实施依法依规实施差异化管控。</w:t>
            </w:r>
          </w:p>
        </w:tc>
        <w:tc>
          <w:tcPr>
            <w:tcW w:w="1250" w:type="pct"/>
            <w:vAlign w:val="center"/>
          </w:tcPr>
          <w:p w14:paraId="7AAE8AD3">
            <w:pPr>
              <w:snapToGrid w:val="0"/>
              <w:spacing w:after="0" w:line="32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市生态环境局、市大气污染防治服务保障中心</w:t>
            </w:r>
          </w:p>
        </w:tc>
        <w:tc>
          <w:tcPr>
            <w:tcW w:w="627" w:type="pct"/>
            <w:vAlign w:val="center"/>
          </w:tcPr>
          <w:p w14:paraId="1510CD09">
            <w:pPr>
              <w:snapToGrid w:val="0"/>
              <w:spacing w:after="0" w:line="32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2027年并持续推进</w:t>
            </w:r>
          </w:p>
        </w:tc>
      </w:tr>
      <w:tr w14:paraId="6351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68764EFD">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1DC135C6">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29</w:t>
            </w:r>
          </w:p>
        </w:tc>
        <w:tc>
          <w:tcPr>
            <w:tcW w:w="2599" w:type="pct"/>
            <w:vAlign w:val="center"/>
          </w:tcPr>
          <w:p w14:paraId="1838BC0F">
            <w:pPr>
              <w:snapToGrid w:val="0"/>
              <w:spacing w:after="0" w:line="32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加强大气污染联防联控，建立交界区域大气环境共建共管机制。</w:t>
            </w:r>
          </w:p>
        </w:tc>
        <w:tc>
          <w:tcPr>
            <w:tcW w:w="1250" w:type="pct"/>
            <w:vAlign w:val="center"/>
          </w:tcPr>
          <w:p w14:paraId="539337BB">
            <w:pPr>
              <w:snapToGrid w:val="0"/>
              <w:spacing w:after="0" w:line="32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市生态环境局、市大气污染防治服务保障中心</w:t>
            </w:r>
          </w:p>
        </w:tc>
        <w:tc>
          <w:tcPr>
            <w:tcW w:w="627" w:type="pct"/>
            <w:vAlign w:val="center"/>
          </w:tcPr>
          <w:p w14:paraId="51CDE82F">
            <w:pPr>
              <w:snapToGrid w:val="0"/>
              <w:spacing w:after="0" w:line="32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2027年并持续推进</w:t>
            </w:r>
          </w:p>
        </w:tc>
      </w:tr>
      <w:tr w14:paraId="2B4C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restart"/>
            <w:vAlign w:val="center"/>
          </w:tcPr>
          <w:p w14:paraId="3DEF8AC4">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持续深化水生态环境治理</w:t>
            </w:r>
          </w:p>
        </w:tc>
        <w:tc>
          <w:tcPr>
            <w:tcW w:w="249" w:type="pct"/>
            <w:vAlign w:val="center"/>
          </w:tcPr>
          <w:p w14:paraId="29AB45C4">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30</w:t>
            </w:r>
          </w:p>
        </w:tc>
        <w:tc>
          <w:tcPr>
            <w:tcW w:w="2599" w:type="pct"/>
            <w:vAlign w:val="center"/>
          </w:tcPr>
          <w:p w14:paraId="2AA02B66">
            <w:pPr>
              <w:snapToGrid w:val="0"/>
              <w:spacing w:before="120" w:beforeLines="50" w:after="120" w:afterLines="50" w:line="32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优化水资源调度，统筹调度外调水、引江水、水库水等多水源，重点实施滹沱河、洨河、冶河等河道的生态补水工程。</w:t>
            </w:r>
          </w:p>
        </w:tc>
        <w:tc>
          <w:tcPr>
            <w:tcW w:w="1250" w:type="pct"/>
            <w:vAlign w:val="center"/>
          </w:tcPr>
          <w:p w14:paraId="5DADAE90">
            <w:pPr>
              <w:snapToGrid w:val="0"/>
              <w:spacing w:after="0" w:line="32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市水利局、市生态环境局</w:t>
            </w:r>
          </w:p>
        </w:tc>
        <w:tc>
          <w:tcPr>
            <w:tcW w:w="627" w:type="pct"/>
            <w:vAlign w:val="center"/>
          </w:tcPr>
          <w:p w14:paraId="6B0EA13A">
            <w:pPr>
              <w:snapToGrid w:val="0"/>
              <w:spacing w:after="0" w:line="32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2027年并持续推进</w:t>
            </w:r>
          </w:p>
        </w:tc>
      </w:tr>
      <w:tr w14:paraId="4095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22E318D6">
            <w:pPr>
              <w:snapToGrid w:val="0"/>
              <w:spacing w:after="0" w:line="240" w:lineRule="auto"/>
              <w:ind w:firstLine="480"/>
              <w:jc w:val="center"/>
              <w:rPr>
                <w:rFonts w:hint="default" w:ascii="Times New Roman" w:hAnsi="Times New Roman" w:cs="Times New Roman"/>
                <w:bCs/>
                <w:sz w:val="24"/>
                <w:highlight w:val="none"/>
                <w:lang w:eastAsia="zh-CN"/>
              </w:rPr>
            </w:pPr>
          </w:p>
        </w:tc>
        <w:tc>
          <w:tcPr>
            <w:tcW w:w="249" w:type="pct"/>
            <w:vAlign w:val="center"/>
          </w:tcPr>
          <w:p w14:paraId="7D3C9052">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31</w:t>
            </w:r>
          </w:p>
        </w:tc>
        <w:tc>
          <w:tcPr>
            <w:tcW w:w="2599" w:type="pct"/>
            <w:vAlign w:val="center"/>
          </w:tcPr>
          <w:p w14:paraId="17799E0A">
            <w:pPr>
              <w:snapToGrid w:val="0"/>
              <w:spacing w:after="0" w:line="32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持续推进地下水超采治理。</w:t>
            </w:r>
          </w:p>
        </w:tc>
        <w:tc>
          <w:tcPr>
            <w:tcW w:w="1250" w:type="pct"/>
            <w:vAlign w:val="center"/>
          </w:tcPr>
          <w:p w14:paraId="2FB0B00A">
            <w:pPr>
              <w:snapToGrid w:val="0"/>
              <w:spacing w:after="0" w:line="32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市水利局、市生态环境局</w:t>
            </w:r>
          </w:p>
        </w:tc>
        <w:tc>
          <w:tcPr>
            <w:tcW w:w="627" w:type="pct"/>
            <w:vAlign w:val="center"/>
          </w:tcPr>
          <w:p w14:paraId="285E3146">
            <w:pPr>
              <w:snapToGrid w:val="0"/>
              <w:spacing w:after="0" w:line="32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2B143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275" w:type="pct"/>
            <w:vMerge w:val="continue"/>
            <w:vAlign w:val="center"/>
          </w:tcPr>
          <w:p w14:paraId="2F89F732">
            <w:pPr>
              <w:snapToGrid w:val="0"/>
              <w:spacing w:after="0" w:line="240" w:lineRule="auto"/>
              <w:ind w:firstLine="480"/>
              <w:jc w:val="center"/>
              <w:rPr>
                <w:rFonts w:hint="default" w:ascii="Times New Roman" w:hAnsi="Times New Roman" w:cs="Times New Roman"/>
                <w:bCs/>
                <w:sz w:val="24"/>
                <w:highlight w:val="none"/>
                <w:lang w:eastAsia="zh-CN"/>
              </w:rPr>
            </w:pPr>
          </w:p>
        </w:tc>
        <w:tc>
          <w:tcPr>
            <w:tcW w:w="249" w:type="pct"/>
            <w:vAlign w:val="center"/>
          </w:tcPr>
          <w:p w14:paraId="5ADD017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32</w:t>
            </w:r>
          </w:p>
        </w:tc>
        <w:tc>
          <w:tcPr>
            <w:tcW w:w="2599" w:type="pct"/>
            <w:vAlign w:val="center"/>
          </w:tcPr>
          <w:p w14:paraId="6B8E3D4C">
            <w:pPr>
              <w:snapToGrid w:val="0"/>
              <w:spacing w:after="0" w:line="32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加快完善高新区东南污水处理厂设施建设以及赵县、高新区工业园区配套管网建设，全面推进化工、纺织、医药等重点行业企业污水治理与排放水平绩效分级工作。</w:t>
            </w:r>
          </w:p>
        </w:tc>
        <w:tc>
          <w:tcPr>
            <w:tcW w:w="1250" w:type="pct"/>
            <w:vAlign w:val="center"/>
          </w:tcPr>
          <w:p w14:paraId="4AD26B3E">
            <w:pPr>
              <w:snapToGrid w:val="0"/>
              <w:spacing w:after="0" w:line="32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市住房和城乡建设局</w:t>
            </w:r>
          </w:p>
        </w:tc>
        <w:tc>
          <w:tcPr>
            <w:tcW w:w="627" w:type="pct"/>
            <w:vAlign w:val="center"/>
          </w:tcPr>
          <w:p w14:paraId="05691340">
            <w:pPr>
              <w:snapToGrid w:val="0"/>
              <w:spacing w:after="0" w:line="32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7012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275" w:type="pct"/>
            <w:vMerge w:val="continue"/>
            <w:vAlign w:val="center"/>
          </w:tcPr>
          <w:p w14:paraId="42768AB7">
            <w:pPr>
              <w:snapToGrid w:val="0"/>
              <w:spacing w:after="0" w:line="240" w:lineRule="auto"/>
              <w:ind w:firstLine="480"/>
              <w:jc w:val="center"/>
              <w:rPr>
                <w:rFonts w:hint="default" w:ascii="Times New Roman" w:hAnsi="Times New Roman" w:cs="Times New Roman"/>
                <w:bCs/>
                <w:sz w:val="24"/>
                <w:highlight w:val="none"/>
                <w:lang w:eastAsia="zh-CN"/>
              </w:rPr>
            </w:pPr>
          </w:p>
        </w:tc>
        <w:tc>
          <w:tcPr>
            <w:tcW w:w="249" w:type="pct"/>
            <w:vAlign w:val="center"/>
          </w:tcPr>
          <w:p w14:paraId="58B45F67">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33</w:t>
            </w:r>
          </w:p>
        </w:tc>
        <w:tc>
          <w:tcPr>
            <w:tcW w:w="2599" w:type="pct"/>
            <w:vAlign w:val="center"/>
          </w:tcPr>
          <w:p w14:paraId="1ABCD2DA">
            <w:pPr>
              <w:snapToGrid w:val="0"/>
              <w:spacing w:after="0" w:line="32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加快建制镇生活污水管网建设和改造，全面建成排污口监测监管体系。强化黑臭水体治理，持续开展城市黑臭水体排查整治，健全防止返黑返臭长效机制，实现城市黑臭水体长治久清。</w:t>
            </w:r>
          </w:p>
        </w:tc>
        <w:tc>
          <w:tcPr>
            <w:tcW w:w="1250" w:type="pct"/>
            <w:vAlign w:val="center"/>
          </w:tcPr>
          <w:p w14:paraId="58F1C644">
            <w:pPr>
              <w:snapToGrid w:val="0"/>
              <w:spacing w:after="0" w:line="32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市生态环境局、市城市管理综合行政执法局、市住房和城乡建设局</w:t>
            </w:r>
          </w:p>
        </w:tc>
        <w:tc>
          <w:tcPr>
            <w:tcW w:w="627" w:type="pct"/>
            <w:vAlign w:val="center"/>
          </w:tcPr>
          <w:p w14:paraId="4E500D12">
            <w:pPr>
              <w:snapToGrid w:val="0"/>
              <w:spacing w:after="0" w:line="32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2027年并持续推进</w:t>
            </w:r>
          </w:p>
        </w:tc>
      </w:tr>
      <w:tr w14:paraId="5A1A6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275" w:type="pct"/>
            <w:vMerge w:val="continue"/>
            <w:vAlign w:val="center"/>
          </w:tcPr>
          <w:p w14:paraId="0B2FA70E">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3E2885F3">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34</w:t>
            </w:r>
          </w:p>
        </w:tc>
        <w:tc>
          <w:tcPr>
            <w:tcW w:w="2599" w:type="pct"/>
            <w:vAlign w:val="center"/>
          </w:tcPr>
          <w:p w14:paraId="33A78828">
            <w:pPr>
              <w:snapToGrid w:val="0"/>
              <w:spacing w:after="0" w:line="32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lang w:eastAsia="zh-CN"/>
              </w:rPr>
              <w:t>对民心河、太平河、环城水系等城市景观河道水质加强监管。划定滹沱河、冶河等重点河段生态缓冲带，加强滹沱河等重点河流土著鱼类种群培育，推广人放天养的生态养殖模式。</w:t>
            </w:r>
            <w:r>
              <w:rPr>
                <w:rFonts w:hint="default" w:ascii="Times New Roman" w:hAnsi="Times New Roman" w:cs="Times New Roman"/>
                <w:bCs/>
                <w:sz w:val="24"/>
                <w:highlight w:val="none"/>
              </w:rPr>
              <w:t>开展水生生物多样性调查和健康评估。</w:t>
            </w:r>
          </w:p>
        </w:tc>
        <w:tc>
          <w:tcPr>
            <w:tcW w:w="1250" w:type="pct"/>
            <w:vAlign w:val="center"/>
          </w:tcPr>
          <w:p w14:paraId="3D1F27F2">
            <w:pPr>
              <w:snapToGrid w:val="0"/>
              <w:spacing w:after="0" w:line="32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市农业农村局</w:t>
            </w:r>
          </w:p>
        </w:tc>
        <w:tc>
          <w:tcPr>
            <w:tcW w:w="627" w:type="pct"/>
            <w:vAlign w:val="center"/>
          </w:tcPr>
          <w:p w14:paraId="6F4C3857">
            <w:pPr>
              <w:snapToGrid w:val="0"/>
              <w:spacing w:after="0" w:line="32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2027年并持续推进</w:t>
            </w:r>
          </w:p>
        </w:tc>
      </w:tr>
      <w:tr w14:paraId="6123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275" w:type="pct"/>
            <w:vMerge w:val="restart"/>
            <w:vAlign w:val="center"/>
          </w:tcPr>
          <w:p w14:paraId="4132936E">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加强土壤和地下水污染防治</w:t>
            </w:r>
          </w:p>
        </w:tc>
        <w:tc>
          <w:tcPr>
            <w:tcW w:w="249" w:type="pct"/>
            <w:vAlign w:val="center"/>
          </w:tcPr>
          <w:p w14:paraId="4C4EB2D6">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35</w:t>
            </w:r>
          </w:p>
        </w:tc>
        <w:tc>
          <w:tcPr>
            <w:tcW w:w="2599" w:type="pct"/>
            <w:vAlign w:val="center"/>
          </w:tcPr>
          <w:p w14:paraId="022F8759">
            <w:pPr>
              <w:snapToGrid w:val="0"/>
              <w:spacing w:after="0" w:line="32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实施土壤污染源头防控行动，加强重点建设用地联动监管，全面落实建设用地土壤污染风险管控和修复名录制度。加强关闭搬迁企业地块土壤污染管控。</w:t>
            </w:r>
          </w:p>
        </w:tc>
        <w:tc>
          <w:tcPr>
            <w:tcW w:w="1250" w:type="pct"/>
            <w:vAlign w:val="center"/>
          </w:tcPr>
          <w:p w14:paraId="74681F5F">
            <w:pPr>
              <w:snapToGrid w:val="0"/>
              <w:spacing w:after="0" w:line="32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市生态环境局、市自然资源和规划局</w:t>
            </w:r>
          </w:p>
        </w:tc>
        <w:tc>
          <w:tcPr>
            <w:tcW w:w="627" w:type="pct"/>
            <w:vAlign w:val="center"/>
          </w:tcPr>
          <w:p w14:paraId="598868A3">
            <w:pPr>
              <w:snapToGrid w:val="0"/>
              <w:spacing w:after="0" w:line="32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2027年并持续推进</w:t>
            </w:r>
          </w:p>
        </w:tc>
      </w:tr>
      <w:tr w14:paraId="47128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1B8F0088">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5814302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36</w:t>
            </w:r>
          </w:p>
        </w:tc>
        <w:tc>
          <w:tcPr>
            <w:tcW w:w="2599" w:type="pct"/>
            <w:vAlign w:val="center"/>
          </w:tcPr>
          <w:p w14:paraId="198844B4">
            <w:pPr>
              <w:snapToGrid w:val="0"/>
              <w:spacing w:after="0" w:line="32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统筹推进地下水污染防治，强化化工园区地下水环境监管，推动化工园区地下水污染问题整治，探索建立化工园区地下水污染防治长效机制。</w:t>
            </w:r>
          </w:p>
        </w:tc>
        <w:tc>
          <w:tcPr>
            <w:tcW w:w="1250" w:type="pct"/>
            <w:vAlign w:val="center"/>
          </w:tcPr>
          <w:p w14:paraId="1BC05C86">
            <w:pPr>
              <w:snapToGrid w:val="0"/>
              <w:spacing w:after="0" w:line="320" w:lineRule="exact"/>
              <w:ind w:firstLine="0" w:firstLineChars="0"/>
              <w:jc w:val="center"/>
              <w:rPr>
                <w:rFonts w:hint="default" w:ascii="Times New Roman" w:hAnsi="Times New Roman" w:eastAsia="宋体" w:cs="Times New Roman"/>
                <w:highlight w:val="none"/>
                <w:lang w:eastAsia="zh-CN"/>
              </w:rPr>
            </w:pPr>
            <w:r>
              <w:rPr>
                <w:rFonts w:hint="default" w:ascii="Times New Roman" w:hAnsi="Times New Roman" w:cs="Times New Roman"/>
                <w:bCs/>
                <w:sz w:val="24"/>
                <w:highlight w:val="none"/>
                <w:lang w:eastAsia="zh-CN"/>
              </w:rPr>
              <w:t>市生态环境局、市自然资源和规划局</w:t>
            </w:r>
          </w:p>
        </w:tc>
        <w:tc>
          <w:tcPr>
            <w:tcW w:w="627" w:type="pct"/>
            <w:vAlign w:val="center"/>
          </w:tcPr>
          <w:p w14:paraId="3DAA3DD2">
            <w:pPr>
              <w:snapToGrid w:val="0"/>
              <w:spacing w:after="0" w:line="32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2027年并持续推进</w:t>
            </w:r>
          </w:p>
        </w:tc>
      </w:tr>
      <w:tr w14:paraId="09AB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5"/>
            <w:vAlign w:val="center"/>
          </w:tcPr>
          <w:p w14:paraId="2C4C642D">
            <w:pPr>
              <w:snapToGrid w:val="0"/>
              <w:spacing w:after="0" w:line="240" w:lineRule="auto"/>
              <w:ind w:firstLine="0" w:firstLineChars="0"/>
              <w:jc w:val="left"/>
              <w:rPr>
                <w:rFonts w:hint="default" w:ascii="Times New Roman" w:hAnsi="Times New Roman" w:cs="Times New Roman"/>
                <w:bCs/>
                <w:sz w:val="24"/>
                <w:highlight w:val="none"/>
                <w:lang w:eastAsia="zh-CN"/>
              </w:rPr>
            </w:pPr>
            <w:r>
              <w:rPr>
                <w:rFonts w:hint="default" w:ascii="Times New Roman" w:hAnsi="Times New Roman" w:cs="Times New Roman"/>
                <w:b/>
                <w:bCs/>
                <w:sz w:val="24"/>
                <w:szCs w:val="24"/>
                <w:highlight w:val="none"/>
                <w:lang w:eastAsia="zh-CN" w:bidi="ar"/>
              </w:rPr>
              <w:t>（三）建设绿意盎然生态宜居之城</w:t>
            </w:r>
          </w:p>
        </w:tc>
      </w:tr>
      <w:tr w14:paraId="2EAE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restart"/>
            <w:vAlign w:val="center"/>
          </w:tcPr>
          <w:p w14:paraId="235181F5">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加强生态系统保护修复</w:t>
            </w:r>
          </w:p>
        </w:tc>
        <w:tc>
          <w:tcPr>
            <w:tcW w:w="249" w:type="pct"/>
            <w:vAlign w:val="center"/>
          </w:tcPr>
          <w:p w14:paraId="08F354F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37</w:t>
            </w:r>
          </w:p>
        </w:tc>
        <w:tc>
          <w:tcPr>
            <w:tcW w:w="2599" w:type="pct"/>
            <w:vAlign w:val="center"/>
          </w:tcPr>
          <w:p w14:paraId="7A0F7413">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构建以太行山、滹沱河为骨架的“一山、六水、多廊”生态格局。</w:t>
            </w:r>
          </w:p>
        </w:tc>
        <w:tc>
          <w:tcPr>
            <w:tcW w:w="1250" w:type="pct"/>
            <w:vAlign w:val="center"/>
          </w:tcPr>
          <w:p w14:paraId="3DE4EFC5">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市自然资源和规划局、市林业局、市水利局</w:t>
            </w:r>
          </w:p>
        </w:tc>
        <w:tc>
          <w:tcPr>
            <w:tcW w:w="627" w:type="pct"/>
            <w:vAlign w:val="center"/>
          </w:tcPr>
          <w:p w14:paraId="12CF1D94">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3510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75DAEAEC">
            <w:pPr>
              <w:snapToGrid w:val="0"/>
              <w:spacing w:after="0" w:line="240" w:lineRule="auto"/>
              <w:ind w:firstLine="480"/>
              <w:jc w:val="center"/>
              <w:rPr>
                <w:rFonts w:hint="default" w:ascii="Times New Roman" w:hAnsi="Times New Roman" w:cs="Times New Roman"/>
                <w:bCs/>
                <w:sz w:val="24"/>
                <w:highlight w:val="none"/>
                <w:lang w:eastAsia="zh-CN"/>
              </w:rPr>
            </w:pPr>
          </w:p>
        </w:tc>
        <w:tc>
          <w:tcPr>
            <w:tcW w:w="249" w:type="pct"/>
            <w:vAlign w:val="center"/>
          </w:tcPr>
          <w:p w14:paraId="6A735F43">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38</w:t>
            </w:r>
          </w:p>
        </w:tc>
        <w:tc>
          <w:tcPr>
            <w:tcW w:w="2599" w:type="pct"/>
            <w:vAlign w:val="center"/>
          </w:tcPr>
          <w:p w14:paraId="671A6D2C">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实施西部太行山区人工造林、封山育林、退化林修复、森林抚育。</w:t>
            </w:r>
          </w:p>
        </w:tc>
        <w:tc>
          <w:tcPr>
            <w:tcW w:w="1250" w:type="pct"/>
            <w:vAlign w:val="center"/>
          </w:tcPr>
          <w:p w14:paraId="7BDB1709">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市林业局</w:t>
            </w:r>
          </w:p>
        </w:tc>
        <w:tc>
          <w:tcPr>
            <w:tcW w:w="627" w:type="pct"/>
            <w:vAlign w:val="center"/>
          </w:tcPr>
          <w:p w14:paraId="1F0F9D3F">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7287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4B6C3AA4">
            <w:pPr>
              <w:snapToGrid w:val="0"/>
              <w:spacing w:after="0" w:line="240" w:lineRule="auto"/>
              <w:ind w:firstLine="480"/>
              <w:jc w:val="center"/>
              <w:rPr>
                <w:rFonts w:hint="default" w:ascii="Times New Roman" w:hAnsi="Times New Roman" w:cs="Times New Roman"/>
                <w:bCs/>
                <w:sz w:val="24"/>
                <w:highlight w:val="none"/>
                <w:lang w:eastAsia="zh-CN"/>
              </w:rPr>
            </w:pPr>
          </w:p>
        </w:tc>
        <w:tc>
          <w:tcPr>
            <w:tcW w:w="249" w:type="pct"/>
            <w:vAlign w:val="center"/>
          </w:tcPr>
          <w:p w14:paraId="12129500">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39</w:t>
            </w:r>
          </w:p>
        </w:tc>
        <w:tc>
          <w:tcPr>
            <w:tcW w:w="2599" w:type="pct"/>
            <w:vAlign w:val="center"/>
          </w:tcPr>
          <w:p w14:paraId="6DEAD84B">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推进滹沱河、大沙河、磁河（木刀沟）、洨河、槐河、泲河等6条主要河流以及岗南水库、黄壁庄水库的生态系统保护修复。</w:t>
            </w:r>
          </w:p>
        </w:tc>
        <w:tc>
          <w:tcPr>
            <w:tcW w:w="1250" w:type="pct"/>
            <w:vAlign w:val="center"/>
          </w:tcPr>
          <w:p w14:paraId="6578B765">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w:t>
            </w:r>
          </w:p>
        </w:tc>
        <w:tc>
          <w:tcPr>
            <w:tcW w:w="627" w:type="pct"/>
            <w:vAlign w:val="center"/>
          </w:tcPr>
          <w:p w14:paraId="63208B29">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6528C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275" w:type="pct"/>
            <w:vMerge w:val="continue"/>
            <w:vAlign w:val="center"/>
          </w:tcPr>
          <w:p w14:paraId="551A2E02">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6863E674">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40</w:t>
            </w:r>
          </w:p>
        </w:tc>
        <w:tc>
          <w:tcPr>
            <w:tcW w:w="2599" w:type="pct"/>
            <w:vAlign w:val="center"/>
          </w:tcPr>
          <w:p w14:paraId="5B8CE746">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配合河北省生态环境厅开展生态保护红线的生态保护成效评估。</w:t>
            </w:r>
          </w:p>
        </w:tc>
        <w:tc>
          <w:tcPr>
            <w:tcW w:w="1250" w:type="pct"/>
            <w:vAlign w:val="center"/>
          </w:tcPr>
          <w:p w14:paraId="4791614A">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市生态环境局</w:t>
            </w:r>
          </w:p>
        </w:tc>
        <w:tc>
          <w:tcPr>
            <w:tcW w:w="627" w:type="pct"/>
            <w:vAlign w:val="center"/>
          </w:tcPr>
          <w:p w14:paraId="2F4E2D33">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4B8B2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275" w:type="pct"/>
            <w:vMerge w:val="continue"/>
            <w:vAlign w:val="center"/>
          </w:tcPr>
          <w:p w14:paraId="681222E4">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1AD176CC">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41</w:t>
            </w:r>
          </w:p>
        </w:tc>
        <w:tc>
          <w:tcPr>
            <w:tcW w:w="2599" w:type="pct"/>
            <w:vAlign w:val="center"/>
          </w:tcPr>
          <w:p w14:paraId="70C72E26">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统筹推进山水林田湖草沙系统治理。</w:t>
            </w:r>
          </w:p>
        </w:tc>
        <w:tc>
          <w:tcPr>
            <w:tcW w:w="1250" w:type="pct"/>
            <w:vAlign w:val="center"/>
          </w:tcPr>
          <w:p w14:paraId="244250EE">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市生态环境局</w:t>
            </w:r>
          </w:p>
        </w:tc>
        <w:tc>
          <w:tcPr>
            <w:tcW w:w="627" w:type="pct"/>
            <w:vAlign w:val="center"/>
          </w:tcPr>
          <w:p w14:paraId="1F278E4F">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258D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275" w:type="pct"/>
            <w:vMerge w:val="continue"/>
            <w:vAlign w:val="center"/>
          </w:tcPr>
          <w:p w14:paraId="34D6BF14">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2D6D38E2">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42</w:t>
            </w:r>
          </w:p>
        </w:tc>
        <w:tc>
          <w:tcPr>
            <w:tcW w:w="2599" w:type="pct"/>
            <w:vAlign w:val="center"/>
          </w:tcPr>
          <w:p w14:paraId="522C0F0A">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扎实推进历史遗留矿山修复治理，改善废弃矿山生态环境。</w:t>
            </w:r>
          </w:p>
        </w:tc>
        <w:tc>
          <w:tcPr>
            <w:tcW w:w="1250" w:type="pct"/>
            <w:vAlign w:val="center"/>
          </w:tcPr>
          <w:p w14:paraId="7F49E3C5">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市自然资源和规划局</w:t>
            </w:r>
          </w:p>
        </w:tc>
        <w:tc>
          <w:tcPr>
            <w:tcW w:w="627" w:type="pct"/>
            <w:vAlign w:val="center"/>
          </w:tcPr>
          <w:p w14:paraId="50B40768">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10FB5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2FD010E5">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5C24FA21">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43</w:t>
            </w:r>
          </w:p>
        </w:tc>
        <w:tc>
          <w:tcPr>
            <w:tcW w:w="2599" w:type="pct"/>
            <w:vAlign w:val="center"/>
          </w:tcPr>
          <w:p w14:paraId="119CB522">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加强槐河、甘陶河、冶河、滹沱河湿地等候鸟重要栖息地和迁飞通道地区生态保护和修复。</w:t>
            </w:r>
          </w:p>
        </w:tc>
        <w:tc>
          <w:tcPr>
            <w:tcW w:w="1250" w:type="pct"/>
            <w:vAlign w:val="center"/>
          </w:tcPr>
          <w:p w14:paraId="43DD977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市林业局、市农业农村局、市生态环境局</w:t>
            </w:r>
          </w:p>
        </w:tc>
        <w:tc>
          <w:tcPr>
            <w:tcW w:w="627" w:type="pct"/>
            <w:vAlign w:val="center"/>
          </w:tcPr>
          <w:p w14:paraId="2708A053">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306EA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16971889">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3D950A2C">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44</w:t>
            </w:r>
          </w:p>
        </w:tc>
        <w:tc>
          <w:tcPr>
            <w:tcW w:w="2599" w:type="pct"/>
            <w:vAlign w:val="center"/>
          </w:tcPr>
          <w:p w14:paraId="19B421FD">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开展河北冶河省级湿地公园和河北绵蔓河省级湿地公园生态保护和修复。</w:t>
            </w:r>
          </w:p>
        </w:tc>
        <w:tc>
          <w:tcPr>
            <w:tcW w:w="1250" w:type="pct"/>
            <w:vAlign w:val="center"/>
          </w:tcPr>
          <w:p w14:paraId="2E889EE2">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市林业局</w:t>
            </w:r>
          </w:p>
        </w:tc>
        <w:tc>
          <w:tcPr>
            <w:tcW w:w="627" w:type="pct"/>
            <w:vAlign w:val="center"/>
          </w:tcPr>
          <w:p w14:paraId="4A4411E0">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5368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restart"/>
            <w:vAlign w:val="center"/>
          </w:tcPr>
          <w:p w14:paraId="20F163B4">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构建蓝绿共融生态城市</w:t>
            </w:r>
          </w:p>
        </w:tc>
        <w:tc>
          <w:tcPr>
            <w:tcW w:w="249" w:type="pct"/>
            <w:vAlign w:val="center"/>
          </w:tcPr>
          <w:p w14:paraId="678AA8A9">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45</w:t>
            </w:r>
          </w:p>
        </w:tc>
        <w:tc>
          <w:tcPr>
            <w:tcW w:w="2599" w:type="pct"/>
            <w:vAlign w:val="center"/>
          </w:tcPr>
          <w:p w14:paraId="4D75450B">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重点开展太行山森林步道建设、重要水生态廊道建设和重要交通景观生态廊道提升。</w:t>
            </w:r>
          </w:p>
        </w:tc>
        <w:tc>
          <w:tcPr>
            <w:tcW w:w="1250" w:type="pct"/>
            <w:vAlign w:val="center"/>
          </w:tcPr>
          <w:p w14:paraId="26E6952F">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市林业局、市园林局</w:t>
            </w:r>
          </w:p>
        </w:tc>
        <w:tc>
          <w:tcPr>
            <w:tcW w:w="627" w:type="pct"/>
            <w:vAlign w:val="center"/>
          </w:tcPr>
          <w:p w14:paraId="76F5EBE9">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0118B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275" w:type="pct"/>
            <w:vMerge w:val="continue"/>
            <w:vAlign w:val="center"/>
          </w:tcPr>
          <w:p w14:paraId="61816B9D">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3D0A52AF">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46</w:t>
            </w:r>
          </w:p>
        </w:tc>
        <w:tc>
          <w:tcPr>
            <w:tcW w:w="2599" w:type="pct"/>
            <w:vAlign w:val="center"/>
          </w:tcPr>
          <w:p w14:paraId="5012C596">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将滹沱河、太行山自然空间与城市空间有机融合，构建“山、水、园、廊”相互渗透的城市生态网络。</w:t>
            </w:r>
          </w:p>
        </w:tc>
        <w:tc>
          <w:tcPr>
            <w:tcW w:w="1250" w:type="pct"/>
            <w:vAlign w:val="center"/>
          </w:tcPr>
          <w:p w14:paraId="7B32E64D">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市自然资源和规划局、市林业局、市园林局</w:t>
            </w:r>
          </w:p>
        </w:tc>
        <w:tc>
          <w:tcPr>
            <w:tcW w:w="627" w:type="pct"/>
            <w:vAlign w:val="center"/>
          </w:tcPr>
          <w:p w14:paraId="6ABA1DDE">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1B0A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2D4810C5">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40B815C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47</w:t>
            </w:r>
          </w:p>
        </w:tc>
        <w:tc>
          <w:tcPr>
            <w:tcW w:w="2599" w:type="pct"/>
            <w:vAlign w:val="center"/>
          </w:tcPr>
          <w:p w14:paraId="7128722E">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深入实施太行山绿化、主要道路和河道两岸绿化重点工程。</w:t>
            </w:r>
          </w:p>
        </w:tc>
        <w:tc>
          <w:tcPr>
            <w:tcW w:w="1250" w:type="pct"/>
            <w:vAlign w:val="center"/>
          </w:tcPr>
          <w:p w14:paraId="37B15309">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市林业局、市水利局、市交通运输局、市园林局</w:t>
            </w:r>
          </w:p>
        </w:tc>
        <w:tc>
          <w:tcPr>
            <w:tcW w:w="627" w:type="pct"/>
            <w:vAlign w:val="center"/>
          </w:tcPr>
          <w:p w14:paraId="28CB51B8">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26918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071AA51C">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243CC770">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48</w:t>
            </w:r>
          </w:p>
        </w:tc>
        <w:tc>
          <w:tcPr>
            <w:tcW w:w="2599" w:type="pct"/>
            <w:vAlign w:val="center"/>
          </w:tcPr>
          <w:p w14:paraId="4ABBEA3B">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科学规范推进园林绿地精细化管理，提升服务保障质量，全面提升园林绿</w:t>
            </w:r>
            <w:r>
              <w:rPr>
                <w:rFonts w:hint="default" w:ascii="Times New Roman" w:hAnsi="Times New Roman" w:cs="Times New Roman"/>
                <w:bCs/>
                <w:sz w:val="24"/>
                <w:highlight w:val="none"/>
                <w:lang w:val="en-US" w:eastAsia="zh-CN"/>
              </w:rPr>
              <w:t>地品质。</w:t>
            </w:r>
          </w:p>
        </w:tc>
        <w:tc>
          <w:tcPr>
            <w:tcW w:w="1250" w:type="pct"/>
            <w:vAlign w:val="center"/>
          </w:tcPr>
          <w:p w14:paraId="2615AB68">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市园林局</w:t>
            </w:r>
          </w:p>
        </w:tc>
        <w:tc>
          <w:tcPr>
            <w:tcW w:w="627" w:type="pct"/>
            <w:vAlign w:val="center"/>
          </w:tcPr>
          <w:p w14:paraId="285D83AF">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002F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390D86AD">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56F47F1A">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49</w:t>
            </w:r>
          </w:p>
        </w:tc>
        <w:tc>
          <w:tcPr>
            <w:tcW w:w="2599" w:type="pct"/>
            <w:vAlign w:val="center"/>
          </w:tcPr>
          <w:p w14:paraId="7CBCE3A1">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优化城市绿色开敞空间，持续提升城市国家园林城市形象，打造高品质城市中心公园，推进湿地公园、郊野公园、综合公园、社区公园、游园、口袋公园等规划建设和提升改造。</w:t>
            </w:r>
          </w:p>
        </w:tc>
        <w:tc>
          <w:tcPr>
            <w:tcW w:w="1250" w:type="pct"/>
            <w:vAlign w:val="center"/>
          </w:tcPr>
          <w:p w14:paraId="757599DC">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市园林局</w:t>
            </w:r>
          </w:p>
        </w:tc>
        <w:tc>
          <w:tcPr>
            <w:tcW w:w="627" w:type="pct"/>
            <w:vAlign w:val="center"/>
          </w:tcPr>
          <w:p w14:paraId="3B9C8F39">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3E389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restart"/>
            <w:vAlign w:val="center"/>
          </w:tcPr>
          <w:p w14:paraId="608CDBBB">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全面推进“无废城市”建设</w:t>
            </w:r>
          </w:p>
        </w:tc>
        <w:tc>
          <w:tcPr>
            <w:tcW w:w="249" w:type="pct"/>
            <w:vAlign w:val="center"/>
          </w:tcPr>
          <w:p w14:paraId="16D68E52">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50</w:t>
            </w:r>
          </w:p>
        </w:tc>
        <w:tc>
          <w:tcPr>
            <w:tcW w:w="2599" w:type="pct"/>
            <w:vAlign w:val="center"/>
          </w:tcPr>
          <w:p w14:paraId="401E9D28">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推动脱硫石膏、粉煤灰、煤矸石等大宗工业固体废物综合利用，鹿泉区、赞皇县、晋州市等区县推进水泥窑协同处置利用。</w:t>
            </w:r>
          </w:p>
        </w:tc>
        <w:tc>
          <w:tcPr>
            <w:tcW w:w="1250" w:type="pct"/>
            <w:vAlign w:val="center"/>
          </w:tcPr>
          <w:p w14:paraId="717FD84D">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市发展和改革委员会、市工业和信息化局、市生态环境局、市住房和城乡建设局、市数据局 </w:t>
            </w:r>
          </w:p>
        </w:tc>
        <w:tc>
          <w:tcPr>
            <w:tcW w:w="627" w:type="pct"/>
            <w:vAlign w:val="center"/>
          </w:tcPr>
          <w:p w14:paraId="5099FAD5">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07D5A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1BFCD1CB">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4D092480">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51</w:t>
            </w:r>
          </w:p>
        </w:tc>
        <w:tc>
          <w:tcPr>
            <w:tcW w:w="2599" w:type="pct"/>
            <w:vAlign w:val="center"/>
          </w:tcPr>
          <w:p w14:paraId="72CA0E79">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推进危险废物产生单位“五即”规范化建设，强化危险废物从产生到处置的二维码全过程跟踪信息化管理，危险废物环境重点监管单位实现全过程信息化监管全覆盖。</w:t>
            </w:r>
          </w:p>
        </w:tc>
        <w:tc>
          <w:tcPr>
            <w:tcW w:w="1250" w:type="pct"/>
            <w:vAlign w:val="center"/>
          </w:tcPr>
          <w:p w14:paraId="4C9A3F34">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市生态环境局</w:t>
            </w:r>
          </w:p>
        </w:tc>
        <w:tc>
          <w:tcPr>
            <w:tcW w:w="627" w:type="pct"/>
            <w:vAlign w:val="center"/>
          </w:tcPr>
          <w:p w14:paraId="5477827C">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74D7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2B27395A">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1AD00C10">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52</w:t>
            </w:r>
          </w:p>
        </w:tc>
        <w:tc>
          <w:tcPr>
            <w:tcW w:w="2599" w:type="pct"/>
            <w:vAlign w:val="center"/>
          </w:tcPr>
          <w:p w14:paraId="3A6B7789">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构建生活垃圾投放、收集、运输、处理全过程分类系统，完善餐厨垃圾收集、转运设施。</w:t>
            </w:r>
          </w:p>
        </w:tc>
        <w:tc>
          <w:tcPr>
            <w:tcW w:w="1250" w:type="pct"/>
            <w:vAlign w:val="center"/>
          </w:tcPr>
          <w:p w14:paraId="47D5A5AD">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市城市管理综合行政执法局、市住房和城乡建设局</w:t>
            </w:r>
          </w:p>
        </w:tc>
        <w:tc>
          <w:tcPr>
            <w:tcW w:w="627" w:type="pct"/>
            <w:vAlign w:val="center"/>
          </w:tcPr>
          <w:p w14:paraId="6A41AEB1">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384B5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1359132F">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5B41B9C7">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53</w:t>
            </w:r>
          </w:p>
        </w:tc>
        <w:tc>
          <w:tcPr>
            <w:tcW w:w="2599" w:type="pct"/>
            <w:vAlign w:val="center"/>
          </w:tcPr>
          <w:p w14:paraId="038100FB">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开展“无废小区”“无废景区”“无废学校”“无废商场”等“无废细胞”建设工作。</w:t>
            </w:r>
          </w:p>
        </w:tc>
        <w:tc>
          <w:tcPr>
            <w:tcW w:w="1250" w:type="pct"/>
            <w:vAlign w:val="center"/>
          </w:tcPr>
          <w:p w14:paraId="070F5010">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市工业和信息化局、市城市管理综合行政执法局、市商务局、市农业农村局、市住房和城乡建设局、市教育局、市文化广电和旅游局</w:t>
            </w:r>
          </w:p>
        </w:tc>
        <w:tc>
          <w:tcPr>
            <w:tcW w:w="627" w:type="pct"/>
            <w:vAlign w:val="center"/>
          </w:tcPr>
          <w:p w14:paraId="717F3619">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51FB2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275" w:type="pct"/>
            <w:vMerge w:val="restart"/>
            <w:vAlign w:val="center"/>
          </w:tcPr>
          <w:p w14:paraId="3D66555B">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提升城市人居环境品质</w:t>
            </w:r>
          </w:p>
        </w:tc>
        <w:tc>
          <w:tcPr>
            <w:tcW w:w="249" w:type="pct"/>
            <w:vAlign w:val="center"/>
          </w:tcPr>
          <w:p w14:paraId="19E54C9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54</w:t>
            </w:r>
          </w:p>
        </w:tc>
        <w:tc>
          <w:tcPr>
            <w:tcW w:w="2599" w:type="pct"/>
            <w:vAlign w:val="center"/>
          </w:tcPr>
          <w:p w14:paraId="0CB8101B">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重点推进六大片区进行城市更新行动。开展长安区、桥西区、新华区、裕华区等老旧小区、城中村改造。</w:t>
            </w:r>
          </w:p>
        </w:tc>
        <w:tc>
          <w:tcPr>
            <w:tcW w:w="1250" w:type="pct"/>
            <w:vAlign w:val="center"/>
          </w:tcPr>
          <w:p w14:paraId="0C4E87B8">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市城市更新促进中心</w:t>
            </w:r>
          </w:p>
        </w:tc>
        <w:tc>
          <w:tcPr>
            <w:tcW w:w="627" w:type="pct"/>
            <w:vAlign w:val="center"/>
          </w:tcPr>
          <w:p w14:paraId="3BB96241">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7F12C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275" w:type="pct"/>
            <w:vMerge w:val="continue"/>
            <w:vAlign w:val="center"/>
          </w:tcPr>
          <w:p w14:paraId="2BB66B8C">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1048B00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55</w:t>
            </w:r>
          </w:p>
        </w:tc>
        <w:tc>
          <w:tcPr>
            <w:tcW w:w="2599" w:type="pct"/>
            <w:vAlign w:val="center"/>
          </w:tcPr>
          <w:p w14:paraId="4F95D209">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全域持续推进一刻钟生活圈先行区试点城市建设，优化十五分钟生活圈要素配置和空间布局。</w:t>
            </w:r>
          </w:p>
        </w:tc>
        <w:tc>
          <w:tcPr>
            <w:tcW w:w="1250" w:type="pct"/>
            <w:vAlign w:val="center"/>
          </w:tcPr>
          <w:p w14:paraId="41A786C6">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市商务局、市民政局、市自然资源和规划局、市住建局</w:t>
            </w:r>
          </w:p>
        </w:tc>
        <w:tc>
          <w:tcPr>
            <w:tcW w:w="627" w:type="pct"/>
            <w:vAlign w:val="center"/>
          </w:tcPr>
          <w:p w14:paraId="52EA3C29">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3A1CB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275" w:type="pct"/>
            <w:vMerge w:val="continue"/>
            <w:vAlign w:val="center"/>
          </w:tcPr>
          <w:p w14:paraId="0FB8F74F">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45F43D3C">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56</w:t>
            </w:r>
          </w:p>
        </w:tc>
        <w:tc>
          <w:tcPr>
            <w:tcW w:w="2599" w:type="pct"/>
            <w:vAlign w:val="center"/>
          </w:tcPr>
          <w:p w14:paraId="45DDEEBA">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编制《石家庄市绿色建筑发展条例》，大力发展绿色建筑，有序发展装配式建筑，因地制宜推动既有建筑和市政基础设施节能改造，城镇新建建筑全面执行绿色建筑标准。</w:t>
            </w:r>
          </w:p>
        </w:tc>
        <w:tc>
          <w:tcPr>
            <w:tcW w:w="1250" w:type="pct"/>
            <w:vAlign w:val="center"/>
          </w:tcPr>
          <w:p w14:paraId="6E1C3DCB">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市住房和城乡建设局</w:t>
            </w:r>
          </w:p>
        </w:tc>
        <w:tc>
          <w:tcPr>
            <w:tcW w:w="627" w:type="pct"/>
            <w:vAlign w:val="center"/>
          </w:tcPr>
          <w:p w14:paraId="4C7B87FC">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67685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7A911752">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2B389D0D">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57</w:t>
            </w:r>
          </w:p>
        </w:tc>
        <w:tc>
          <w:tcPr>
            <w:tcW w:w="2599" w:type="pct"/>
            <w:vAlign w:val="center"/>
          </w:tcPr>
          <w:p w14:paraId="35EDC3BB">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修订《石家庄市城市市区环境噪声污染防治管理办法》，开展声环境功能区划评估，动态更新工业、建筑、交通、社会生活等重点领域噪声污染源清单。建设“消除杂音、睡得安心”的宁静小区。</w:t>
            </w:r>
          </w:p>
        </w:tc>
        <w:tc>
          <w:tcPr>
            <w:tcW w:w="1250" w:type="pct"/>
            <w:vAlign w:val="center"/>
          </w:tcPr>
          <w:p w14:paraId="7D7AA5C3">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市生态环境局、市城市管理综合行政执法局</w:t>
            </w:r>
          </w:p>
        </w:tc>
        <w:tc>
          <w:tcPr>
            <w:tcW w:w="627" w:type="pct"/>
            <w:vAlign w:val="center"/>
          </w:tcPr>
          <w:p w14:paraId="653618F5">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4A74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000" w:type="pct"/>
            <w:gridSpan w:val="5"/>
            <w:vAlign w:val="center"/>
          </w:tcPr>
          <w:p w14:paraId="28E73F50">
            <w:pPr>
              <w:snapToGrid w:val="0"/>
              <w:spacing w:after="0" w:line="300" w:lineRule="exact"/>
              <w:ind w:firstLine="0" w:firstLineChars="0"/>
              <w:jc w:val="left"/>
              <w:rPr>
                <w:rFonts w:hint="default" w:ascii="Times New Roman" w:hAnsi="Times New Roman" w:cs="Times New Roman"/>
                <w:bCs/>
                <w:sz w:val="24"/>
                <w:highlight w:val="none"/>
                <w:lang w:eastAsia="zh-CN"/>
              </w:rPr>
            </w:pPr>
            <w:r>
              <w:rPr>
                <w:rFonts w:hint="default" w:ascii="Times New Roman" w:hAnsi="Times New Roman" w:cs="Times New Roman"/>
                <w:b/>
                <w:bCs/>
                <w:sz w:val="24"/>
                <w:szCs w:val="24"/>
                <w:highlight w:val="none"/>
                <w:lang w:eastAsia="zh-CN" w:bidi="ar"/>
              </w:rPr>
              <w:t>（四）建设环境安全健康韧性之城</w:t>
            </w:r>
          </w:p>
        </w:tc>
      </w:tr>
      <w:tr w14:paraId="3827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restart"/>
            <w:vAlign w:val="center"/>
          </w:tcPr>
          <w:p w14:paraId="77638EBF">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加强环境风险防范和应急管理</w:t>
            </w:r>
          </w:p>
        </w:tc>
        <w:tc>
          <w:tcPr>
            <w:tcW w:w="249" w:type="pct"/>
            <w:vAlign w:val="center"/>
          </w:tcPr>
          <w:p w14:paraId="416835E4">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58</w:t>
            </w:r>
          </w:p>
        </w:tc>
        <w:tc>
          <w:tcPr>
            <w:tcW w:w="2599" w:type="pct"/>
            <w:vAlign w:val="center"/>
          </w:tcPr>
          <w:p w14:paraId="55E83315">
            <w:pPr>
              <w:snapToGrid w:val="0"/>
              <w:spacing w:after="0" w:line="30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强化涉危废、尾矿库、重金属企业和化工园区，以及饮用水水源地环境风险识别与评估，动态更新全市环境风险重点行业、企业清单及重点风险物质清单。深化跨区域、多要素、全链条环境风险分级分类预防、预警、处置管理体系建设。</w:t>
            </w:r>
          </w:p>
        </w:tc>
        <w:tc>
          <w:tcPr>
            <w:tcW w:w="1250" w:type="pct"/>
            <w:vAlign w:val="center"/>
          </w:tcPr>
          <w:p w14:paraId="47FCA2DE">
            <w:pPr>
              <w:snapToGrid w:val="0"/>
              <w:spacing w:after="0" w:line="30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w:t>
            </w:r>
          </w:p>
        </w:tc>
        <w:tc>
          <w:tcPr>
            <w:tcW w:w="627" w:type="pct"/>
            <w:vAlign w:val="center"/>
          </w:tcPr>
          <w:p w14:paraId="4200EA40">
            <w:pPr>
              <w:snapToGrid w:val="0"/>
              <w:spacing w:after="0" w:line="30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1E90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5E0C58CA">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1AB73785">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59</w:t>
            </w:r>
          </w:p>
        </w:tc>
        <w:tc>
          <w:tcPr>
            <w:tcW w:w="2599" w:type="pct"/>
            <w:vAlign w:val="center"/>
          </w:tcPr>
          <w:p w14:paraId="01D99FA5">
            <w:pPr>
              <w:snapToGrid w:val="0"/>
              <w:spacing w:after="0" w:line="30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深化跨区域、多要素、全链条环境风险分级分类预防、预警、处置管理体系建设。持续开展饮用水水源地规范化建设，推进饮用水水源保护区“划、立、治”三项重点任务，完善突发水污染事件环境应急“一河（园）一策一图”。</w:t>
            </w:r>
          </w:p>
        </w:tc>
        <w:tc>
          <w:tcPr>
            <w:tcW w:w="1250" w:type="pct"/>
            <w:vAlign w:val="center"/>
          </w:tcPr>
          <w:p w14:paraId="14CE2482">
            <w:pPr>
              <w:snapToGrid w:val="0"/>
              <w:spacing w:after="0" w:line="30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市生态环境局、市水利局</w:t>
            </w:r>
          </w:p>
        </w:tc>
        <w:tc>
          <w:tcPr>
            <w:tcW w:w="627" w:type="pct"/>
            <w:vAlign w:val="center"/>
          </w:tcPr>
          <w:p w14:paraId="435B3F1C">
            <w:pPr>
              <w:snapToGrid w:val="0"/>
              <w:spacing w:after="0" w:line="30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1B810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37456DBF">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7D901BD0">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60</w:t>
            </w:r>
          </w:p>
        </w:tc>
        <w:tc>
          <w:tcPr>
            <w:tcW w:w="2599" w:type="pct"/>
            <w:vAlign w:val="center"/>
          </w:tcPr>
          <w:p w14:paraId="1C87FC31">
            <w:pPr>
              <w:snapToGrid w:val="0"/>
              <w:spacing w:after="0" w:line="30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强化重金属污染风险防控和环境监管能力。持续推进尾矿库企业开展综合治理、集中核查、专家会诊，进一步完善尾矿库安全生产责任体系与安全风险管控措施。深入开展外来入侵物种普查，持续开展重点管理外来入侵物种的源头预防、监测预警与治理修复，维护全市生物安全。</w:t>
            </w:r>
          </w:p>
        </w:tc>
        <w:tc>
          <w:tcPr>
            <w:tcW w:w="1250" w:type="pct"/>
            <w:vAlign w:val="center"/>
          </w:tcPr>
          <w:p w14:paraId="27E2A092">
            <w:pPr>
              <w:snapToGrid w:val="0"/>
              <w:spacing w:after="0" w:line="30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市生态环境局、市应急管理局、市林业局、市农业农村局、石家庄机场海关</w:t>
            </w:r>
          </w:p>
        </w:tc>
        <w:tc>
          <w:tcPr>
            <w:tcW w:w="627" w:type="pct"/>
            <w:vAlign w:val="center"/>
          </w:tcPr>
          <w:p w14:paraId="3C36C06E">
            <w:pPr>
              <w:snapToGrid w:val="0"/>
              <w:spacing w:after="0" w:line="30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30DE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40458121">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4577B26B">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61</w:t>
            </w:r>
          </w:p>
        </w:tc>
        <w:tc>
          <w:tcPr>
            <w:tcW w:w="2599" w:type="pct"/>
            <w:vAlign w:val="center"/>
          </w:tcPr>
          <w:p w14:paraId="1C048E23">
            <w:pPr>
              <w:snapToGrid w:val="0"/>
              <w:spacing w:after="0" w:line="28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完善省、市、县三级环境风险联防联控机制，加强常态化、差异化实战环境风险应急演练。</w:t>
            </w:r>
          </w:p>
        </w:tc>
        <w:tc>
          <w:tcPr>
            <w:tcW w:w="1250" w:type="pct"/>
            <w:vAlign w:val="center"/>
          </w:tcPr>
          <w:p w14:paraId="75CD9154">
            <w:pPr>
              <w:snapToGrid w:val="0"/>
              <w:spacing w:after="0" w:line="28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市生态环境局</w:t>
            </w:r>
          </w:p>
        </w:tc>
        <w:tc>
          <w:tcPr>
            <w:tcW w:w="627" w:type="pct"/>
            <w:vAlign w:val="center"/>
          </w:tcPr>
          <w:p w14:paraId="6A4D41B1">
            <w:pPr>
              <w:snapToGrid w:val="0"/>
              <w:spacing w:after="0" w:line="28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5385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5458654B">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5E32D8B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62</w:t>
            </w:r>
          </w:p>
        </w:tc>
        <w:tc>
          <w:tcPr>
            <w:tcW w:w="2599" w:type="pct"/>
            <w:vAlign w:val="center"/>
          </w:tcPr>
          <w:p w14:paraId="5FB0E8F4">
            <w:pPr>
              <w:snapToGrid w:val="0"/>
              <w:spacing w:after="0" w:line="28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加强环境应急基础设施建设与基础能力建设，健全应急物资储备体系。</w:t>
            </w:r>
          </w:p>
        </w:tc>
        <w:tc>
          <w:tcPr>
            <w:tcW w:w="1250" w:type="pct"/>
            <w:vAlign w:val="center"/>
          </w:tcPr>
          <w:p w14:paraId="20E5B7E0">
            <w:pPr>
              <w:snapToGrid w:val="0"/>
              <w:spacing w:after="0" w:line="28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市生态环境局、市应急管理局</w:t>
            </w:r>
          </w:p>
        </w:tc>
        <w:tc>
          <w:tcPr>
            <w:tcW w:w="627" w:type="pct"/>
            <w:vAlign w:val="center"/>
          </w:tcPr>
          <w:p w14:paraId="27CBE10C">
            <w:pPr>
              <w:snapToGrid w:val="0"/>
              <w:spacing w:after="0" w:line="28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38FB6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75" w:type="pct"/>
            <w:vMerge w:val="continue"/>
            <w:vAlign w:val="center"/>
          </w:tcPr>
          <w:p w14:paraId="3AF15E9A">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58C714AF">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63</w:t>
            </w:r>
          </w:p>
        </w:tc>
        <w:tc>
          <w:tcPr>
            <w:tcW w:w="2599" w:type="pct"/>
            <w:vAlign w:val="center"/>
          </w:tcPr>
          <w:p w14:paraId="68715623">
            <w:pPr>
              <w:snapToGrid w:val="0"/>
              <w:spacing w:after="0" w:line="28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加强核与辐射安全隐患排查，提升区域辐射应急处置能力，维护区域核与辐射安全。</w:t>
            </w:r>
          </w:p>
        </w:tc>
        <w:tc>
          <w:tcPr>
            <w:tcW w:w="1250" w:type="pct"/>
            <w:vAlign w:val="center"/>
          </w:tcPr>
          <w:p w14:paraId="5F027160">
            <w:pPr>
              <w:snapToGrid w:val="0"/>
              <w:spacing w:after="0" w:line="28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市生态环境局</w:t>
            </w:r>
          </w:p>
        </w:tc>
        <w:tc>
          <w:tcPr>
            <w:tcW w:w="627" w:type="pct"/>
            <w:vAlign w:val="center"/>
          </w:tcPr>
          <w:p w14:paraId="7BC468F5">
            <w:pPr>
              <w:snapToGrid w:val="0"/>
              <w:spacing w:after="0" w:line="28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4B38A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restart"/>
            <w:vAlign w:val="center"/>
          </w:tcPr>
          <w:p w14:paraId="209A050B">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推进气候韧性城市建设</w:t>
            </w:r>
          </w:p>
        </w:tc>
        <w:tc>
          <w:tcPr>
            <w:tcW w:w="249" w:type="pct"/>
            <w:vAlign w:val="center"/>
          </w:tcPr>
          <w:p w14:paraId="4FC02899">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64</w:t>
            </w:r>
          </w:p>
        </w:tc>
        <w:tc>
          <w:tcPr>
            <w:tcW w:w="2599" w:type="pct"/>
            <w:vAlign w:val="center"/>
          </w:tcPr>
          <w:p w14:paraId="19E258DD">
            <w:pPr>
              <w:snapToGrid w:val="0"/>
              <w:spacing w:after="0" w:line="28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提升城市气候适应能力，将气候韧性理念融入国民经济、空间布局、产业发展、生态环境等规划，积极倡导绿色规划和绿色设计。</w:t>
            </w:r>
          </w:p>
        </w:tc>
        <w:tc>
          <w:tcPr>
            <w:tcW w:w="1250" w:type="pct"/>
            <w:vAlign w:val="center"/>
          </w:tcPr>
          <w:p w14:paraId="1B77E39D">
            <w:pPr>
              <w:snapToGrid w:val="0"/>
              <w:spacing w:after="0" w:line="28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市自然资源和规划局、市发展</w:t>
            </w:r>
            <w:r>
              <w:rPr>
                <w:rFonts w:hint="eastAsia" w:cs="Times New Roman"/>
                <w:bCs/>
                <w:sz w:val="24"/>
                <w:highlight w:val="none"/>
                <w:lang w:eastAsia="zh-CN"/>
              </w:rPr>
              <w:t>和</w:t>
            </w:r>
            <w:r>
              <w:rPr>
                <w:rFonts w:hint="default" w:ascii="Times New Roman" w:hAnsi="Times New Roman" w:cs="Times New Roman"/>
                <w:bCs/>
                <w:sz w:val="24"/>
                <w:highlight w:val="none"/>
                <w:lang w:eastAsia="zh-CN"/>
              </w:rPr>
              <w:t>改革委员会、市生态环境局</w:t>
            </w:r>
          </w:p>
        </w:tc>
        <w:tc>
          <w:tcPr>
            <w:tcW w:w="627" w:type="pct"/>
            <w:vAlign w:val="center"/>
          </w:tcPr>
          <w:p w14:paraId="6163C2E4">
            <w:pPr>
              <w:snapToGrid w:val="0"/>
              <w:spacing w:after="0" w:line="28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5D9F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56B59A5D">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0FEFBA34">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65</w:t>
            </w:r>
          </w:p>
        </w:tc>
        <w:tc>
          <w:tcPr>
            <w:tcW w:w="2599" w:type="pct"/>
            <w:vAlign w:val="center"/>
          </w:tcPr>
          <w:p w14:paraId="7AC71D40">
            <w:pPr>
              <w:snapToGrid w:val="0"/>
              <w:spacing w:after="0" w:line="28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全面推进海绵城市建设，在地下管网、防洪排涝、再生水利用等领域提升城市韧性，强化易涝区域的雨洪管理及排水设施的改造升级，构建完善的城市内涝风险防控体系。</w:t>
            </w:r>
          </w:p>
        </w:tc>
        <w:tc>
          <w:tcPr>
            <w:tcW w:w="1250" w:type="pct"/>
            <w:vAlign w:val="center"/>
          </w:tcPr>
          <w:p w14:paraId="43BA2194">
            <w:pPr>
              <w:snapToGrid w:val="0"/>
              <w:spacing w:after="0" w:line="28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市城市管理综合行政执法局</w:t>
            </w:r>
          </w:p>
        </w:tc>
        <w:tc>
          <w:tcPr>
            <w:tcW w:w="627" w:type="pct"/>
            <w:vAlign w:val="center"/>
          </w:tcPr>
          <w:p w14:paraId="56A6F205">
            <w:pPr>
              <w:snapToGrid w:val="0"/>
              <w:spacing w:after="0" w:line="28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695F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4FCC04B0">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60DCB857">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66</w:t>
            </w:r>
          </w:p>
        </w:tc>
        <w:tc>
          <w:tcPr>
            <w:tcW w:w="2599" w:type="pct"/>
            <w:vAlign w:val="center"/>
          </w:tcPr>
          <w:p w14:paraId="0E98CABC">
            <w:pPr>
              <w:snapToGrid w:val="0"/>
              <w:spacing w:after="0" w:line="28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加强退水明渠、湿地、调蓄池等雨洪资源化设施建设，以东南退水明渠为重点构建互联互通的城市韧性水系统，提升南水北调中线重大输水工程稳定运行能力。</w:t>
            </w:r>
          </w:p>
        </w:tc>
        <w:tc>
          <w:tcPr>
            <w:tcW w:w="1250" w:type="pct"/>
            <w:vAlign w:val="center"/>
          </w:tcPr>
          <w:p w14:paraId="16A63BB5">
            <w:pPr>
              <w:snapToGrid w:val="0"/>
              <w:spacing w:after="0" w:line="28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lang w:eastAsia="zh-CN"/>
              </w:rPr>
              <w:t>市水利局、市城市管理综合行政执法局</w:t>
            </w:r>
          </w:p>
        </w:tc>
        <w:tc>
          <w:tcPr>
            <w:tcW w:w="627" w:type="pct"/>
            <w:vAlign w:val="center"/>
          </w:tcPr>
          <w:p w14:paraId="024D4515">
            <w:pPr>
              <w:snapToGrid w:val="0"/>
              <w:spacing w:after="0" w:line="28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096CD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1DDBD40C">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15629D77">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67</w:t>
            </w:r>
          </w:p>
        </w:tc>
        <w:tc>
          <w:tcPr>
            <w:tcW w:w="2599" w:type="pct"/>
            <w:vAlign w:val="center"/>
          </w:tcPr>
          <w:p w14:paraId="033F8E30">
            <w:pPr>
              <w:snapToGrid w:val="0"/>
              <w:spacing w:after="0" w:line="2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依托首批“国家城市更新行动城市”试点，推动地下管网的更新改造，提升极端天气下的运行稳定性，构建城市韧性生命线系统。</w:t>
            </w:r>
          </w:p>
        </w:tc>
        <w:tc>
          <w:tcPr>
            <w:tcW w:w="1250" w:type="pct"/>
            <w:vAlign w:val="center"/>
          </w:tcPr>
          <w:p w14:paraId="383E8481">
            <w:pPr>
              <w:snapToGrid w:val="0"/>
              <w:spacing w:after="0" w:line="2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市城市管理综合行政执法局</w:t>
            </w:r>
          </w:p>
        </w:tc>
        <w:tc>
          <w:tcPr>
            <w:tcW w:w="627" w:type="pct"/>
            <w:vAlign w:val="center"/>
          </w:tcPr>
          <w:p w14:paraId="516E2421">
            <w:pPr>
              <w:snapToGrid w:val="0"/>
              <w:spacing w:after="0" w:line="2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4D04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2FE5046C">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7FE77966">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68</w:t>
            </w:r>
          </w:p>
        </w:tc>
        <w:tc>
          <w:tcPr>
            <w:tcW w:w="2599" w:type="pct"/>
            <w:vAlign w:val="center"/>
          </w:tcPr>
          <w:p w14:paraId="6E2939E9">
            <w:pPr>
              <w:snapToGrid w:val="0"/>
              <w:spacing w:after="0" w:line="2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强化暴雨、强风等极端天气监测预警，构建覆盖城乡的多层级灾害防御体系，提升城市应对气候变化的系统性保障能力。</w:t>
            </w:r>
          </w:p>
        </w:tc>
        <w:tc>
          <w:tcPr>
            <w:tcW w:w="1250" w:type="pct"/>
            <w:vAlign w:val="center"/>
          </w:tcPr>
          <w:p w14:paraId="3E9F833A">
            <w:pPr>
              <w:snapToGrid w:val="0"/>
              <w:spacing w:after="0" w:line="2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市气象局、市应急管理局、市水利局</w:t>
            </w:r>
          </w:p>
        </w:tc>
        <w:tc>
          <w:tcPr>
            <w:tcW w:w="627" w:type="pct"/>
            <w:vAlign w:val="center"/>
          </w:tcPr>
          <w:p w14:paraId="087A0AFC">
            <w:pPr>
              <w:snapToGrid w:val="0"/>
              <w:spacing w:after="0" w:line="2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492F2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restart"/>
            <w:vAlign w:val="center"/>
          </w:tcPr>
          <w:p w14:paraId="326E9F46">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推进健康城市建设</w:t>
            </w:r>
          </w:p>
        </w:tc>
        <w:tc>
          <w:tcPr>
            <w:tcW w:w="249" w:type="pct"/>
            <w:vAlign w:val="center"/>
          </w:tcPr>
          <w:p w14:paraId="58E10F1A">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69</w:t>
            </w:r>
          </w:p>
        </w:tc>
        <w:tc>
          <w:tcPr>
            <w:tcW w:w="2599" w:type="pct"/>
            <w:vAlign w:val="center"/>
          </w:tcPr>
          <w:p w14:paraId="4D0D4E02">
            <w:pPr>
              <w:snapToGrid w:val="0"/>
              <w:spacing w:after="0" w:line="2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强化健康社区、健康单位（企业）、健康学校等健康细胞工程建设，深入开展“健康石家庄建设”。建立环境健康调查、监测和风险评估制度，实施环境健康风险分级管理。</w:t>
            </w:r>
          </w:p>
        </w:tc>
        <w:tc>
          <w:tcPr>
            <w:tcW w:w="1250" w:type="pct"/>
            <w:vAlign w:val="center"/>
          </w:tcPr>
          <w:p w14:paraId="12767C58">
            <w:pPr>
              <w:snapToGrid w:val="0"/>
              <w:spacing w:after="0" w:line="2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市卫生健康委员会、市生态环境局、市民政局、市教育局</w:t>
            </w:r>
          </w:p>
        </w:tc>
        <w:tc>
          <w:tcPr>
            <w:tcW w:w="627" w:type="pct"/>
            <w:vAlign w:val="center"/>
          </w:tcPr>
          <w:p w14:paraId="668CF8BC">
            <w:pPr>
              <w:snapToGrid w:val="0"/>
              <w:spacing w:after="0" w:line="2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17FBC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316D01D3">
            <w:pPr>
              <w:snapToGrid w:val="0"/>
              <w:spacing w:after="0" w:line="240" w:lineRule="auto"/>
              <w:ind w:firstLine="0" w:firstLineChars="0"/>
              <w:jc w:val="center"/>
              <w:rPr>
                <w:rFonts w:hint="default" w:ascii="Times New Roman" w:hAnsi="Times New Roman" w:cs="Times New Roman"/>
                <w:bCs/>
                <w:sz w:val="24"/>
                <w:highlight w:val="none"/>
              </w:rPr>
            </w:pPr>
          </w:p>
        </w:tc>
        <w:tc>
          <w:tcPr>
            <w:tcW w:w="249" w:type="pct"/>
            <w:vAlign w:val="center"/>
          </w:tcPr>
          <w:p w14:paraId="3DEBD1F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70</w:t>
            </w:r>
          </w:p>
        </w:tc>
        <w:tc>
          <w:tcPr>
            <w:tcW w:w="2599" w:type="pct"/>
            <w:vAlign w:val="center"/>
          </w:tcPr>
          <w:p w14:paraId="1AE2FA87">
            <w:pPr>
              <w:snapToGrid w:val="0"/>
              <w:spacing w:after="0" w:line="2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健全新污染物治理管理机制，建立新污染物治理跨部门协调机制，在化工、医药、农药等重点行业，以高关注、高产用量、高环境检出率、分散式用途的化学物质为重点，开展新增列持久性有机污染物调查，落实重点新污染物管控措施。</w:t>
            </w:r>
          </w:p>
        </w:tc>
        <w:tc>
          <w:tcPr>
            <w:tcW w:w="1250" w:type="pct"/>
            <w:vAlign w:val="center"/>
          </w:tcPr>
          <w:p w14:paraId="10B1C1F2">
            <w:pPr>
              <w:snapToGrid w:val="0"/>
              <w:spacing w:after="0" w:line="2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市生态环境局</w:t>
            </w:r>
          </w:p>
        </w:tc>
        <w:tc>
          <w:tcPr>
            <w:tcW w:w="627" w:type="pct"/>
            <w:vAlign w:val="center"/>
          </w:tcPr>
          <w:p w14:paraId="0E6A1D89">
            <w:pPr>
              <w:snapToGrid w:val="0"/>
              <w:spacing w:after="0" w:line="2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40671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3056DA0D">
            <w:pPr>
              <w:snapToGrid w:val="0"/>
              <w:spacing w:after="0" w:line="240" w:lineRule="auto"/>
              <w:ind w:firstLine="0" w:firstLineChars="0"/>
              <w:jc w:val="center"/>
              <w:rPr>
                <w:rFonts w:hint="default" w:ascii="Times New Roman" w:hAnsi="Times New Roman" w:cs="Times New Roman"/>
                <w:bCs/>
                <w:sz w:val="24"/>
                <w:highlight w:val="none"/>
              </w:rPr>
            </w:pPr>
          </w:p>
        </w:tc>
        <w:tc>
          <w:tcPr>
            <w:tcW w:w="249" w:type="pct"/>
            <w:vAlign w:val="center"/>
          </w:tcPr>
          <w:p w14:paraId="0EF7FA4B">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71</w:t>
            </w:r>
          </w:p>
        </w:tc>
        <w:tc>
          <w:tcPr>
            <w:tcW w:w="2599" w:type="pct"/>
            <w:vAlign w:val="center"/>
          </w:tcPr>
          <w:p w14:paraId="5A49D35B">
            <w:pPr>
              <w:snapToGrid w:val="0"/>
              <w:spacing w:after="0" w:line="2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完善气候健康政策措施，推进气候敏感疾病大气环境风险等级等相关标准落地实施，根据国家政策动态调整相应县（市、区）评估范围，到2027年，阶段性开展气候变化健康风险、脆弱性和适应能力评估，探索通过基础设施和重大工程项目加强气候变化健康风险综合干预路径，通过预防措施培训宣传提升气候健康适应能力。</w:t>
            </w:r>
          </w:p>
        </w:tc>
        <w:tc>
          <w:tcPr>
            <w:tcW w:w="1250" w:type="pct"/>
            <w:vAlign w:val="center"/>
          </w:tcPr>
          <w:p w14:paraId="5D3E282B">
            <w:pPr>
              <w:snapToGrid w:val="0"/>
              <w:spacing w:after="0" w:line="2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市卫生健康委员会、市气象局、市应急管理局</w:t>
            </w:r>
          </w:p>
        </w:tc>
        <w:tc>
          <w:tcPr>
            <w:tcW w:w="627" w:type="pct"/>
            <w:vAlign w:val="center"/>
          </w:tcPr>
          <w:p w14:paraId="3497D8DB">
            <w:pPr>
              <w:snapToGrid w:val="0"/>
              <w:spacing w:after="0" w:line="2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602C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12806D97">
            <w:pPr>
              <w:snapToGrid w:val="0"/>
              <w:spacing w:after="0" w:line="240" w:lineRule="auto"/>
              <w:ind w:firstLine="0" w:firstLineChars="0"/>
              <w:jc w:val="center"/>
              <w:rPr>
                <w:rFonts w:hint="default" w:ascii="Times New Roman" w:hAnsi="Times New Roman" w:cs="Times New Roman"/>
                <w:bCs/>
                <w:sz w:val="24"/>
                <w:highlight w:val="none"/>
              </w:rPr>
            </w:pPr>
          </w:p>
        </w:tc>
        <w:tc>
          <w:tcPr>
            <w:tcW w:w="249" w:type="pct"/>
            <w:vAlign w:val="center"/>
          </w:tcPr>
          <w:p w14:paraId="40272144">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72</w:t>
            </w:r>
          </w:p>
        </w:tc>
        <w:tc>
          <w:tcPr>
            <w:tcW w:w="2599" w:type="pct"/>
            <w:vAlign w:val="center"/>
          </w:tcPr>
          <w:p w14:paraId="4BB68152">
            <w:pPr>
              <w:snapToGrid w:val="0"/>
              <w:spacing w:after="0" w:line="2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制定宁静小区建设标准和评价体系，建设首批宁静小区示范，</w:t>
            </w:r>
            <w:r>
              <w:rPr>
                <w:rFonts w:hint="eastAsia" w:cs="Times New Roman"/>
                <w:bCs/>
                <w:sz w:val="24"/>
                <w:highlight w:val="none"/>
                <w:lang w:val="en-US" w:eastAsia="zh-CN"/>
              </w:rPr>
              <w:t>推进</w:t>
            </w:r>
            <w:r>
              <w:rPr>
                <w:rFonts w:hint="default" w:ascii="Times New Roman" w:hAnsi="Times New Roman" w:cs="Times New Roman"/>
                <w:bCs/>
                <w:sz w:val="24"/>
                <w:highlight w:val="none"/>
                <w:lang w:eastAsia="zh-CN"/>
              </w:rPr>
              <w:t>噪声地图应用，形成宁静小区建设可复制经验。</w:t>
            </w:r>
          </w:p>
        </w:tc>
        <w:tc>
          <w:tcPr>
            <w:tcW w:w="1250" w:type="pct"/>
            <w:vAlign w:val="center"/>
          </w:tcPr>
          <w:p w14:paraId="509188B8">
            <w:pPr>
              <w:snapToGrid w:val="0"/>
              <w:spacing w:after="0" w:line="2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市生态环境局、市城市管理综合行政执法局</w:t>
            </w:r>
          </w:p>
        </w:tc>
        <w:tc>
          <w:tcPr>
            <w:tcW w:w="627" w:type="pct"/>
            <w:vAlign w:val="center"/>
          </w:tcPr>
          <w:p w14:paraId="5FEC7797">
            <w:pPr>
              <w:snapToGrid w:val="0"/>
              <w:spacing w:after="0" w:line="2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3A11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000" w:type="pct"/>
            <w:gridSpan w:val="5"/>
            <w:vAlign w:val="center"/>
          </w:tcPr>
          <w:p w14:paraId="4EFF7AA6">
            <w:pPr>
              <w:snapToGrid w:val="0"/>
              <w:spacing w:after="0" w:line="240" w:lineRule="auto"/>
              <w:ind w:firstLine="0" w:firstLineChars="0"/>
              <w:jc w:val="left"/>
              <w:rPr>
                <w:rFonts w:hint="default" w:ascii="Times New Roman" w:hAnsi="Times New Roman" w:cs="Times New Roman"/>
                <w:bCs/>
                <w:sz w:val="24"/>
                <w:highlight w:val="none"/>
                <w:lang w:eastAsia="zh-CN"/>
              </w:rPr>
            </w:pPr>
            <w:r>
              <w:rPr>
                <w:rFonts w:hint="default" w:ascii="Times New Roman" w:hAnsi="Times New Roman" w:cs="Times New Roman"/>
                <w:b/>
                <w:bCs/>
                <w:sz w:val="24"/>
                <w:szCs w:val="24"/>
                <w:highlight w:val="none"/>
                <w:lang w:eastAsia="zh-CN" w:bidi="ar"/>
              </w:rPr>
              <w:t>（五）建设红绿文化普惠共享之城</w:t>
            </w:r>
          </w:p>
        </w:tc>
      </w:tr>
      <w:tr w14:paraId="0C322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jc w:val="center"/>
        </w:trPr>
        <w:tc>
          <w:tcPr>
            <w:tcW w:w="275" w:type="pct"/>
            <w:vMerge w:val="restart"/>
            <w:vAlign w:val="center"/>
          </w:tcPr>
          <w:p w14:paraId="3D58FE9A">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培育特色红绿文化</w:t>
            </w:r>
          </w:p>
        </w:tc>
        <w:tc>
          <w:tcPr>
            <w:tcW w:w="249" w:type="pct"/>
            <w:vAlign w:val="center"/>
          </w:tcPr>
          <w:p w14:paraId="1A2C3283">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73</w:t>
            </w:r>
          </w:p>
        </w:tc>
        <w:tc>
          <w:tcPr>
            <w:tcW w:w="2599" w:type="pct"/>
            <w:vAlign w:val="center"/>
          </w:tcPr>
          <w:p w14:paraId="2C9A99E4">
            <w:pPr>
              <w:snapToGrid w:val="0"/>
              <w:spacing w:after="0" w:line="260" w:lineRule="atLeas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依托太行山和滹沱河等山水生态资源，大力发展生态旅游，打造京津冀重要的旅游目的地和康养服务基地。</w:t>
            </w:r>
          </w:p>
        </w:tc>
        <w:tc>
          <w:tcPr>
            <w:tcW w:w="1250" w:type="pct"/>
            <w:vAlign w:val="center"/>
          </w:tcPr>
          <w:p w14:paraId="420E928D">
            <w:pPr>
              <w:snapToGrid w:val="0"/>
              <w:spacing w:after="0" w:line="260" w:lineRule="atLeas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市文化广电和旅游局、市自然资源和规划局市、林业局、市园林局</w:t>
            </w:r>
          </w:p>
        </w:tc>
        <w:tc>
          <w:tcPr>
            <w:tcW w:w="627" w:type="pct"/>
            <w:vAlign w:val="center"/>
          </w:tcPr>
          <w:p w14:paraId="4418F314">
            <w:pPr>
              <w:snapToGrid w:val="0"/>
              <w:spacing w:after="0" w:line="260" w:lineRule="atLeas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61DB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7B2310AD">
            <w:pPr>
              <w:snapToGrid w:val="0"/>
              <w:spacing w:after="0" w:line="240" w:lineRule="auto"/>
              <w:ind w:firstLine="0" w:firstLineChars="0"/>
              <w:jc w:val="center"/>
              <w:rPr>
                <w:rFonts w:hint="default" w:ascii="Times New Roman" w:hAnsi="Times New Roman" w:cs="Times New Roman"/>
                <w:bCs/>
                <w:sz w:val="24"/>
                <w:highlight w:val="none"/>
              </w:rPr>
            </w:pPr>
          </w:p>
        </w:tc>
        <w:tc>
          <w:tcPr>
            <w:tcW w:w="249" w:type="pct"/>
            <w:vAlign w:val="center"/>
          </w:tcPr>
          <w:p w14:paraId="0B43A441">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74</w:t>
            </w:r>
          </w:p>
        </w:tc>
        <w:tc>
          <w:tcPr>
            <w:tcW w:w="2599" w:type="pct"/>
            <w:vAlign w:val="center"/>
          </w:tcPr>
          <w:p w14:paraId="3D00F834">
            <w:pPr>
              <w:snapToGrid w:val="0"/>
              <w:spacing w:after="0" w:line="260" w:lineRule="atLeas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充分发挥西柏坡红色革命圣地龙头带动作用，打造生态旅游与红色文化传承融合发展平台。</w:t>
            </w:r>
          </w:p>
        </w:tc>
        <w:tc>
          <w:tcPr>
            <w:tcW w:w="1250" w:type="pct"/>
            <w:vAlign w:val="center"/>
          </w:tcPr>
          <w:p w14:paraId="693EAB45">
            <w:pPr>
              <w:snapToGrid w:val="0"/>
              <w:spacing w:after="0" w:line="260" w:lineRule="atLeas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市文化广电和旅游局、西柏坡管理局</w:t>
            </w:r>
          </w:p>
        </w:tc>
        <w:tc>
          <w:tcPr>
            <w:tcW w:w="627" w:type="pct"/>
            <w:vAlign w:val="center"/>
          </w:tcPr>
          <w:p w14:paraId="243D61BE">
            <w:pPr>
              <w:snapToGrid w:val="0"/>
              <w:spacing w:after="0" w:line="260" w:lineRule="atLeas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23331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39850402">
            <w:pPr>
              <w:snapToGrid w:val="0"/>
              <w:spacing w:after="0" w:line="240" w:lineRule="auto"/>
              <w:ind w:firstLine="0" w:firstLineChars="0"/>
              <w:jc w:val="center"/>
              <w:rPr>
                <w:rFonts w:hint="default" w:ascii="Times New Roman" w:hAnsi="Times New Roman" w:cs="Times New Roman"/>
                <w:bCs/>
                <w:sz w:val="24"/>
                <w:highlight w:val="none"/>
              </w:rPr>
            </w:pPr>
          </w:p>
        </w:tc>
        <w:tc>
          <w:tcPr>
            <w:tcW w:w="249" w:type="pct"/>
            <w:vAlign w:val="center"/>
          </w:tcPr>
          <w:p w14:paraId="3EF79B64">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75</w:t>
            </w:r>
          </w:p>
        </w:tc>
        <w:tc>
          <w:tcPr>
            <w:tcW w:w="2599" w:type="pct"/>
            <w:vAlign w:val="center"/>
          </w:tcPr>
          <w:p w14:paraId="3C111CED">
            <w:pPr>
              <w:snapToGrid w:val="0"/>
              <w:spacing w:after="0" w:line="260" w:lineRule="atLeas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鼓励文艺创作者以太行山的壮美、西柏坡的红色故事、正定古城历史文化为题材，创作生态文明与红色传承主题作品，提升市民对本地红绿文化的认知与素养。</w:t>
            </w:r>
          </w:p>
        </w:tc>
        <w:tc>
          <w:tcPr>
            <w:tcW w:w="1250" w:type="pct"/>
            <w:vAlign w:val="center"/>
          </w:tcPr>
          <w:p w14:paraId="778F8284">
            <w:pPr>
              <w:snapToGrid w:val="0"/>
              <w:spacing w:after="0" w:line="260" w:lineRule="atLeas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市文化广电和旅游局、市生态环境局、西柏坡管理局</w:t>
            </w:r>
          </w:p>
        </w:tc>
        <w:tc>
          <w:tcPr>
            <w:tcW w:w="627" w:type="pct"/>
            <w:vAlign w:val="center"/>
          </w:tcPr>
          <w:p w14:paraId="578EFAA9">
            <w:pPr>
              <w:snapToGrid w:val="0"/>
              <w:spacing w:after="0" w:line="260" w:lineRule="atLeas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5297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7A0E4915">
            <w:pPr>
              <w:snapToGrid w:val="0"/>
              <w:spacing w:after="0" w:line="240" w:lineRule="auto"/>
              <w:ind w:firstLine="0" w:firstLineChars="0"/>
              <w:jc w:val="center"/>
              <w:rPr>
                <w:rFonts w:hint="default" w:ascii="Times New Roman" w:hAnsi="Times New Roman" w:cs="Times New Roman"/>
                <w:bCs/>
                <w:sz w:val="24"/>
                <w:highlight w:val="none"/>
              </w:rPr>
            </w:pPr>
          </w:p>
        </w:tc>
        <w:tc>
          <w:tcPr>
            <w:tcW w:w="249" w:type="pct"/>
            <w:vAlign w:val="center"/>
          </w:tcPr>
          <w:p w14:paraId="11169C00">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76</w:t>
            </w:r>
          </w:p>
        </w:tc>
        <w:tc>
          <w:tcPr>
            <w:tcW w:w="2599" w:type="pct"/>
            <w:vAlign w:val="center"/>
          </w:tcPr>
          <w:p w14:paraId="2B6B58BC">
            <w:pPr>
              <w:snapToGrid w:val="0"/>
              <w:spacing w:after="0" w:line="260" w:lineRule="atLeas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开展“红色石家庄探寻之旅”“石家庄生态自然行”等系列活动宣传红绿文化，强化特色文化品牌建设。扩大石家庄生态旅游与红色文化传承影响力，增强公众生态保护与红色传承的责任感与自豪感。</w:t>
            </w:r>
          </w:p>
        </w:tc>
        <w:tc>
          <w:tcPr>
            <w:tcW w:w="1250" w:type="pct"/>
            <w:vAlign w:val="center"/>
          </w:tcPr>
          <w:p w14:paraId="5037E8A1">
            <w:pPr>
              <w:snapToGrid w:val="0"/>
              <w:spacing w:after="0" w:line="260" w:lineRule="atLeas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市委宣传部、市生态环境局、西柏坡管理局</w:t>
            </w:r>
          </w:p>
        </w:tc>
        <w:tc>
          <w:tcPr>
            <w:tcW w:w="627" w:type="pct"/>
            <w:vAlign w:val="center"/>
          </w:tcPr>
          <w:p w14:paraId="0BE45B82">
            <w:pPr>
              <w:snapToGrid w:val="0"/>
              <w:spacing w:after="0" w:line="260" w:lineRule="atLeas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66B48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restart"/>
            <w:vAlign w:val="center"/>
          </w:tcPr>
          <w:p w14:paraId="0E1BA01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倡导绿色低碳生活方式</w:t>
            </w:r>
          </w:p>
        </w:tc>
        <w:tc>
          <w:tcPr>
            <w:tcW w:w="249" w:type="pct"/>
            <w:vAlign w:val="center"/>
          </w:tcPr>
          <w:p w14:paraId="54D96B5F">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77</w:t>
            </w:r>
          </w:p>
        </w:tc>
        <w:tc>
          <w:tcPr>
            <w:tcW w:w="2599" w:type="pct"/>
            <w:vAlign w:val="center"/>
          </w:tcPr>
          <w:p w14:paraId="33F8ED42">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实施绿色出行行动，加快完善城市公共交通系统，推广新能源汽车使用，鼓励市民选择低碳环保的出行方式。</w:t>
            </w:r>
          </w:p>
        </w:tc>
        <w:tc>
          <w:tcPr>
            <w:tcW w:w="1250" w:type="pct"/>
            <w:vAlign w:val="center"/>
          </w:tcPr>
          <w:p w14:paraId="6FB2DD55">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市交通运输局、市轨道交通建设办公室</w:t>
            </w:r>
          </w:p>
        </w:tc>
        <w:tc>
          <w:tcPr>
            <w:tcW w:w="627" w:type="pct"/>
            <w:vAlign w:val="center"/>
          </w:tcPr>
          <w:p w14:paraId="3BE1F659">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53140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35B3D732">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4F536152">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78</w:t>
            </w:r>
          </w:p>
        </w:tc>
        <w:tc>
          <w:tcPr>
            <w:tcW w:w="2599" w:type="pct"/>
            <w:vAlign w:val="center"/>
          </w:tcPr>
          <w:p w14:paraId="4CC95D8E">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积极推动生活垃圾分类、节能减排、绿色办公等措施。加强绿色消费引导，推行节能环保产品政府优先采购制度，倡导公众参与“光盘行动”等节约行为。</w:t>
            </w:r>
          </w:p>
        </w:tc>
        <w:tc>
          <w:tcPr>
            <w:tcW w:w="1250" w:type="pct"/>
            <w:vAlign w:val="center"/>
          </w:tcPr>
          <w:p w14:paraId="6416F776">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市委宣传部、市生态环境局、市商务局、市发展和改革委员会、市城管局、市机关事务管理局</w:t>
            </w:r>
          </w:p>
        </w:tc>
        <w:tc>
          <w:tcPr>
            <w:tcW w:w="627" w:type="pct"/>
            <w:vAlign w:val="center"/>
          </w:tcPr>
          <w:p w14:paraId="602052C4">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78495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437A7B03">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4CCDEEE4">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79</w:t>
            </w:r>
          </w:p>
        </w:tc>
        <w:tc>
          <w:tcPr>
            <w:tcW w:w="2599" w:type="pct"/>
            <w:vAlign w:val="center"/>
          </w:tcPr>
          <w:p w14:paraId="135281A3">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完善碳普惠激励机制，进一步提升居民绿色出行比例，形成“地铁+公交+慢行”的低碳出行体系。</w:t>
            </w:r>
          </w:p>
        </w:tc>
        <w:tc>
          <w:tcPr>
            <w:tcW w:w="1250" w:type="pct"/>
            <w:vAlign w:val="center"/>
          </w:tcPr>
          <w:p w14:paraId="5F4417C4">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市生态环境局、市交通运输局</w:t>
            </w:r>
          </w:p>
        </w:tc>
        <w:tc>
          <w:tcPr>
            <w:tcW w:w="627" w:type="pct"/>
            <w:vAlign w:val="center"/>
          </w:tcPr>
          <w:p w14:paraId="525093F7">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5238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275" w:type="pct"/>
            <w:vMerge w:val="restart"/>
            <w:vAlign w:val="center"/>
          </w:tcPr>
          <w:p w14:paraId="31537E9F">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加强美丽城市宣传教育</w:t>
            </w:r>
          </w:p>
        </w:tc>
        <w:tc>
          <w:tcPr>
            <w:tcW w:w="249" w:type="pct"/>
            <w:vAlign w:val="center"/>
          </w:tcPr>
          <w:p w14:paraId="6B2D679C">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80</w:t>
            </w:r>
          </w:p>
        </w:tc>
        <w:tc>
          <w:tcPr>
            <w:tcW w:w="2599" w:type="pct"/>
            <w:vAlign w:val="center"/>
          </w:tcPr>
          <w:p w14:paraId="47ECC14F">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深入学习宣传习近平生态文明思想，在全国生态日、全国低碳日、六五环境日、国际无废日等重要节点，开展报刊、电视、新媒体等渠道美丽石家庄宣传。</w:t>
            </w:r>
          </w:p>
        </w:tc>
        <w:tc>
          <w:tcPr>
            <w:tcW w:w="1250" w:type="pct"/>
            <w:vAlign w:val="center"/>
          </w:tcPr>
          <w:p w14:paraId="60C0D46E">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市委宣传部、市委社会工作部</w:t>
            </w:r>
          </w:p>
        </w:tc>
        <w:tc>
          <w:tcPr>
            <w:tcW w:w="627" w:type="pct"/>
            <w:vAlign w:val="center"/>
          </w:tcPr>
          <w:p w14:paraId="60A26CE8">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3DA1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6AAFE1F3">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787C084E">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81</w:t>
            </w:r>
          </w:p>
        </w:tc>
        <w:tc>
          <w:tcPr>
            <w:tcW w:w="2599" w:type="pct"/>
            <w:vAlign w:val="center"/>
          </w:tcPr>
          <w:p w14:paraId="4957A128">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依托石家庄西柏坡红色教育基地，将生态文明理念融入红色研学路线。</w:t>
            </w:r>
          </w:p>
        </w:tc>
        <w:tc>
          <w:tcPr>
            <w:tcW w:w="1250" w:type="pct"/>
            <w:vAlign w:val="center"/>
          </w:tcPr>
          <w:p w14:paraId="41CE4915">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市教育局、西柏坡管理局</w:t>
            </w:r>
          </w:p>
        </w:tc>
        <w:tc>
          <w:tcPr>
            <w:tcW w:w="627" w:type="pct"/>
            <w:vAlign w:val="center"/>
          </w:tcPr>
          <w:p w14:paraId="21D68465">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7C5A6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0650BD35">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627741BD">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82</w:t>
            </w:r>
          </w:p>
        </w:tc>
        <w:tc>
          <w:tcPr>
            <w:tcW w:w="2599" w:type="pct"/>
            <w:vAlign w:val="center"/>
          </w:tcPr>
          <w:p w14:paraId="1421E54D">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强化生态环保知识教育，纳入国民教育体系，持续增强全民生态环保意识。</w:t>
            </w:r>
          </w:p>
        </w:tc>
        <w:tc>
          <w:tcPr>
            <w:tcW w:w="1250" w:type="pct"/>
            <w:vAlign w:val="center"/>
          </w:tcPr>
          <w:p w14:paraId="73667530">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市生态环境局、市教育局</w:t>
            </w:r>
          </w:p>
        </w:tc>
        <w:tc>
          <w:tcPr>
            <w:tcW w:w="627" w:type="pct"/>
            <w:vAlign w:val="center"/>
          </w:tcPr>
          <w:p w14:paraId="3CAAB7CF">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5F8CB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33146E19">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31D076F2">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83</w:t>
            </w:r>
          </w:p>
        </w:tc>
        <w:tc>
          <w:tcPr>
            <w:tcW w:w="2599" w:type="pct"/>
            <w:vAlign w:val="center"/>
          </w:tcPr>
          <w:p w14:paraId="256FEECB">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鼓励企业、社会组织和志愿者队伍积极开展生态环境保护宣传行动，打造一批具有广泛社会影响的生态环保公益品牌。</w:t>
            </w:r>
          </w:p>
        </w:tc>
        <w:tc>
          <w:tcPr>
            <w:tcW w:w="1250" w:type="pct"/>
            <w:vAlign w:val="center"/>
          </w:tcPr>
          <w:p w14:paraId="5228A328">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市生态环境局、市发展和改革委员会</w:t>
            </w:r>
          </w:p>
        </w:tc>
        <w:tc>
          <w:tcPr>
            <w:tcW w:w="627" w:type="pct"/>
            <w:vAlign w:val="center"/>
          </w:tcPr>
          <w:p w14:paraId="7C082552">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0975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restart"/>
            <w:vAlign w:val="center"/>
          </w:tcPr>
          <w:p w14:paraId="34F9F381">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健全多元参与行动体系</w:t>
            </w:r>
          </w:p>
        </w:tc>
        <w:tc>
          <w:tcPr>
            <w:tcW w:w="249" w:type="pct"/>
            <w:vAlign w:val="center"/>
          </w:tcPr>
          <w:p w14:paraId="73FF6BBC">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84</w:t>
            </w:r>
          </w:p>
        </w:tc>
        <w:tc>
          <w:tcPr>
            <w:tcW w:w="2599" w:type="pct"/>
            <w:vAlign w:val="center"/>
          </w:tcPr>
          <w:p w14:paraId="28D4FD44">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推动政府、企业、社区、社会组织多方参与的生态环境共治共管体系建设。完善环境信息公开和公众监督举报机制。支持环保公益组织、行业协会、志愿者和群团组织开展生态环境治理与监督活动。</w:t>
            </w:r>
          </w:p>
        </w:tc>
        <w:tc>
          <w:tcPr>
            <w:tcW w:w="1250" w:type="pct"/>
            <w:vAlign w:val="center"/>
          </w:tcPr>
          <w:p w14:paraId="0E04D7D2">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市生态环境局</w:t>
            </w:r>
          </w:p>
        </w:tc>
        <w:tc>
          <w:tcPr>
            <w:tcW w:w="627" w:type="pct"/>
            <w:vAlign w:val="center"/>
          </w:tcPr>
          <w:p w14:paraId="6AD85D04">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05B2F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75CFAA5D">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3AC7A985">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85</w:t>
            </w:r>
          </w:p>
        </w:tc>
        <w:tc>
          <w:tcPr>
            <w:tcW w:w="2599" w:type="pct"/>
            <w:vAlign w:val="center"/>
          </w:tcPr>
          <w:p w14:paraId="18BF3759">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推进环境公益诉讼，强化环境损害赔偿制度落实，推动环境信息强制披露与环境信用评价制度建设。</w:t>
            </w:r>
          </w:p>
        </w:tc>
        <w:tc>
          <w:tcPr>
            <w:tcW w:w="1250" w:type="pct"/>
            <w:vAlign w:val="center"/>
          </w:tcPr>
          <w:p w14:paraId="7ABB179D">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市生态环境局</w:t>
            </w:r>
          </w:p>
        </w:tc>
        <w:tc>
          <w:tcPr>
            <w:tcW w:w="627" w:type="pct"/>
            <w:vAlign w:val="center"/>
          </w:tcPr>
          <w:p w14:paraId="7685CA68">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4D3E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3E088E7C">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694EF812">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86</w:t>
            </w:r>
          </w:p>
        </w:tc>
        <w:tc>
          <w:tcPr>
            <w:tcW w:w="2599" w:type="pct"/>
            <w:vAlign w:val="center"/>
          </w:tcPr>
          <w:p w14:paraId="158FC041">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建立公众参与美丽石家庄建设的意见征集机制，对美丽石家庄建设中表现突出单位和个人进行表彰，推动形成全社会共同参与美丽石家庄建设的良好局面。</w:t>
            </w:r>
          </w:p>
        </w:tc>
        <w:tc>
          <w:tcPr>
            <w:tcW w:w="1250" w:type="pct"/>
            <w:vAlign w:val="center"/>
          </w:tcPr>
          <w:p w14:paraId="46CF3ECD">
            <w:pPr>
              <w:snapToGrid w:val="0"/>
              <w:spacing w:after="0" w:line="34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市生态环境保护委员会成员单位</w:t>
            </w:r>
          </w:p>
        </w:tc>
        <w:tc>
          <w:tcPr>
            <w:tcW w:w="627" w:type="pct"/>
            <w:vAlign w:val="center"/>
          </w:tcPr>
          <w:p w14:paraId="17A9195D">
            <w:pPr>
              <w:snapToGrid w:val="0"/>
              <w:spacing w:after="0" w:line="34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5F959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vAlign w:val="center"/>
          </w:tcPr>
          <w:p w14:paraId="7C157E27">
            <w:pPr>
              <w:snapToGrid w:val="0"/>
              <w:spacing w:after="0" w:line="240" w:lineRule="auto"/>
              <w:ind w:firstLine="0" w:firstLineChars="0"/>
              <w:jc w:val="left"/>
              <w:rPr>
                <w:rFonts w:hint="default" w:ascii="Times New Roman" w:hAnsi="Times New Roman" w:cs="Times New Roman"/>
                <w:bCs/>
                <w:sz w:val="24"/>
                <w:highlight w:val="none"/>
                <w:lang w:eastAsia="zh-CN"/>
              </w:rPr>
            </w:pPr>
            <w:r>
              <w:rPr>
                <w:rFonts w:hint="default" w:ascii="Times New Roman" w:hAnsi="Times New Roman" w:cs="Times New Roman"/>
                <w:b/>
                <w:bCs/>
                <w:sz w:val="24"/>
                <w:szCs w:val="24"/>
                <w:highlight w:val="none"/>
                <w:lang w:eastAsia="zh-CN" w:bidi="ar"/>
              </w:rPr>
              <w:t>（六）建设现代高效智慧创新之城</w:t>
            </w:r>
          </w:p>
        </w:tc>
      </w:tr>
      <w:tr w14:paraId="4060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75" w:type="pct"/>
            <w:vMerge w:val="restart"/>
            <w:vAlign w:val="center"/>
          </w:tcPr>
          <w:p w14:paraId="08F51F54">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健全生态环境管理制度</w:t>
            </w:r>
          </w:p>
        </w:tc>
        <w:tc>
          <w:tcPr>
            <w:tcW w:w="249" w:type="pct"/>
            <w:vAlign w:val="center"/>
          </w:tcPr>
          <w:p w14:paraId="3EBF9F80">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87</w:t>
            </w:r>
          </w:p>
        </w:tc>
        <w:tc>
          <w:tcPr>
            <w:tcW w:w="2599" w:type="pct"/>
            <w:vAlign w:val="center"/>
          </w:tcPr>
          <w:p w14:paraId="5856BE00">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深化领导干部自然资源资产离任审计制度，压实生态环境保护整改工作机制，扎实做好中央、省生态环境保护督察交办我市问题的整改推进、现场核查及验收销号相关工作。</w:t>
            </w:r>
          </w:p>
        </w:tc>
        <w:tc>
          <w:tcPr>
            <w:tcW w:w="1250" w:type="pct"/>
            <w:vAlign w:val="center"/>
          </w:tcPr>
          <w:p w14:paraId="12C3F14D">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市自然资源和规划局、市生态环境局、市审计局</w:t>
            </w:r>
          </w:p>
        </w:tc>
        <w:tc>
          <w:tcPr>
            <w:tcW w:w="627" w:type="pct"/>
            <w:vAlign w:val="center"/>
          </w:tcPr>
          <w:p w14:paraId="020CCEA6">
            <w:pPr>
              <w:snapToGrid w:val="0"/>
              <w:spacing w:after="0" w:line="3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7A465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275" w:type="pct"/>
            <w:vMerge w:val="continue"/>
            <w:vAlign w:val="center"/>
          </w:tcPr>
          <w:p w14:paraId="4D8A920C">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5811AA34">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88</w:t>
            </w:r>
          </w:p>
        </w:tc>
        <w:tc>
          <w:tcPr>
            <w:tcW w:w="2599" w:type="pct"/>
            <w:vAlign w:val="center"/>
          </w:tcPr>
          <w:p w14:paraId="38BB708C">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严格落实《石家庄市滹沱河保护条例》《石家庄市大气污染防治条例》等法规。</w:t>
            </w:r>
          </w:p>
        </w:tc>
        <w:tc>
          <w:tcPr>
            <w:tcW w:w="1250" w:type="pct"/>
            <w:vAlign w:val="center"/>
          </w:tcPr>
          <w:p w14:paraId="09D974AB">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市司法局、市中级人民法院</w:t>
            </w:r>
          </w:p>
        </w:tc>
        <w:tc>
          <w:tcPr>
            <w:tcW w:w="627" w:type="pct"/>
            <w:vAlign w:val="center"/>
          </w:tcPr>
          <w:p w14:paraId="765D745F">
            <w:pPr>
              <w:snapToGrid w:val="0"/>
              <w:spacing w:after="0" w:line="3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6BB4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275" w:type="pct"/>
            <w:vMerge w:val="continue"/>
            <w:vAlign w:val="center"/>
          </w:tcPr>
          <w:p w14:paraId="78D69FC7">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5CBC80D0">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89</w:t>
            </w:r>
          </w:p>
        </w:tc>
        <w:tc>
          <w:tcPr>
            <w:tcW w:w="2599" w:type="pct"/>
            <w:vAlign w:val="center"/>
          </w:tcPr>
          <w:p w14:paraId="46A69E94">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完善行政执法与刑事司法协同机制，加大公益诉讼检察监督力度，推进公安、检察机关与生态环境部门联动办案，严厉打击各类环境违法行为</w:t>
            </w:r>
          </w:p>
        </w:tc>
        <w:tc>
          <w:tcPr>
            <w:tcW w:w="1250" w:type="pct"/>
            <w:vAlign w:val="center"/>
          </w:tcPr>
          <w:p w14:paraId="011E66A4">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市公安局、市司法局、市中级人民法院、市检察院、市生态环境局</w:t>
            </w:r>
          </w:p>
        </w:tc>
        <w:tc>
          <w:tcPr>
            <w:tcW w:w="627" w:type="pct"/>
            <w:vAlign w:val="center"/>
          </w:tcPr>
          <w:p w14:paraId="06545103">
            <w:pPr>
              <w:snapToGrid w:val="0"/>
              <w:spacing w:after="0" w:line="3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6249D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75" w:type="pct"/>
            <w:vMerge w:val="continue"/>
            <w:vAlign w:val="center"/>
          </w:tcPr>
          <w:p w14:paraId="096E6045">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6A6FF82D">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90</w:t>
            </w:r>
          </w:p>
        </w:tc>
        <w:tc>
          <w:tcPr>
            <w:tcW w:w="2599" w:type="pct"/>
            <w:vAlign w:val="center"/>
          </w:tcPr>
          <w:p w14:paraId="6490D0A1">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严格落实河长制、林长制等管护机制</w:t>
            </w:r>
          </w:p>
        </w:tc>
        <w:tc>
          <w:tcPr>
            <w:tcW w:w="1250" w:type="pct"/>
            <w:vAlign w:val="center"/>
          </w:tcPr>
          <w:p w14:paraId="22A09B1D">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市水利局、市林业局</w:t>
            </w:r>
          </w:p>
        </w:tc>
        <w:tc>
          <w:tcPr>
            <w:tcW w:w="627" w:type="pct"/>
            <w:vAlign w:val="center"/>
          </w:tcPr>
          <w:p w14:paraId="066B6D39">
            <w:pPr>
              <w:snapToGrid w:val="0"/>
              <w:spacing w:after="0" w:line="3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3E35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275" w:type="pct"/>
            <w:vMerge w:val="restart"/>
            <w:vAlign w:val="center"/>
          </w:tcPr>
          <w:p w14:paraId="4563BCA9">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创新绿色金融经济政策</w:t>
            </w:r>
          </w:p>
        </w:tc>
        <w:tc>
          <w:tcPr>
            <w:tcW w:w="249" w:type="pct"/>
            <w:vAlign w:val="center"/>
          </w:tcPr>
          <w:p w14:paraId="1E497BEF">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91</w:t>
            </w:r>
          </w:p>
        </w:tc>
        <w:tc>
          <w:tcPr>
            <w:tcW w:w="2599" w:type="pct"/>
            <w:vAlign w:val="center"/>
          </w:tcPr>
          <w:p w14:paraId="04243FD1">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以滹沱河经济带和太行山生态带建设为基础，推动生态治理与区域开发融合发展，构建多元化绿色金融体系，为美丽城市建设提供多元化资金支持。积极争取上级资金，重点支持年度空气质量优良区域与创A评级工业企业。</w:t>
            </w:r>
          </w:p>
        </w:tc>
        <w:tc>
          <w:tcPr>
            <w:tcW w:w="1250" w:type="pct"/>
            <w:vAlign w:val="center"/>
          </w:tcPr>
          <w:p w14:paraId="7DB0ED0B">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中国人民银行河北省分行、市委金融办、市财政局、市生态环境局</w:t>
            </w:r>
          </w:p>
        </w:tc>
        <w:tc>
          <w:tcPr>
            <w:tcW w:w="627" w:type="pct"/>
            <w:vAlign w:val="center"/>
          </w:tcPr>
          <w:p w14:paraId="0782C113">
            <w:pPr>
              <w:snapToGrid w:val="0"/>
              <w:spacing w:after="0" w:line="3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69B27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2D92AA2F">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6E97A4AA">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92</w:t>
            </w:r>
          </w:p>
        </w:tc>
        <w:tc>
          <w:tcPr>
            <w:tcW w:w="2599" w:type="pct"/>
            <w:vAlign w:val="center"/>
          </w:tcPr>
          <w:p w14:paraId="4A94F48F">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探索用能权、用水权、排污权等市场交易机制和有偿使用制度，推动平山、赞皇等生态优势县区开展林业碳汇交易试点。</w:t>
            </w:r>
          </w:p>
        </w:tc>
        <w:tc>
          <w:tcPr>
            <w:tcW w:w="1250" w:type="pct"/>
            <w:vAlign w:val="center"/>
          </w:tcPr>
          <w:p w14:paraId="4F76F3E1">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市生态环境局、市水利局、市发展和改革委员会</w:t>
            </w:r>
          </w:p>
        </w:tc>
        <w:tc>
          <w:tcPr>
            <w:tcW w:w="627" w:type="pct"/>
            <w:vAlign w:val="center"/>
          </w:tcPr>
          <w:p w14:paraId="2176E817">
            <w:pPr>
              <w:snapToGrid w:val="0"/>
              <w:spacing w:after="0" w:line="3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66C52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275" w:type="pct"/>
            <w:vMerge w:val="continue"/>
            <w:vAlign w:val="center"/>
          </w:tcPr>
          <w:p w14:paraId="7F657C71">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7363F076">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93</w:t>
            </w:r>
          </w:p>
        </w:tc>
        <w:tc>
          <w:tcPr>
            <w:tcW w:w="2599" w:type="pct"/>
            <w:vAlign w:val="center"/>
          </w:tcPr>
          <w:p w14:paraId="5C0CD0FB">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建立生态系统生产总值（GEP）核算评估机制，支持以碳汇、森林生态旅游等形式将滹沱河、太行山等绿水青山转化为金山银山。</w:t>
            </w:r>
          </w:p>
        </w:tc>
        <w:tc>
          <w:tcPr>
            <w:tcW w:w="1250" w:type="pct"/>
            <w:vAlign w:val="center"/>
          </w:tcPr>
          <w:p w14:paraId="72BA1F99">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市生态环境局、市发展和改革委员会、市林业局</w:t>
            </w:r>
          </w:p>
        </w:tc>
        <w:tc>
          <w:tcPr>
            <w:tcW w:w="627" w:type="pct"/>
            <w:vAlign w:val="center"/>
          </w:tcPr>
          <w:p w14:paraId="695B186E">
            <w:pPr>
              <w:snapToGrid w:val="0"/>
              <w:spacing w:after="0" w:line="3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633C2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75" w:type="pct"/>
            <w:vMerge w:val="continue"/>
            <w:vAlign w:val="center"/>
          </w:tcPr>
          <w:p w14:paraId="350A90F8">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7168396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94</w:t>
            </w:r>
          </w:p>
        </w:tc>
        <w:tc>
          <w:tcPr>
            <w:tcW w:w="2599" w:type="pct"/>
            <w:vAlign w:val="center"/>
          </w:tcPr>
          <w:p w14:paraId="466F3747">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拓宽“两山”转化通道，加大生态环境导向的开发模式（EOD）项目推进力度</w:t>
            </w:r>
          </w:p>
        </w:tc>
        <w:tc>
          <w:tcPr>
            <w:tcW w:w="1250" w:type="pct"/>
            <w:vAlign w:val="center"/>
          </w:tcPr>
          <w:p w14:paraId="33A8793C">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市生态环境局、市发展和改革委员会</w:t>
            </w:r>
          </w:p>
        </w:tc>
        <w:tc>
          <w:tcPr>
            <w:tcW w:w="627" w:type="pct"/>
            <w:vAlign w:val="center"/>
          </w:tcPr>
          <w:p w14:paraId="613FAF7D">
            <w:pPr>
              <w:snapToGrid w:val="0"/>
              <w:spacing w:after="0" w:line="3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6200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75" w:type="pct"/>
            <w:vMerge w:val="continue"/>
            <w:vAlign w:val="center"/>
          </w:tcPr>
          <w:p w14:paraId="169EA864">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5FAEB3E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95</w:t>
            </w:r>
          </w:p>
        </w:tc>
        <w:tc>
          <w:tcPr>
            <w:tcW w:w="2599" w:type="pct"/>
            <w:vAlign w:val="center"/>
          </w:tcPr>
          <w:p w14:paraId="4C38B23B">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完善河流跨界断面水质生态补偿机制，探索湿地、耕地等生态要素分类补偿。</w:t>
            </w:r>
          </w:p>
        </w:tc>
        <w:tc>
          <w:tcPr>
            <w:tcW w:w="1250" w:type="pct"/>
            <w:vAlign w:val="center"/>
          </w:tcPr>
          <w:p w14:paraId="361A714D">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市生态环境局、市自然资源和规划局</w:t>
            </w:r>
          </w:p>
        </w:tc>
        <w:tc>
          <w:tcPr>
            <w:tcW w:w="627" w:type="pct"/>
            <w:vAlign w:val="center"/>
          </w:tcPr>
          <w:p w14:paraId="2F797815">
            <w:pPr>
              <w:snapToGrid w:val="0"/>
              <w:spacing w:after="0" w:line="3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61A72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275" w:type="pct"/>
            <w:vMerge w:val="restart"/>
            <w:vAlign w:val="center"/>
          </w:tcPr>
          <w:p w14:paraId="4855CF95">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实现数字化智慧高效治理</w:t>
            </w:r>
          </w:p>
        </w:tc>
        <w:tc>
          <w:tcPr>
            <w:tcW w:w="249" w:type="pct"/>
            <w:vAlign w:val="center"/>
          </w:tcPr>
          <w:p w14:paraId="1F095355">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96</w:t>
            </w:r>
          </w:p>
        </w:tc>
        <w:tc>
          <w:tcPr>
            <w:tcW w:w="2599" w:type="pct"/>
            <w:vAlign w:val="center"/>
          </w:tcPr>
          <w:p w14:paraId="43CEB34E">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依托石家庄智慧城市建设成效，升级石家庄生态环境综合管理平台，统筹接入空气、水、土壤、噪声等环境监测数据，加快实现环境要素监测数据与气象、交通、工业等多源数据共享。</w:t>
            </w:r>
          </w:p>
        </w:tc>
        <w:tc>
          <w:tcPr>
            <w:tcW w:w="1250" w:type="pct"/>
            <w:vAlign w:val="center"/>
          </w:tcPr>
          <w:p w14:paraId="6BC17F7D">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市生态环境局、市数据局、市交通运输局、市气象局</w:t>
            </w:r>
          </w:p>
        </w:tc>
        <w:tc>
          <w:tcPr>
            <w:tcW w:w="627" w:type="pct"/>
            <w:vAlign w:val="center"/>
          </w:tcPr>
          <w:p w14:paraId="7944DB8A">
            <w:pPr>
              <w:snapToGrid w:val="0"/>
              <w:spacing w:after="0" w:line="3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39D5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275" w:type="pct"/>
            <w:vMerge w:val="continue"/>
            <w:vAlign w:val="center"/>
          </w:tcPr>
          <w:p w14:paraId="64230971">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2F2E1802">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97</w:t>
            </w:r>
          </w:p>
        </w:tc>
        <w:tc>
          <w:tcPr>
            <w:tcW w:w="2599" w:type="pct"/>
            <w:vAlign w:val="center"/>
          </w:tcPr>
          <w:p w14:paraId="165BC40B">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打造“空天地”一体化监测体系，充分运用无人机、无人船、卫星遥感、工况监控等现代技术手段，形成覆盖全市域的立体防控和动态感知体系。</w:t>
            </w:r>
          </w:p>
        </w:tc>
        <w:tc>
          <w:tcPr>
            <w:tcW w:w="1250" w:type="pct"/>
            <w:vAlign w:val="center"/>
          </w:tcPr>
          <w:p w14:paraId="597CA021">
            <w:pPr>
              <w:snapToGrid w:val="0"/>
              <w:spacing w:after="0" w:line="3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市生态环境局</w:t>
            </w:r>
          </w:p>
        </w:tc>
        <w:tc>
          <w:tcPr>
            <w:tcW w:w="627" w:type="pct"/>
            <w:vAlign w:val="center"/>
          </w:tcPr>
          <w:p w14:paraId="1D17EC6E">
            <w:pPr>
              <w:snapToGrid w:val="0"/>
              <w:spacing w:after="0" w:line="3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589FB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275" w:type="pct"/>
            <w:vMerge w:val="continue"/>
            <w:vAlign w:val="center"/>
          </w:tcPr>
          <w:p w14:paraId="60178973">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0200F85E">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98</w:t>
            </w:r>
          </w:p>
        </w:tc>
        <w:tc>
          <w:tcPr>
            <w:tcW w:w="2599" w:type="pct"/>
            <w:vAlign w:val="center"/>
          </w:tcPr>
          <w:p w14:paraId="7A44DDBA">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充分运用大数据、云计算、人工智能等数字技术赋能生态环境治理，推进鹿泉区等地大气监管AI大模型应用，构建AI驱动的空气质量预测－预报－预警技术体系，实现石家庄市生态环境精细化管控。</w:t>
            </w:r>
          </w:p>
        </w:tc>
        <w:tc>
          <w:tcPr>
            <w:tcW w:w="1250" w:type="pct"/>
            <w:vAlign w:val="center"/>
          </w:tcPr>
          <w:p w14:paraId="3EFB0F86">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市生态环境局、鹿泉区人民政府</w:t>
            </w:r>
          </w:p>
        </w:tc>
        <w:tc>
          <w:tcPr>
            <w:tcW w:w="627" w:type="pct"/>
            <w:vAlign w:val="center"/>
          </w:tcPr>
          <w:p w14:paraId="408F6843">
            <w:pPr>
              <w:snapToGrid w:val="0"/>
              <w:spacing w:after="0" w:line="3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3FE3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75" w:type="pct"/>
            <w:vMerge w:val="continue"/>
            <w:vAlign w:val="center"/>
          </w:tcPr>
          <w:p w14:paraId="01638977">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629D3D72">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99</w:t>
            </w:r>
          </w:p>
        </w:tc>
        <w:tc>
          <w:tcPr>
            <w:tcW w:w="2599" w:type="pct"/>
            <w:vAlign w:val="center"/>
          </w:tcPr>
          <w:p w14:paraId="454B267E">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构建“在线监测+视频巡查+移动执法终端”智慧执法链条。</w:t>
            </w:r>
          </w:p>
        </w:tc>
        <w:tc>
          <w:tcPr>
            <w:tcW w:w="1250" w:type="pct"/>
            <w:vAlign w:val="center"/>
          </w:tcPr>
          <w:p w14:paraId="6F107A2D">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市生态环境局</w:t>
            </w:r>
          </w:p>
        </w:tc>
        <w:tc>
          <w:tcPr>
            <w:tcW w:w="627" w:type="pct"/>
            <w:vAlign w:val="center"/>
          </w:tcPr>
          <w:p w14:paraId="662BF859">
            <w:pPr>
              <w:snapToGrid w:val="0"/>
              <w:spacing w:after="0" w:line="3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7B64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restart"/>
            <w:vAlign w:val="center"/>
          </w:tcPr>
          <w:p w14:paraId="0E0109E6">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加强绿色低碳科技支撑</w:t>
            </w:r>
          </w:p>
        </w:tc>
        <w:tc>
          <w:tcPr>
            <w:tcW w:w="249" w:type="pct"/>
            <w:vAlign w:val="center"/>
          </w:tcPr>
          <w:p w14:paraId="58E584DC">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100</w:t>
            </w:r>
          </w:p>
        </w:tc>
        <w:tc>
          <w:tcPr>
            <w:tcW w:w="2599" w:type="pct"/>
            <w:vAlign w:val="center"/>
          </w:tcPr>
          <w:p w14:paraId="7826D09F">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依托京津冀环境综合治理国家科技重大专项，聚焦多污染物协同控制、减污降碳以及火电、化工、制药等重点行业关键污染物控制，加大核心技术攻关力度，鼓励引导科研机构、第三方和社会力量开展绿色低碳技术研发，打造京津冀绿色低碳技术转化高地，助力石家庄生态环境管理治理效能提升。</w:t>
            </w:r>
          </w:p>
        </w:tc>
        <w:tc>
          <w:tcPr>
            <w:tcW w:w="1250" w:type="pct"/>
            <w:vAlign w:val="center"/>
          </w:tcPr>
          <w:p w14:paraId="041E68C3">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市生态环境局、市科学技术局</w:t>
            </w:r>
          </w:p>
        </w:tc>
        <w:tc>
          <w:tcPr>
            <w:tcW w:w="627" w:type="pct"/>
            <w:vAlign w:val="center"/>
          </w:tcPr>
          <w:p w14:paraId="1DA5C434">
            <w:pPr>
              <w:snapToGrid w:val="0"/>
              <w:spacing w:after="0" w:line="3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3C490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62CD9E4A">
            <w:pPr>
              <w:snapToGrid w:val="0"/>
              <w:spacing w:after="0" w:line="240" w:lineRule="auto"/>
              <w:ind w:firstLine="0" w:firstLineChars="0"/>
              <w:jc w:val="center"/>
              <w:rPr>
                <w:rFonts w:hint="default" w:ascii="Times New Roman" w:hAnsi="Times New Roman" w:cs="Times New Roman"/>
                <w:bCs/>
                <w:sz w:val="24"/>
                <w:highlight w:val="none"/>
                <w:lang w:eastAsia="zh-CN"/>
              </w:rPr>
            </w:pPr>
          </w:p>
        </w:tc>
        <w:tc>
          <w:tcPr>
            <w:tcW w:w="249" w:type="pct"/>
            <w:vAlign w:val="center"/>
          </w:tcPr>
          <w:p w14:paraId="053E743F">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101</w:t>
            </w:r>
          </w:p>
        </w:tc>
        <w:tc>
          <w:tcPr>
            <w:tcW w:w="2599" w:type="pct"/>
            <w:vAlign w:val="center"/>
          </w:tcPr>
          <w:p w14:paraId="47FE55ED">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依托石家庄“人才绿卡”政策，加大“双碳”人才引进力度，鼓励和支持用人单位柔性引才，推动京津冀科研团队与石家庄企业共建绿色低碳联合研发中心。</w:t>
            </w:r>
          </w:p>
        </w:tc>
        <w:tc>
          <w:tcPr>
            <w:tcW w:w="1250" w:type="pct"/>
            <w:vAlign w:val="center"/>
          </w:tcPr>
          <w:p w14:paraId="0333320E">
            <w:pPr>
              <w:snapToGrid w:val="0"/>
              <w:spacing w:after="0" w:line="360" w:lineRule="exact"/>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市委组织部、市人力资源社会保障局、市科学技术局</w:t>
            </w:r>
          </w:p>
        </w:tc>
        <w:tc>
          <w:tcPr>
            <w:tcW w:w="627" w:type="pct"/>
            <w:vAlign w:val="center"/>
          </w:tcPr>
          <w:p w14:paraId="5E13E51A">
            <w:pPr>
              <w:snapToGrid w:val="0"/>
              <w:spacing w:after="0" w:line="360" w:lineRule="exact"/>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40DF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5000" w:type="pct"/>
            <w:gridSpan w:val="5"/>
            <w:vAlign w:val="center"/>
          </w:tcPr>
          <w:p w14:paraId="57E32A6A">
            <w:pPr>
              <w:snapToGrid w:val="0"/>
              <w:spacing w:after="0" w:line="240" w:lineRule="auto"/>
              <w:ind w:firstLine="0" w:firstLineChars="0"/>
              <w:jc w:val="left"/>
              <w:rPr>
                <w:rFonts w:hint="default" w:ascii="Times New Roman" w:hAnsi="Times New Roman" w:cs="Times New Roman"/>
                <w:bCs/>
                <w:sz w:val="24"/>
                <w:highlight w:val="none"/>
                <w:lang w:eastAsia="zh-CN"/>
              </w:rPr>
            </w:pPr>
            <w:r>
              <w:rPr>
                <w:rFonts w:hint="default" w:ascii="Times New Roman" w:hAnsi="Times New Roman" w:cs="Times New Roman"/>
                <w:b/>
                <w:bCs/>
                <w:sz w:val="24"/>
                <w:szCs w:val="24"/>
                <w:highlight w:val="none"/>
                <w:lang w:eastAsia="zh-CN" w:bidi="ar"/>
              </w:rPr>
              <w:t>（七）建设各美其美特色靓丽之城</w:t>
            </w:r>
          </w:p>
        </w:tc>
      </w:tr>
      <w:tr w14:paraId="6D32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275" w:type="pct"/>
            <w:vMerge w:val="restart"/>
            <w:vAlign w:val="center"/>
          </w:tcPr>
          <w:p w14:paraId="46E181B8">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打造美丽河湖样板</w:t>
            </w:r>
          </w:p>
        </w:tc>
        <w:tc>
          <w:tcPr>
            <w:tcW w:w="249" w:type="pct"/>
            <w:vAlign w:val="center"/>
          </w:tcPr>
          <w:p w14:paraId="543A415D">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102</w:t>
            </w:r>
          </w:p>
        </w:tc>
        <w:tc>
          <w:tcPr>
            <w:tcW w:w="2599" w:type="pct"/>
            <w:vAlign w:val="center"/>
          </w:tcPr>
          <w:p w14:paraId="59EA7E9A">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进一步实施美丽河湖提标行动，将滹沱河打造成“水美河畅、生物多样、水清惠民、人水和谐”的全国美丽河湖样板。</w:t>
            </w:r>
          </w:p>
        </w:tc>
        <w:tc>
          <w:tcPr>
            <w:tcW w:w="1250" w:type="pct"/>
            <w:vAlign w:val="center"/>
          </w:tcPr>
          <w:p w14:paraId="1407B06A">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市生态环境局、市财政局</w:t>
            </w:r>
          </w:p>
        </w:tc>
        <w:tc>
          <w:tcPr>
            <w:tcW w:w="627" w:type="pct"/>
            <w:vAlign w:val="center"/>
          </w:tcPr>
          <w:p w14:paraId="06079D84">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2027年并持续推进</w:t>
            </w:r>
          </w:p>
        </w:tc>
      </w:tr>
      <w:tr w14:paraId="1CC1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275" w:type="pct"/>
            <w:vMerge w:val="continue"/>
            <w:vAlign w:val="center"/>
          </w:tcPr>
          <w:p w14:paraId="4509AD67">
            <w:pPr>
              <w:snapToGrid w:val="0"/>
              <w:spacing w:after="0" w:line="240" w:lineRule="auto"/>
              <w:ind w:firstLine="0" w:firstLineChars="0"/>
              <w:jc w:val="center"/>
              <w:rPr>
                <w:rFonts w:hint="default" w:ascii="Times New Roman" w:hAnsi="Times New Roman" w:cs="Times New Roman"/>
                <w:bCs/>
                <w:sz w:val="24"/>
                <w:highlight w:val="none"/>
              </w:rPr>
            </w:pPr>
          </w:p>
        </w:tc>
        <w:tc>
          <w:tcPr>
            <w:tcW w:w="249" w:type="pct"/>
            <w:vAlign w:val="center"/>
          </w:tcPr>
          <w:p w14:paraId="1F4E1945">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103</w:t>
            </w:r>
          </w:p>
        </w:tc>
        <w:tc>
          <w:tcPr>
            <w:tcW w:w="2599" w:type="pct"/>
            <w:vAlign w:val="center"/>
          </w:tcPr>
          <w:p w14:paraId="122C1F2C">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总结推广滹沱河（石家庄市段）美丽河湖建设经验，加快推进岗南水库、黄壁庄水库的美丽河湖建设。</w:t>
            </w:r>
          </w:p>
        </w:tc>
        <w:tc>
          <w:tcPr>
            <w:tcW w:w="1250" w:type="pct"/>
            <w:vAlign w:val="center"/>
          </w:tcPr>
          <w:p w14:paraId="41B489D1">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市生态环境局、市财政局</w:t>
            </w:r>
          </w:p>
        </w:tc>
        <w:tc>
          <w:tcPr>
            <w:tcW w:w="627" w:type="pct"/>
            <w:vAlign w:val="center"/>
          </w:tcPr>
          <w:p w14:paraId="4617DE8F">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2027年并持续推进</w:t>
            </w:r>
          </w:p>
        </w:tc>
      </w:tr>
      <w:tr w14:paraId="0352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5" w:type="pct"/>
            <w:vMerge w:val="restart"/>
            <w:vAlign w:val="center"/>
          </w:tcPr>
          <w:p w14:paraId="54C6C755">
            <w:pPr>
              <w:snapToGrid w:val="0"/>
              <w:spacing w:after="0" w:line="240" w:lineRule="auto"/>
              <w:ind w:firstLine="0" w:firstLineChars="0"/>
              <w:jc w:val="center"/>
              <w:rPr>
                <w:rFonts w:hint="default" w:ascii="Times New Roman" w:hAnsi="Times New Roman" w:eastAsia="仿宋_GB2312" w:cs="Times New Roman"/>
                <w:bCs/>
                <w:sz w:val="24"/>
                <w:highlight w:val="none"/>
                <w:lang w:val="en-US" w:eastAsia="zh-CN"/>
              </w:rPr>
            </w:pPr>
            <w:r>
              <w:rPr>
                <w:rFonts w:hint="eastAsia" w:cs="Times New Roman"/>
                <w:bCs/>
                <w:sz w:val="24"/>
                <w:highlight w:val="none"/>
                <w:lang w:val="en-US" w:eastAsia="zh-CN"/>
              </w:rPr>
              <w:t>打造美丽乡村样板</w:t>
            </w:r>
          </w:p>
        </w:tc>
        <w:tc>
          <w:tcPr>
            <w:tcW w:w="249" w:type="pct"/>
            <w:vAlign w:val="center"/>
          </w:tcPr>
          <w:p w14:paraId="68D9EE27">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104</w:t>
            </w:r>
          </w:p>
        </w:tc>
        <w:tc>
          <w:tcPr>
            <w:tcW w:w="2599" w:type="pct"/>
            <w:vAlign w:val="center"/>
          </w:tcPr>
          <w:p w14:paraId="0B924C0D">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梯次推进美丽乡村建设，集中连片打造滹沱河沿岸平山县、灵寿县、鹿泉区、正定县、经开区、藁城区、无极县、晋州市、深泽县等美丽乡村示范带、样板村，加快推进鹿泉区、正定县美丽乡村建设。</w:t>
            </w:r>
          </w:p>
        </w:tc>
        <w:tc>
          <w:tcPr>
            <w:tcW w:w="1250" w:type="pct"/>
            <w:vAlign w:val="center"/>
          </w:tcPr>
          <w:p w14:paraId="067C4832">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市生态环境局、市农业农村局</w:t>
            </w:r>
          </w:p>
        </w:tc>
        <w:tc>
          <w:tcPr>
            <w:tcW w:w="627" w:type="pct"/>
            <w:vAlign w:val="center"/>
          </w:tcPr>
          <w:p w14:paraId="68EA65DA">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2027年并持续推进</w:t>
            </w:r>
          </w:p>
        </w:tc>
      </w:tr>
      <w:tr w14:paraId="59B1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06346ED2">
            <w:pPr>
              <w:snapToGrid w:val="0"/>
              <w:spacing w:after="0" w:line="240" w:lineRule="auto"/>
              <w:ind w:firstLine="0" w:firstLineChars="0"/>
              <w:jc w:val="center"/>
              <w:rPr>
                <w:rFonts w:hint="default" w:ascii="Times New Roman" w:hAnsi="Times New Roman" w:cs="Times New Roman"/>
                <w:bCs/>
                <w:sz w:val="24"/>
                <w:highlight w:val="none"/>
              </w:rPr>
            </w:pPr>
          </w:p>
        </w:tc>
        <w:tc>
          <w:tcPr>
            <w:tcW w:w="249" w:type="pct"/>
            <w:vAlign w:val="center"/>
          </w:tcPr>
          <w:p w14:paraId="248C2CDC">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105</w:t>
            </w:r>
          </w:p>
        </w:tc>
        <w:tc>
          <w:tcPr>
            <w:tcW w:w="2599" w:type="pct"/>
            <w:vAlign w:val="center"/>
          </w:tcPr>
          <w:p w14:paraId="30A1B1BB">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持续开展乡村绿化美化，鼓励有条件的村庄建设森林乡村。</w:t>
            </w:r>
          </w:p>
        </w:tc>
        <w:tc>
          <w:tcPr>
            <w:tcW w:w="1250" w:type="pct"/>
            <w:vAlign w:val="center"/>
          </w:tcPr>
          <w:p w14:paraId="462C17E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市林业局、市生态环境局</w:t>
            </w:r>
          </w:p>
        </w:tc>
        <w:tc>
          <w:tcPr>
            <w:tcW w:w="627" w:type="pct"/>
            <w:vAlign w:val="center"/>
          </w:tcPr>
          <w:p w14:paraId="249DED9F">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2027年并持续推进</w:t>
            </w:r>
          </w:p>
        </w:tc>
      </w:tr>
      <w:tr w14:paraId="21DB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10B01B11">
            <w:pPr>
              <w:snapToGrid w:val="0"/>
              <w:spacing w:after="0" w:line="240" w:lineRule="auto"/>
              <w:ind w:firstLine="0" w:firstLineChars="0"/>
              <w:jc w:val="center"/>
              <w:rPr>
                <w:rFonts w:hint="default" w:ascii="Times New Roman" w:hAnsi="Times New Roman" w:cs="Times New Roman"/>
                <w:bCs/>
                <w:sz w:val="24"/>
                <w:highlight w:val="none"/>
              </w:rPr>
            </w:pPr>
          </w:p>
        </w:tc>
        <w:tc>
          <w:tcPr>
            <w:tcW w:w="249" w:type="pct"/>
            <w:vAlign w:val="center"/>
          </w:tcPr>
          <w:p w14:paraId="4F0B0523">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106</w:t>
            </w:r>
          </w:p>
        </w:tc>
        <w:tc>
          <w:tcPr>
            <w:tcW w:w="2599" w:type="pct"/>
            <w:vAlign w:val="center"/>
          </w:tcPr>
          <w:p w14:paraId="74D0DEC3">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争创乡村振兴样板示范区，推动美丽乡村系列示范建设持续走在全省前列。</w:t>
            </w:r>
          </w:p>
        </w:tc>
        <w:tc>
          <w:tcPr>
            <w:tcW w:w="1250" w:type="pct"/>
            <w:vAlign w:val="center"/>
          </w:tcPr>
          <w:p w14:paraId="0BFED0E2">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市农业农村局、市生态环境局</w:t>
            </w:r>
          </w:p>
        </w:tc>
        <w:tc>
          <w:tcPr>
            <w:tcW w:w="627" w:type="pct"/>
            <w:vAlign w:val="center"/>
          </w:tcPr>
          <w:p w14:paraId="49A03343">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2027年并持续推进</w:t>
            </w:r>
          </w:p>
        </w:tc>
      </w:tr>
      <w:tr w14:paraId="7EE3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75" w:type="pct"/>
            <w:vMerge w:val="restart"/>
            <w:vAlign w:val="center"/>
          </w:tcPr>
          <w:p w14:paraId="77AECC45">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打造美丽细胞样板</w:t>
            </w:r>
          </w:p>
        </w:tc>
        <w:tc>
          <w:tcPr>
            <w:tcW w:w="249" w:type="pct"/>
            <w:vAlign w:val="center"/>
          </w:tcPr>
          <w:p w14:paraId="07DF7359">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107</w:t>
            </w:r>
          </w:p>
        </w:tc>
        <w:tc>
          <w:tcPr>
            <w:tcW w:w="2599" w:type="pct"/>
            <w:vAlign w:val="center"/>
          </w:tcPr>
          <w:p w14:paraId="2258CF9C">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研究制定涵盖公路、机场、景区、园区、企业、街道、社区和学校等城市美丽细胞建设指南。</w:t>
            </w:r>
          </w:p>
        </w:tc>
        <w:tc>
          <w:tcPr>
            <w:tcW w:w="1250" w:type="pct"/>
            <w:vAlign w:val="center"/>
          </w:tcPr>
          <w:p w14:paraId="442168F1">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市生态环境局</w:t>
            </w:r>
          </w:p>
        </w:tc>
        <w:tc>
          <w:tcPr>
            <w:tcW w:w="627" w:type="pct"/>
            <w:vAlign w:val="center"/>
          </w:tcPr>
          <w:p w14:paraId="50C3B426">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2027年</w:t>
            </w:r>
          </w:p>
        </w:tc>
      </w:tr>
      <w:tr w14:paraId="2383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275" w:type="pct"/>
            <w:vMerge w:val="continue"/>
            <w:vAlign w:val="center"/>
          </w:tcPr>
          <w:p w14:paraId="662C9ACA">
            <w:pPr>
              <w:snapToGrid w:val="0"/>
              <w:spacing w:after="0" w:line="240" w:lineRule="auto"/>
              <w:ind w:firstLine="0" w:firstLineChars="0"/>
              <w:jc w:val="center"/>
              <w:rPr>
                <w:rFonts w:hint="default" w:ascii="Times New Roman" w:hAnsi="Times New Roman" w:cs="Times New Roman"/>
                <w:bCs/>
                <w:sz w:val="24"/>
                <w:highlight w:val="none"/>
              </w:rPr>
            </w:pPr>
          </w:p>
        </w:tc>
        <w:tc>
          <w:tcPr>
            <w:tcW w:w="249" w:type="pct"/>
            <w:vAlign w:val="center"/>
          </w:tcPr>
          <w:p w14:paraId="583B1A36">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108</w:t>
            </w:r>
            <w:bookmarkStart w:id="1" w:name="_GoBack"/>
            <w:bookmarkEnd w:id="1"/>
          </w:p>
        </w:tc>
        <w:tc>
          <w:tcPr>
            <w:tcW w:w="2599" w:type="pct"/>
            <w:vAlign w:val="center"/>
          </w:tcPr>
          <w:p w14:paraId="6E6979DB">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打造滹沱河旅游公路、太行天路等美丽公路样板。</w:t>
            </w:r>
          </w:p>
        </w:tc>
        <w:tc>
          <w:tcPr>
            <w:tcW w:w="1250" w:type="pct"/>
            <w:vAlign w:val="center"/>
          </w:tcPr>
          <w:p w14:paraId="5F74CA81">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市交通运输局</w:t>
            </w:r>
          </w:p>
        </w:tc>
        <w:tc>
          <w:tcPr>
            <w:tcW w:w="627" w:type="pct"/>
            <w:vAlign w:val="center"/>
          </w:tcPr>
          <w:p w14:paraId="1E89B21F">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48C8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75" w:type="pct"/>
            <w:vMerge w:val="continue"/>
            <w:vAlign w:val="center"/>
          </w:tcPr>
          <w:p w14:paraId="78A4896F">
            <w:pPr>
              <w:snapToGrid w:val="0"/>
              <w:spacing w:after="0" w:line="240" w:lineRule="auto"/>
              <w:ind w:firstLine="0" w:firstLineChars="0"/>
              <w:jc w:val="center"/>
              <w:rPr>
                <w:rFonts w:hint="default" w:ascii="Times New Roman" w:hAnsi="Times New Roman" w:cs="Times New Roman"/>
                <w:bCs/>
                <w:sz w:val="24"/>
                <w:highlight w:val="none"/>
              </w:rPr>
            </w:pPr>
          </w:p>
        </w:tc>
        <w:tc>
          <w:tcPr>
            <w:tcW w:w="249" w:type="pct"/>
            <w:vAlign w:val="center"/>
          </w:tcPr>
          <w:p w14:paraId="5B39698C">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109</w:t>
            </w:r>
          </w:p>
        </w:tc>
        <w:tc>
          <w:tcPr>
            <w:tcW w:w="2599" w:type="pct"/>
            <w:vAlign w:val="center"/>
          </w:tcPr>
          <w:p w14:paraId="4493145F">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推进正定国际机场建设美丽机场。</w:t>
            </w:r>
          </w:p>
        </w:tc>
        <w:tc>
          <w:tcPr>
            <w:tcW w:w="1250" w:type="pct"/>
            <w:vAlign w:val="center"/>
          </w:tcPr>
          <w:p w14:paraId="59816BA8">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市交通运输局、正定国际机场</w:t>
            </w:r>
          </w:p>
        </w:tc>
        <w:tc>
          <w:tcPr>
            <w:tcW w:w="627" w:type="pct"/>
            <w:vAlign w:val="center"/>
          </w:tcPr>
          <w:p w14:paraId="550C027E">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27BDE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4E54AE32">
            <w:pPr>
              <w:snapToGrid w:val="0"/>
              <w:spacing w:after="0" w:line="240" w:lineRule="auto"/>
              <w:ind w:firstLine="0" w:firstLineChars="0"/>
              <w:jc w:val="center"/>
              <w:rPr>
                <w:rFonts w:hint="default" w:ascii="Times New Roman" w:hAnsi="Times New Roman" w:cs="Times New Roman"/>
                <w:bCs/>
                <w:sz w:val="24"/>
                <w:highlight w:val="none"/>
              </w:rPr>
            </w:pPr>
          </w:p>
        </w:tc>
        <w:tc>
          <w:tcPr>
            <w:tcW w:w="249" w:type="pct"/>
            <w:vAlign w:val="center"/>
          </w:tcPr>
          <w:p w14:paraId="21AB9E6A">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110</w:t>
            </w:r>
          </w:p>
        </w:tc>
        <w:tc>
          <w:tcPr>
            <w:tcW w:w="2599" w:type="pct"/>
            <w:vAlign w:val="center"/>
          </w:tcPr>
          <w:p w14:paraId="4FE911B6">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打造西柏坡、嶂石岩、苍岩山、赵州桥等</w:t>
            </w:r>
            <w:r>
              <w:rPr>
                <w:rFonts w:hint="eastAsia" w:cs="Times New Roman"/>
                <w:bCs/>
                <w:sz w:val="24"/>
                <w:highlight w:val="none"/>
                <w:lang w:eastAsia="zh-CN"/>
              </w:rPr>
              <w:t>A级旅游景区</w:t>
            </w:r>
            <w:r>
              <w:rPr>
                <w:rFonts w:hint="default" w:ascii="Times New Roman" w:hAnsi="Times New Roman" w:cs="Times New Roman"/>
                <w:bCs/>
                <w:sz w:val="24"/>
                <w:highlight w:val="none"/>
                <w:lang w:eastAsia="zh-CN"/>
              </w:rPr>
              <w:t>样板。</w:t>
            </w:r>
          </w:p>
        </w:tc>
        <w:tc>
          <w:tcPr>
            <w:tcW w:w="1250" w:type="pct"/>
            <w:vAlign w:val="center"/>
          </w:tcPr>
          <w:p w14:paraId="3B595EB7">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市文化广电和旅游局、西柏坡管理局</w:t>
            </w:r>
          </w:p>
        </w:tc>
        <w:tc>
          <w:tcPr>
            <w:tcW w:w="627" w:type="pct"/>
            <w:vAlign w:val="center"/>
          </w:tcPr>
          <w:p w14:paraId="6E936606">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251D2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3AA06497">
            <w:pPr>
              <w:snapToGrid w:val="0"/>
              <w:spacing w:after="0" w:line="240" w:lineRule="auto"/>
              <w:ind w:firstLine="0" w:firstLineChars="0"/>
              <w:jc w:val="center"/>
              <w:rPr>
                <w:rFonts w:hint="default" w:ascii="Times New Roman" w:hAnsi="Times New Roman" w:cs="Times New Roman"/>
                <w:bCs/>
                <w:sz w:val="24"/>
                <w:highlight w:val="none"/>
              </w:rPr>
            </w:pPr>
          </w:p>
        </w:tc>
        <w:tc>
          <w:tcPr>
            <w:tcW w:w="249" w:type="pct"/>
            <w:vAlign w:val="center"/>
          </w:tcPr>
          <w:p w14:paraId="363FD7E9">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111</w:t>
            </w:r>
          </w:p>
        </w:tc>
        <w:tc>
          <w:tcPr>
            <w:tcW w:w="2599" w:type="pct"/>
            <w:vAlign w:val="center"/>
          </w:tcPr>
          <w:p w14:paraId="4A4AE46E">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以长安区、桥西区、裕华区、新华区为重点，梯次推进美丽社区建设。</w:t>
            </w:r>
          </w:p>
        </w:tc>
        <w:tc>
          <w:tcPr>
            <w:tcW w:w="1250" w:type="pct"/>
            <w:vAlign w:val="center"/>
          </w:tcPr>
          <w:p w14:paraId="362A212F">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市住房和城乡建设局</w:t>
            </w:r>
          </w:p>
        </w:tc>
        <w:tc>
          <w:tcPr>
            <w:tcW w:w="627" w:type="pct"/>
            <w:vAlign w:val="center"/>
          </w:tcPr>
          <w:p w14:paraId="0947DE05">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r w14:paraId="7B5DC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pct"/>
            <w:vMerge w:val="continue"/>
            <w:vAlign w:val="center"/>
          </w:tcPr>
          <w:p w14:paraId="6A572D49">
            <w:pPr>
              <w:snapToGrid w:val="0"/>
              <w:spacing w:after="0" w:line="240" w:lineRule="auto"/>
              <w:ind w:firstLine="0" w:firstLineChars="0"/>
              <w:jc w:val="center"/>
              <w:rPr>
                <w:rFonts w:hint="default" w:ascii="Times New Roman" w:hAnsi="Times New Roman" w:cs="Times New Roman"/>
                <w:bCs/>
                <w:sz w:val="24"/>
                <w:highlight w:val="none"/>
              </w:rPr>
            </w:pPr>
          </w:p>
        </w:tc>
        <w:tc>
          <w:tcPr>
            <w:tcW w:w="249" w:type="pct"/>
            <w:vAlign w:val="center"/>
          </w:tcPr>
          <w:p w14:paraId="2D712AA1">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rPr>
              <w:t>112</w:t>
            </w:r>
          </w:p>
        </w:tc>
        <w:tc>
          <w:tcPr>
            <w:tcW w:w="2599" w:type="pct"/>
            <w:vAlign w:val="center"/>
          </w:tcPr>
          <w:p w14:paraId="697D258C">
            <w:pPr>
              <w:snapToGrid w:val="0"/>
              <w:spacing w:after="0" w:line="240" w:lineRule="auto"/>
              <w:ind w:firstLine="0" w:firstLineChars="0"/>
              <w:jc w:val="center"/>
              <w:rPr>
                <w:rFonts w:hint="default" w:ascii="Times New Roman" w:hAnsi="Times New Roman" w:cs="Times New Roman"/>
                <w:bCs/>
                <w:sz w:val="24"/>
                <w:highlight w:val="none"/>
                <w:lang w:eastAsia="zh-CN"/>
              </w:rPr>
            </w:pPr>
            <w:r>
              <w:rPr>
                <w:rFonts w:hint="default" w:ascii="Times New Roman" w:hAnsi="Times New Roman" w:cs="Times New Roman"/>
                <w:bCs/>
                <w:sz w:val="24"/>
                <w:highlight w:val="none"/>
                <w:lang w:eastAsia="zh-CN"/>
              </w:rPr>
              <w:t>推动重点小学、中学、大学批次建设美丽学校。</w:t>
            </w:r>
          </w:p>
        </w:tc>
        <w:tc>
          <w:tcPr>
            <w:tcW w:w="1250" w:type="pct"/>
            <w:vAlign w:val="center"/>
          </w:tcPr>
          <w:p w14:paraId="01165B82">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市教育局</w:t>
            </w:r>
          </w:p>
        </w:tc>
        <w:tc>
          <w:tcPr>
            <w:tcW w:w="627" w:type="pct"/>
            <w:vAlign w:val="center"/>
          </w:tcPr>
          <w:p w14:paraId="51C13011">
            <w:pPr>
              <w:snapToGrid w:val="0"/>
              <w:spacing w:after="0" w:line="240" w:lineRule="auto"/>
              <w:ind w:firstLine="0" w:firstLineChars="0"/>
              <w:jc w:val="center"/>
              <w:rPr>
                <w:rFonts w:hint="default" w:ascii="Times New Roman" w:hAnsi="Times New Roman" w:cs="Times New Roman"/>
                <w:bCs/>
                <w:sz w:val="24"/>
                <w:highlight w:val="none"/>
              </w:rPr>
            </w:pPr>
            <w:r>
              <w:rPr>
                <w:rFonts w:hint="default" w:ascii="Times New Roman" w:hAnsi="Times New Roman" w:cs="Times New Roman"/>
                <w:bCs/>
                <w:sz w:val="24"/>
                <w:highlight w:val="none"/>
              </w:rPr>
              <w:t>持续推进</w:t>
            </w:r>
          </w:p>
        </w:tc>
      </w:tr>
    </w:tbl>
    <w:p w14:paraId="4D768DED">
      <w:pPr>
        <w:rPr>
          <w:rFonts w:hint="default" w:ascii="Times New Roman" w:hAnsi="Times New Roman" w:eastAsia="黑体" w:cs="Times New Roman"/>
          <w:szCs w:val="22"/>
          <w:highlight w:val="none"/>
          <w:lang w:eastAsia="zh-CN"/>
        </w:rPr>
      </w:pPr>
      <w:r>
        <w:rPr>
          <w:rFonts w:hint="default" w:ascii="Times New Roman" w:hAnsi="Times New Roman" w:eastAsia="黑体" w:cs="Times New Roman"/>
          <w:szCs w:val="22"/>
          <w:highlight w:val="none"/>
          <w:lang w:eastAsia="zh-CN"/>
        </w:rPr>
        <w:br w:type="page"/>
      </w:r>
    </w:p>
    <w:p w14:paraId="2B25E113">
      <w:pPr>
        <w:spacing w:after="0" w:line="560" w:lineRule="exact"/>
        <w:ind w:firstLine="0" w:firstLineChars="0"/>
        <w:jc w:val="left"/>
        <w:outlineLvl w:val="0"/>
        <w:rPr>
          <w:rFonts w:hint="default" w:ascii="Times New Roman" w:hAnsi="Times New Roman" w:eastAsia="黑体" w:cs="Times New Roman"/>
          <w:szCs w:val="22"/>
          <w:highlight w:val="none"/>
        </w:rPr>
      </w:pPr>
      <w:r>
        <w:rPr>
          <w:rFonts w:hint="default" w:ascii="Times New Roman" w:hAnsi="Times New Roman" w:eastAsia="黑体" w:cs="Times New Roman"/>
          <w:szCs w:val="22"/>
          <w:highlight w:val="none"/>
          <w:lang w:eastAsia="zh-CN"/>
        </w:rPr>
        <w:t>附件3</w:t>
      </w:r>
    </w:p>
    <w:p w14:paraId="6738542A">
      <w:pPr>
        <w:spacing w:after="120" w:afterLines="50" w:line="560" w:lineRule="exact"/>
        <w:ind w:firstLine="0" w:firstLineChars="0"/>
        <w:jc w:val="center"/>
        <w:rPr>
          <w:rFonts w:hint="default" w:ascii="Times New Roman" w:hAnsi="Times New Roman" w:eastAsia="方正小标宋简体" w:cs="Times New Roman"/>
          <w:sz w:val="44"/>
          <w:szCs w:val="44"/>
          <w:highlight w:val="none"/>
          <w:lang w:eastAsia="zh-CN"/>
        </w:rPr>
      </w:pPr>
      <w:r>
        <w:rPr>
          <w:rFonts w:hint="default" w:ascii="Times New Roman" w:hAnsi="Times New Roman" w:eastAsia="方正小标宋简体" w:cs="Times New Roman"/>
          <w:sz w:val="44"/>
          <w:szCs w:val="44"/>
          <w:highlight w:val="none"/>
          <w:lang w:eastAsia="zh-CN"/>
        </w:rPr>
        <w:t>石家庄美丽城市建设标志性成果清单</w:t>
      </w:r>
    </w:p>
    <w:tbl>
      <w:tblPr>
        <w:tblStyle w:val="35"/>
        <w:tblW w:w="150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299"/>
        <w:gridCol w:w="1946"/>
        <w:gridCol w:w="3103"/>
        <w:gridCol w:w="2947"/>
        <w:gridCol w:w="2127"/>
        <w:gridCol w:w="2803"/>
      </w:tblGrid>
      <w:tr w14:paraId="14C1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blHeader/>
          <w:jc w:val="center"/>
        </w:trPr>
        <w:tc>
          <w:tcPr>
            <w:tcW w:w="817" w:type="dxa"/>
            <w:vAlign w:val="center"/>
          </w:tcPr>
          <w:p w14:paraId="7701CD49">
            <w:pPr>
              <w:snapToGrid w:val="0"/>
              <w:spacing w:after="0" w:line="240" w:lineRule="auto"/>
              <w:ind w:firstLine="0" w:firstLineChars="0"/>
              <w:jc w:val="center"/>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序号</w:t>
            </w:r>
          </w:p>
        </w:tc>
        <w:tc>
          <w:tcPr>
            <w:tcW w:w="1299" w:type="dxa"/>
            <w:vAlign w:val="center"/>
          </w:tcPr>
          <w:p w14:paraId="1B2D574B">
            <w:pPr>
              <w:snapToGrid w:val="0"/>
              <w:spacing w:after="0" w:line="240" w:lineRule="auto"/>
              <w:ind w:firstLine="0" w:firstLineChars="0"/>
              <w:jc w:val="center"/>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成果领域</w:t>
            </w:r>
          </w:p>
        </w:tc>
        <w:tc>
          <w:tcPr>
            <w:tcW w:w="0" w:type="auto"/>
            <w:vAlign w:val="center"/>
          </w:tcPr>
          <w:p w14:paraId="357A8FC5">
            <w:pPr>
              <w:snapToGrid w:val="0"/>
              <w:spacing w:after="0" w:line="240" w:lineRule="auto"/>
              <w:ind w:firstLine="0" w:firstLineChars="0"/>
              <w:jc w:val="center"/>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标志性成果名称</w:t>
            </w:r>
          </w:p>
        </w:tc>
        <w:tc>
          <w:tcPr>
            <w:tcW w:w="0" w:type="auto"/>
            <w:vAlign w:val="center"/>
          </w:tcPr>
          <w:p w14:paraId="39EA42E5">
            <w:pPr>
              <w:snapToGrid w:val="0"/>
              <w:spacing w:after="0" w:line="240" w:lineRule="auto"/>
              <w:ind w:firstLine="0" w:firstLineChars="0"/>
              <w:jc w:val="center"/>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2027年目标</w:t>
            </w:r>
          </w:p>
        </w:tc>
        <w:tc>
          <w:tcPr>
            <w:tcW w:w="0" w:type="auto"/>
            <w:vAlign w:val="center"/>
          </w:tcPr>
          <w:p w14:paraId="6B152C39">
            <w:pPr>
              <w:snapToGrid w:val="0"/>
              <w:spacing w:after="0" w:line="240" w:lineRule="auto"/>
              <w:ind w:firstLine="0" w:firstLineChars="0"/>
              <w:jc w:val="center"/>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2030年目标</w:t>
            </w:r>
          </w:p>
        </w:tc>
        <w:tc>
          <w:tcPr>
            <w:tcW w:w="0" w:type="auto"/>
            <w:vAlign w:val="center"/>
          </w:tcPr>
          <w:p w14:paraId="264E692A">
            <w:pPr>
              <w:snapToGrid w:val="0"/>
              <w:spacing w:after="0" w:line="240" w:lineRule="auto"/>
              <w:ind w:firstLine="0" w:firstLineChars="0"/>
              <w:jc w:val="center"/>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2035年目标</w:t>
            </w:r>
          </w:p>
        </w:tc>
        <w:tc>
          <w:tcPr>
            <w:tcW w:w="2803" w:type="dxa"/>
            <w:vAlign w:val="center"/>
          </w:tcPr>
          <w:p w14:paraId="29253DCF">
            <w:pPr>
              <w:snapToGrid w:val="0"/>
              <w:spacing w:after="0" w:line="240" w:lineRule="auto"/>
              <w:ind w:firstLine="0" w:firstLineChars="0"/>
              <w:jc w:val="center"/>
              <w:rPr>
                <w:rFonts w:hint="default" w:ascii="Times New Roman" w:hAnsi="Times New Roman" w:eastAsia="黑体" w:cs="Times New Roman"/>
                <w:sz w:val="24"/>
                <w:highlight w:val="none"/>
              </w:rPr>
            </w:pPr>
            <w:r>
              <w:rPr>
                <w:rFonts w:hint="default" w:ascii="Times New Roman" w:hAnsi="Times New Roman" w:eastAsia="黑体" w:cs="Times New Roman"/>
                <w:sz w:val="24"/>
                <w:highlight w:val="none"/>
              </w:rPr>
              <w:t>责任单位</w:t>
            </w:r>
          </w:p>
        </w:tc>
      </w:tr>
      <w:tr w14:paraId="43565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C5B596F">
            <w:pPr>
              <w:pStyle w:val="23"/>
              <w:snapToGrid w:val="0"/>
              <w:spacing w:line="280" w:lineRule="exact"/>
              <w:jc w:val="center"/>
              <w:rPr>
                <w:rFonts w:hint="default" w:ascii="Times New Roman" w:hAnsi="Times New Roman" w:cs="Times New Roman"/>
                <w:szCs w:val="24"/>
                <w:highlight w:val="none"/>
              </w:rPr>
            </w:pPr>
            <w:r>
              <w:rPr>
                <w:rFonts w:hint="default" w:ascii="Times New Roman" w:hAnsi="Times New Roman" w:cs="Times New Roman"/>
                <w:szCs w:val="24"/>
                <w:highlight w:val="none"/>
              </w:rPr>
              <w:t>1</w:t>
            </w:r>
          </w:p>
        </w:tc>
        <w:tc>
          <w:tcPr>
            <w:tcW w:w="1299" w:type="dxa"/>
            <w:vAlign w:val="center"/>
          </w:tcPr>
          <w:p w14:paraId="6782D4D5">
            <w:pPr>
              <w:pStyle w:val="23"/>
              <w:snapToGrid w:val="0"/>
              <w:spacing w:line="280" w:lineRule="exact"/>
              <w:jc w:val="center"/>
              <w:rPr>
                <w:rFonts w:hint="default" w:ascii="Times New Roman" w:hAnsi="Times New Roman" w:cs="Times New Roman"/>
                <w:szCs w:val="24"/>
                <w:highlight w:val="none"/>
              </w:rPr>
            </w:pPr>
            <w:r>
              <w:rPr>
                <w:rFonts w:hint="default" w:ascii="Times New Roman" w:hAnsi="Times New Roman" w:cs="Times New Roman"/>
                <w:szCs w:val="24"/>
                <w:highlight w:val="none"/>
              </w:rPr>
              <w:t>低碳建设</w:t>
            </w:r>
          </w:p>
        </w:tc>
        <w:tc>
          <w:tcPr>
            <w:tcW w:w="0" w:type="auto"/>
            <w:vAlign w:val="center"/>
          </w:tcPr>
          <w:p w14:paraId="212BE398">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传统工业城市绿色低碳转型“石家庄模式”</w:t>
            </w:r>
          </w:p>
        </w:tc>
        <w:tc>
          <w:tcPr>
            <w:tcW w:w="0" w:type="auto"/>
            <w:vAlign w:val="center"/>
          </w:tcPr>
          <w:p w14:paraId="2BC70D7F">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绿色工厂产值占比超30%，创建“零碳”工厂5家</w:t>
            </w:r>
          </w:p>
        </w:tc>
        <w:tc>
          <w:tcPr>
            <w:tcW w:w="0" w:type="auto"/>
            <w:vAlign w:val="center"/>
          </w:tcPr>
          <w:p w14:paraId="0E5D7B5C">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绿色工厂产值占比超35%，创建“零碳”工厂10家</w:t>
            </w:r>
          </w:p>
        </w:tc>
        <w:tc>
          <w:tcPr>
            <w:tcW w:w="0" w:type="auto"/>
            <w:vAlign w:val="center"/>
          </w:tcPr>
          <w:p w14:paraId="33523112">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绿色低碳发展模式基本形成</w:t>
            </w:r>
          </w:p>
        </w:tc>
        <w:tc>
          <w:tcPr>
            <w:tcW w:w="2803" w:type="dxa"/>
            <w:vAlign w:val="center"/>
          </w:tcPr>
          <w:p w14:paraId="73313F4D">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市发展和改革委员会、市工业和信息化局、市生态环境局</w:t>
            </w:r>
          </w:p>
        </w:tc>
      </w:tr>
      <w:tr w14:paraId="0A8EB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337653B">
            <w:pPr>
              <w:pStyle w:val="23"/>
              <w:snapToGrid w:val="0"/>
              <w:spacing w:line="280" w:lineRule="exact"/>
              <w:jc w:val="center"/>
              <w:rPr>
                <w:rFonts w:hint="default" w:ascii="Times New Roman" w:hAnsi="Times New Roman" w:cs="Times New Roman"/>
                <w:szCs w:val="24"/>
                <w:highlight w:val="none"/>
              </w:rPr>
            </w:pPr>
            <w:r>
              <w:rPr>
                <w:rFonts w:hint="default" w:ascii="Times New Roman" w:hAnsi="Times New Roman" w:cs="Times New Roman"/>
                <w:szCs w:val="24"/>
                <w:highlight w:val="none"/>
              </w:rPr>
              <w:t>2</w:t>
            </w:r>
          </w:p>
        </w:tc>
        <w:tc>
          <w:tcPr>
            <w:tcW w:w="1299" w:type="dxa"/>
            <w:vAlign w:val="center"/>
          </w:tcPr>
          <w:p w14:paraId="5F337BAC">
            <w:pPr>
              <w:pStyle w:val="23"/>
              <w:snapToGrid w:val="0"/>
              <w:spacing w:line="280" w:lineRule="exact"/>
              <w:jc w:val="center"/>
              <w:rPr>
                <w:rFonts w:hint="default" w:ascii="Times New Roman" w:hAnsi="Times New Roman" w:cs="Times New Roman"/>
                <w:szCs w:val="24"/>
                <w:highlight w:val="none"/>
              </w:rPr>
            </w:pPr>
            <w:r>
              <w:rPr>
                <w:rFonts w:hint="default" w:ascii="Times New Roman" w:hAnsi="Times New Roman" w:cs="Times New Roman"/>
                <w:szCs w:val="24"/>
                <w:highlight w:val="none"/>
              </w:rPr>
              <w:t>绿色生活</w:t>
            </w:r>
          </w:p>
        </w:tc>
        <w:tc>
          <w:tcPr>
            <w:tcW w:w="0" w:type="auto"/>
            <w:vAlign w:val="center"/>
          </w:tcPr>
          <w:p w14:paraId="551C5D42">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绿色生活方式推广样板</w:t>
            </w:r>
          </w:p>
        </w:tc>
        <w:tc>
          <w:tcPr>
            <w:tcW w:w="0" w:type="auto"/>
            <w:vAlign w:val="center"/>
          </w:tcPr>
          <w:p w14:paraId="3C329CC5">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绿色出行比例达83%，垃圾分类示范小区50个</w:t>
            </w:r>
          </w:p>
        </w:tc>
        <w:tc>
          <w:tcPr>
            <w:tcW w:w="0" w:type="auto"/>
            <w:vAlign w:val="center"/>
          </w:tcPr>
          <w:p w14:paraId="7CB50BB4">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绿色出行比例达85%，垃圾分类示范小区100个</w:t>
            </w:r>
          </w:p>
        </w:tc>
        <w:tc>
          <w:tcPr>
            <w:tcW w:w="0" w:type="auto"/>
            <w:vAlign w:val="center"/>
          </w:tcPr>
          <w:p w14:paraId="488EE5F0">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绿色低碳生活方式广泛形成</w:t>
            </w:r>
          </w:p>
        </w:tc>
        <w:tc>
          <w:tcPr>
            <w:tcW w:w="2803" w:type="dxa"/>
            <w:vAlign w:val="center"/>
          </w:tcPr>
          <w:p w14:paraId="2D17F13E">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市生态环境局、市交通运输局、市住房和城乡建设局</w:t>
            </w:r>
          </w:p>
        </w:tc>
      </w:tr>
      <w:tr w14:paraId="3E458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FC9A7DD">
            <w:pPr>
              <w:pStyle w:val="23"/>
              <w:snapToGrid w:val="0"/>
              <w:spacing w:line="280" w:lineRule="exact"/>
              <w:jc w:val="center"/>
              <w:rPr>
                <w:rFonts w:hint="default" w:ascii="Times New Roman" w:hAnsi="Times New Roman" w:cs="Times New Roman"/>
                <w:szCs w:val="24"/>
                <w:highlight w:val="none"/>
              </w:rPr>
            </w:pPr>
            <w:r>
              <w:rPr>
                <w:rFonts w:hint="default" w:ascii="Times New Roman" w:hAnsi="Times New Roman" w:cs="Times New Roman"/>
                <w:szCs w:val="24"/>
                <w:highlight w:val="none"/>
              </w:rPr>
              <w:t>3</w:t>
            </w:r>
          </w:p>
        </w:tc>
        <w:tc>
          <w:tcPr>
            <w:tcW w:w="1299" w:type="dxa"/>
            <w:vAlign w:val="center"/>
          </w:tcPr>
          <w:p w14:paraId="16399052">
            <w:pPr>
              <w:pStyle w:val="23"/>
              <w:snapToGrid w:val="0"/>
              <w:spacing w:line="280" w:lineRule="exact"/>
              <w:jc w:val="center"/>
              <w:rPr>
                <w:rFonts w:hint="default" w:ascii="Times New Roman" w:hAnsi="Times New Roman" w:cs="Times New Roman"/>
                <w:szCs w:val="24"/>
                <w:highlight w:val="none"/>
              </w:rPr>
            </w:pPr>
            <w:r>
              <w:rPr>
                <w:rFonts w:hint="default" w:ascii="Times New Roman" w:hAnsi="Times New Roman" w:cs="Times New Roman"/>
                <w:szCs w:val="24"/>
                <w:highlight w:val="none"/>
              </w:rPr>
              <w:t>空气清新</w:t>
            </w:r>
          </w:p>
        </w:tc>
        <w:tc>
          <w:tcPr>
            <w:tcW w:w="0" w:type="auto"/>
            <w:vAlign w:val="center"/>
          </w:tcPr>
          <w:p w14:paraId="396254C2">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京津冀大气污染协同治理示范</w:t>
            </w:r>
          </w:p>
        </w:tc>
        <w:tc>
          <w:tcPr>
            <w:tcW w:w="0" w:type="auto"/>
            <w:vAlign w:val="center"/>
          </w:tcPr>
          <w:p w14:paraId="0C5A6E72">
            <w:pPr>
              <w:pStyle w:val="23"/>
              <w:snapToGrid w:val="0"/>
              <w:spacing w:line="280" w:lineRule="exact"/>
              <w:jc w:val="left"/>
              <w:rPr>
                <w:rFonts w:hint="default" w:ascii="Times New Roman" w:hAnsi="Times New Roman" w:cs="Times New Roman"/>
                <w:szCs w:val="24"/>
                <w:highlight w:val="none"/>
              </w:rPr>
            </w:pPr>
            <w:r>
              <w:rPr>
                <w:rFonts w:hint="default" w:ascii="Times New Roman" w:hAnsi="Times New Roman" w:cs="Times New Roman"/>
                <w:szCs w:val="24"/>
                <w:highlight w:val="none"/>
              </w:rPr>
              <w:t>PM</w:t>
            </w:r>
            <w:r>
              <w:rPr>
                <w:rFonts w:hint="default" w:ascii="Times New Roman" w:hAnsi="Times New Roman" w:cs="Times New Roman"/>
                <w:szCs w:val="24"/>
                <w:highlight w:val="none"/>
                <w:vertAlign w:val="subscript"/>
              </w:rPr>
              <w:t>2.5</w:t>
            </w:r>
            <w:r>
              <w:rPr>
                <w:rFonts w:hint="default" w:ascii="Times New Roman" w:hAnsi="Times New Roman" w:cs="Times New Roman"/>
                <w:szCs w:val="24"/>
                <w:highlight w:val="none"/>
              </w:rPr>
              <w:t>降至40μg/m³，优良天数比率70%</w:t>
            </w:r>
          </w:p>
        </w:tc>
        <w:tc>
          <w:tcPr>
            <w:tcW w:w="0" w:type="auto"/>
            <w:vAlign w:val="center"/>
          </w:tcPr>
          <w:p w14:paraId="044BC856">
            <w:pPr>
              <w:pStyle w:val="23"/>
              <w:snapToGrid w:val="0"/>
              <w:spacing w:line="280" w:lineRule="exact"/>
              <w:jc w:val="left"/>
              <w:rPr>
                <w:rFonts w:hint="default" w:ascii="Times New Roman" w:hAnsi="Times New Roman" w:cs="Times New Roman"/>
                <w:szCs w:val="24"/>
                <w:highlight w:val="none"/>
              </w:rPr>
            </w:pPr>
            <w:r>
              <w:rPr>
                <w:rFonts w:hint="default" w:ascii="Times New Roman" w:hAnsi="Times New Roman" w:cs="Times New Roman"/>
                <w:szCs w:val="24"/>
                <w:highlight w:val="none"/>
              </w:rPr>
              <w:t>PM</w:t>
            </w:r>
            <w:r>
              <w:rPr>
                <w:rFonts w:hint="default" w:ascii="Times New Roman" w:hAnsi="Times New Roman" w:cs="Times New Roman"/>
                <w:szCs w:val="24"/>
                <w:highlight w:val="none"/>
                <w:vertAlign w:val="subscript"/>
              </w:rPr>
              <w:t>2.5</w:t>
            </w:r>
            <w:r>
              <w:rPr>
                <w:rFonts w:hint="default" w:ascii="Times New Roman" w:hAnsi="Times New Roman" w:cs="Times New Roman"/>
                <w:szCs w:val="24"/>
                <w:highlight w:val="none"/>
              </w:rPr>
              <w:t>降至35μg/m³以下，优良天数比率75%</w:t>
            </w:r>
          </w:p>
        </w:tc>
        <w:tc>
          <w:tcPr>
            <w:tcW w:w="0" w:type="auto"/>
            <w:vAlign w:val="center"/>
          </w:tcPr>
          <w:p w14:paraId="6A513234">
            <w:pPr>
              <w:pStyle w:val="23"/>
              <w:snapToGrid w:val="0"/>
              <w:spacing w:line="280" w:lineRule="exact"/>
              <w:jc w:val="left"/>
              <w:rPr>
                <w:rFonts w:hint="default" w:ascii="Times New Roman" w:hAnsi="Times New Roman" w:cs="Times New Roman"/>
                <w:szCs w:val="24"/>
                <w:highlight w:val="none"/>
              </w:rPr>
            </w:pPr>
            <w:r>
              <w:rPr>
                <w:rFonts w:hint="default" w:ascii="Times New Roman" w:hAnsi="Times New Roman" w:cs="Times New Roman"/>
                <w:szCs w:val="24"/>
                <w:highlight w:val="none"/>
              </w:rPr>
              <w:t>基本消除重污染天气</w:t>
            </w:r>
          </w:p>
        </w:tc>
        <w:tc>
          <w:tcPr>
            <w:tcW w:w="2803" w:type="dxa"/>
            <w:vAlign w:val="center"/>
          </w:tcPr>
          <w:p w14:paraId="47FFE01D">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市生态环境局、市大气污染防治服务保障中心</w:t>
            </w:r>
          </w:p>
        </w:tc>
      </w:tr>
      <w:tr w14:paraId="3786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DA2E356">
            <w:pPr>
              <w:pStyle w:val="23"/>
              <w:snapToGrid w:val="0"/>
              <w:spacing w:line="280" w:lineRule="exact"/>
              <w:jc w:val="center"/>
              <w:rPr>
                <w:rFonts w:hint="default" w:ascii="Times New Roman" w:hAnsi="Times New Roman" w:cs="Times New Roman"/>
                <w:szCs w:val="24"/>
                <w:highlight w:val="none"/>
              </w:rPr>
            </w:pPr>
            <w:r>
              <w:rPr>
                <w:rFonts w:hint="default" w:ascii="Times New Roman" w:hAnsi="Times New Roman" w:cs="Times New Roman"/>
                <w:szCs w:val="24"/>
                <w:highlight w:val="none"/>
              </w:rPr>
              <w:t>4</w:t>
            </w:r>
          </w:p>
        </w:tc>
        <w:tc>
          <w:tcPr>
            <w:tcW w:w="1299" w:type="dxa"/>
            <w:vAlign w:val="center"/>
          </w:tcPr>
          <w:p w14:paraId="3CF80C4B">
            <w:pPr>
              <w:pStyle w:val="23"/>
              <w:snapToGrid w:val="0"/>
              <w:spacing w:line="280" w:lineRule="exact"/>
              <w:jc w:val="center"/>
              <w:rPr>
                <w:rFonts w:hint="default" w:ascii="Times New Roman" w:hAnsi="Times New Roman" w:cs="Times New Roman"/>
                <w:szCs w:val="24"/>
                <w:highlight w:val="none"/>
              </w:rPr>
            </w:pPr>
            <w:r>
              <w:rPr>
                <w:rFonts w:hint="default" w:ascii="Times New Roman" w:hAnsi="Times New Roman" w:cs="Times New Roman"/>
                <w:szCs w:val="24"/>
                <w:highlight w:val="none"/>
              </w:rPr>
              <w:t>水体洁净</w:t>
            </w:r>
          </w:p>
        </w:tc>
        <w:tc>
          <w:tcPr>
            <w:tcW w:w="0" w:type="auto"/>
            <w:vAlign w:val="center"/>
          </w:tcPr>
          <w:p w14:paraId="12FC7FFA">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滹沱河全国美丽河湖标杆</w:t>
            </w:r>
          </w:p>
        </w:tc>
        <w:tc>
          <w:tcPr>
            <w:tcW w:w="0" w:type="auto"/>
            <w:vAlign w:val="center"/>
          </w:tcPr>
          <w:p w14:paraId="7BC64E6B">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美丽河湖建成率57%，地表水优良比例83%</w:t>
            </w:r>
          </w:p>
        </w:tc>
        <w:tc>
          <w:tcPr>
            <w:tcW w:w="0" w:type="auto"/>
            <w:vAlign w:val="center"/>
          </w:tcPr>
          <w:p w14:paraId="01BB4C58">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美丽河湖建成率70%，地表水优良比例85%</w:t>
            </w:r>
          </w:p>
        </w:tc>
        <w:tc>
          <w:tcPr>
            <w:tcW w:w="0" w:type="auto"/>
            <w:vAlign w:val="center"/>
          </w:tcPr>
          <w:p w14:paraId="096C8DFC">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“人水和谐”美丽河湖基本建成</w:t>
            </w:r>
          </w:p>
        </w:tc>
        <w:tc>
          <w:tcPr>
            <w:tcW w:w="2803" w:type="dxa"/>
            <w:vAlign w:val="center"/>
          </w:tcPr>
          <w:p w14:paraId="248FB100">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市生态环境局</w:t>
            </w:r>
          </w:p>
        </w:tc>
      </w:tr>
      <w:tr w14:paraId="1A159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4723708">
            <w:pPr>
              <w:pStyle w:val="23"/>
              <w:snapToGrid w:val="0"/>
              <w:spacing w:line="280" w:lineRule="exact"/>
              <w:jc w:val="center"/>
              <w:rPr>
                <w:rFonts w:hint="default" w:ascii="Times New Roman" w:hAnsi="Times New Roman" w:cs="Times New Roman"/>
                <w:szCs w:val="24"/>
                <w:highlight w:val="none"/>
              </w:rPr>
            </w:pPr>
            <w:r>
              <w:rPr>
                <w:rFonts w:hint="default" w:ascii="Times New Roman" w:hAnsi="Times New Roman" w:cs="Times New Roman"/>
                <w:szCs w:val="24"/>
                <w:highlight w:val="none"/>
                <w:lang w:eastAsia="zh-CN"/>
              </w:rPr>
              <w:t>5</w:t>
            </w:r>
          </w:p>
        </w:tc>
        <w:tc>
          <w:tcPr>
            <w:tcW w:w="1299" w:type="dxa"/>
            <w:vAlign w:val="center"/>
          </w:tcPr>
          <w:p w14:paraId="3CB60FC3">
            <w:pPr>
              <w:pStyle w:val="23"/>
              <w:snapToGrid w:val="0"/>
              <w:spacing w:line="280" w:lineRule="exact"/>
              <w:jc w:val="center"/>
              <w:rPr>
                <w:rFonts w:hint="default" w:ascii="Times New Roman" w:hAnsi="Times New Roman" w:cs="Times New Roman"/>
                <w:szCs w:val="24"/>
                <w:highlight w:val="none"/>
              </w:rPr>
            </w:pPr>
            <w:r>
              <w:rPr>
                <w:rFonts w:hint="default" w:ascii="Times New Roman" w:hAnsi="Times New Roman" w:cs="Times New Roman"/>
                <w:szCs w:val="24"/>
                <w:highlight w:val="none"/>
              </w:rPr>
              <w:t>设施完善</w:t>
            </w:r>
          </w:p>
        </w:tc>
        <w:tc>
          <w:tcPr>
            <w:tcW w:w="0" w:type="auto"/>
            <w:vAlign w:val="center"/>
          </w:tcPr>
          <w:p w14:paraId="2F878E39">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海绵城市与韧性基础设施示范</w:t>
            </w:r>
          </w:p>
        </w:tc>
        <w:tc>
          <w:tcPr>
            <w:tcW w:w="0" w:type="auto"/>
            <w:vAlign w:val="center"/>
          </w:tcPr>
          <w:p w14:paraId="7E67E723">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中心城区透水面积比例25%，公园绿地服务半径覆盖率85%</w:t>
            </w:r>
          </w:p>
        </w:tc>
        <w:tc>
          <w:tcPr>
            <w:tcW w:w="0" w:type="auto"/>
            <w:vAlign w:val="center"/>
          </w:tcPr>
          <w:p w14:paraId="731B2006">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中心城区透水面积比例</w:t>
            </w:r>
            <w:r>
              <w:rPr>
                <w:rFonts w:hint="eastAsia" w:cs="Times New Roman"/>
                <w:szCs w:val="24"/>
                <w:highlight w:val="none"/>
                <w:lang w:val="en-US" w:eastAsia="zh-CN"/>
              </w:rPr>
              <w:t>28</w:t>
            </w:r>
            <w:r>
              <w:rPr>
                <w:rFonts w:hint="default" w:ascii="Times New Roman" w:hAnsi="Times New Roman" w:cs="Times New Roman"/>
                <w:szCs w:val="24"/>
                <w:highlight w:val="none"/>
                <w:lang w:eastAsia="zh-CN"/>
              </w:rPr>
              <w:t>%，公园绿地服务半径覆盖率88%</w:t>
            </w:r>
          </w:p>
        </w:tc>
        <w:tc>
          <w:tcPr>
            <w:tcW w:w="0" w:type="auto"/>
            <w:vAlign w:val="center"/>
          </w:tcPr>
          <w:p w14:paraId="72A87F30">
            <w:pPr>
              <w:pStyle w:val="23"/>
              <w:snapToGrid w:val="0"/>
              <w:spacing w:line="280" w:lineRule="exact"/>
              <w:jc w:val="left"/>
              <w:rPr>
                <w:rFonts w:hint="default" w:ascii="Times New Roman" w:hAnsi="Times New Roman" w:cs="Times New Roman"/>
                <w:szCs w:val="24"/>
                <w:highlight w:val="none"/>
              </w:rPr>
            </w:pPr>
            <w:r>
              <w:rPr>
                <w:rFonts w:hint="default" w:ascii="Times New Roman" w:hAnsi="Times New Roman" w:cs="Times New Roman"/>
                <w:szCs w:val="24"/>
                <w:highlight w:val="none"/>
              </w:rPr>
              <w:t>海绵城市全面建成</w:t>
            </w:r>
          </w:p>
        </w:tc>
        <w:tc>
          <w:tcPr>
            <w:tcW w:w="2803" w:type="dxa"/>
            <w:vAlign w:val="center"/>
          </w:tcPr>
          <w:p w14:paraId="45243BC3">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市城市管理综合行政执法局、市住房和城乡建设局、市自然资源和规划局、市园林局</w:t>
            </w:r>
          </w:p>
        </w:tc>
      </w:tr>
      <w:tr w14:paraId="3C78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8E5A1CF">
            <w:pPr>
              <w:pStyle w:val="23"/>
              <w:snapToGrid w:val="0"/>
              <w:spacing w:line="280" w:lineRule="exact"/>
              <w:jc w:val="center"/>
              <w:rPr>
                <w:rFonts w:hint="default" w:ascii="Times New Roman" w:hAnsi="Times New Roman" w:cs="Times New Roman"/>
                <w:szCs w:val="24"/>
                <w:highlight w:val="none"/>
              </w:rPr>
            </w:pPr>
            <w:r>
              <w:rPr>
                <w:rFonts w:hint="default" w:ascii="Times New Roman" w:hAnsi="Times New Roman" w:cs="Times New Roman"/>
                <w:szCs w:val="24"/>
                <w:highlight w:val="none"/>
                <w:lang w:eastAsia="zh-CN"/>
              </w:rPr>
              <w:t>6</w:t>
            </w:r>
          </w:p>
        </w:tc>
        <w:tc>
          <w:tcPr>
            <w:tcW w:w="1299" w:type="dxa"/>
            <w:vAlign w:val="center"/>
          </w:tcPr>
          <w:p w14:paraId="2C7D6961">
            <w:pPr>
              <w:pStyle w:val="23"/>
              <w:snapToGrid w:val="0"/>
              <w:spacing w:line="280" w:lineRule="exact"/>
              <w:jc w:val="center"/>
              <w:rPr>
                <w:rFonts w:hint="default" w:ascii="Times New Roman" w:hAnsi="Times New Roman" w:cs="Times New Roman"/>
                <w:szCs w:val="24"/>
                <w:highlight w:val="none"/>
              </w:rPr>
            </w:pPr>
            <w:r>
              <w:rPr>
                <w:rFonts w:hint="default" w:ascii="Times New Roman" w:hAnsi="Times New Roman" w:cs="Times New Roman"/>
                <w:szCs w:val="24"/>
                <w:highlight w:val="none"/>
              </w:rPr>
              <w:t>管理智能</w:t>
            </w:r>
          </w:p>
        </w:tc>
        <w:tc>
          <w:tcPr>
            <w:tcW w:w="0" w:type="auto"/>
            <w:vAlign w:val="center"/>
          </w:tcPr>
          <w:p w14:paraId="62406648">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生态环境“空天地”一体化监测体系</w:t>
            </w:r>
          </w:p>
        </w:tc>
        <w:tc>
          <w:tcPr>
            <w:tcW w:w="0" w:type="auto"/>
            <w:vAlign w:val="center"/>
          </w:tcPr>
          <w:p w14:paraId="5BA0D343">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智慧执法链条基本建成</w:t>
            </w:r>
          </w:p>
        </w:tc>
        <w:tc>
          <w:tcPr>
            <w:tcW w:w="0" w:type="auto"/>
            <w:vAlign w:val="center"/>
          </w:tcPr>
          <w:p w14:paraId="43D59BE3">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多污染物协同与污染源智能监管全覆盖</w:t>
            </w:r>
          </w:p>
        </w:tc>
        <w:tc>
          <w:tcPr>
            <w:tcW w:w="0" w:type="auto"/>
            <w:vAlign w:val="center"/>
          </w:tcPr>
          <w:p w14:paraId="74CA388A">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生态环境治理体系和治理能力达到国内领先</w:t>
            </w:r>
          </w:p>
        </w:tc>
        <w:tc>
          <w:tcPr>
            <w:tcW w:w="2803" w:type="dxa"/>
            <w:vAlign w:val="center"/>
          </w:tcPr>
          <w:p w14:paraId="0CE8079D">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市生态环境局</w:t>
            </w:r>
          </w:p>
        </w:tc>
      </w:tr>
      <w:tr w14:paraId="155D5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F860C89">
            <w:pPr>
              <w:pStyle w:val="23"/>
              <w:snapToGrid w:val="0"/>
              <w:spacing w:line="280" w:lineRule="exact"/>
              <w:jc w:val="center"/>
              <w:rPr>
                <w:rFonts w:hint="default" w:ascii="Times New Roman" w:hAnsi="Times New Roman" w:cs="Times New Roman"/>
                <w:szCs w:val="24"/>
                <w:highlight w:val="none"/>
              </w:rPr>
            </w:pPr>
            <w:r>
              <w:rPr>
                <w:rFonts w:hint="default" w:ascii="Times New Roman" w:hAnsi="Times New Roman" w:cs="Times New Roman"/>
                <w:szCs w:val="24"/>
                <w:highlight w:val="none"/>
                <w:lang w:eastAsia="zh-CN"/>
              </w:rPr>
              <w:t>7</w:t>
            </w:r>
          </w:p>
        </w:tc>
        <w:tc>
          <w:tcPr>
            <w:tcW w:w="1299" w:type="dxa"/>
            <w:vAlign w:val="center"/>
          </w:tcPr>
          <w:p w14:paraId="549BDEBA">
            <w:pPr>
              <w:pStyle w:val="23"/>
              <w:snapToGrid w:val="0"/>
              <w:spacing w:line="280" w:lineRule="exact"/>
              <w:jc w:val="center"/>
              <w:rPr>
                <w:rFonts w:hint="default" w:ascii="Times New Roman" w:hAnsi="Times New Roman" w:cs="Times New Roman"/>
                <w:szCs w:val="24"/>
                <w:highlight w:val="none"/>
              </w:rPr>
            </w:pPr>
            <w:r>
              <w:rPr>
                <w:rFonts w:hint="default" w:ascii="Times New Roman" w:hAnsi="Times New Roman" w:cs="Times New Roman"/>
                <w:szCs w:val="24"/>
                <w:highlight w:val="none"/>
              </w:rPr>
              <w:t>公众满意</w:t>
            </w:r>
          </w:p>
        </w:tc>
        <w:tc>
          <w:tcPr>
            <w:tcW w:w="1946" w:type="dxa"/>
            <w:vAlign w:val="center"/>
          </w:tcPr>
          <w:p w14:paraId="7ABC6241">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美丽石家庄城市品牌与公众参与机制</w:t>
            </w:r>
          </w:p>
        </w:tc>
        <w:tc>
          <w:tcPr>
            <w:tcW w:w="3103" w:type="dxa"/>
            <w:vAlign w:val="center"/>
          </w:tcPr>
          <w:p w14:paraId="28124BE7">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美丽细胞100个，公众满意度85%</w:t>
            </w:r>
          </w:p>
        </w:tc>
        <w:tc>
          <w:tcPr>
            <w:tcW w:w="2947" w:type="dxa"/>
            <w:vAlign w:val="center"/>
          </w:tcPr>
          <w:p w14:paraId="60F6B329">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美丽细胞200个，公众满意度90%</w:t>
            </w:r>
          </w:p>
        </w:tc>
        <w:tc>
          <w:tcPr>
            <w:tcW w:w="2127" w:type="dxa"/>
            <w:vAlign w:val="center"/>
          </w:tcPr>
          <w:p w14:paraId="7344085A">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美丽细胞300个，公众满意度95%</w:t>
            </w:r>
          </w:p>
        </w:tc>
        <w:tc>
          <w:tcPr>
            <w:tcW w:w="2803" w:type="dxa"/>
            <w:vAlign w:val="center"/>
          </w:tcPr>
          <w:p w14:paraId="14016A72">
            <w:pPr>
              <w:pStyle w:val="23"/>
              <w:snapToGrid w:val="0"/>
              <w:spacing w:line="280" w:lineRule="exact"/>
              <w:jc w:val="left"/>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市委宣传部、市生态环境局、市文化广电和旅游局</w:t>
            </w:r>
          </w:p>
        </w:tc>
      </w:tr>
    </w:tbl>
    <w:p w14:paraId="6C0E298A">
      <w:pPr>
        <w:ind w:firstLine="0" w:firstLineChars="0"/>
        <w:rPr>
          <w:rFonts w:hint="default" w:ascii="Times New Roman" w:hAnsi="Times New Roman" w:cs="Times New Roman"/>
          <w:highlight w:val="none"/>
        </w:rPr>
      </w:pPr>
    </w:p>
    <w:sectPr>
      <w:pgSz w:w="16838" w:h="11906" w:orient="landscape"/>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1CC1192-3861-4581-AAD4-E1118FFAA9D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709DABE1-C77A-4DE8-97F6-1D08DA2ADBD1}"/>
  </w:font>
  <w:font w:name="MS Gothic">
    <w:panose1 w:val="020B0609070205080204"/>
    <w:charset w:val="80"/>
    <w:family w:val="auto"/>
    <w:pitch w:val="default"/>
    <w:sig w:usb0="E00002FF" w:usb1="6AC7FDFB" w:usb2="00000012" w:usb3="00000000" w:csb0="4002009F" w:csb1="DFD70000"/>
  </w:font>
  <w:font w:name="Courier">
    <w:altName w:val="Courier New"/>
    <w:panose1 w:val="02070409020205020404"/>
    <w:charset w:val="00"/>
    <w:family w:val="auto"/>
    <w:pitch w:val="default"/>
    <w:sig w:usb0="00000000" w:usb1="00000000" w:usb2="00000000" w:usb3="00000000" w:csb0="00000001" w:csb1="00000000"/>
  </w:font>
  <w:font w:name="MS Mincho">
    <w:panose1 w:val="02020609040205080304"/>
    <w:charset w:val="80"/>
    <w:family w:val="auto"/>
    <w:pitch w:val="default"/>
    <w:sig w:usb0="E00002FF" w:usb1="6AC7FDFB" w:usb2="00000012" w:usb3="00000000" w:csb0="4002009F" w:csb1="DFD7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script"/>
    <w:pitch w:val="default"/>
    <w:sig w:usb0="00000001" w:usb1="080E0000" w:usb2="00000000" w:usb3="00000000" w:csb0="00040000" w:csb1="00000000"/>
    <w:embedRegular r:id="rId3" w:fontKey="{4C292106-0316-4B04-9598-AA7C50AE8FAF}"/>
  </w:font>
  <w:font w:name="楷体_GB2312">
    <w:panose1 w:val="02010609030101010101"/>
    <w:charset w:val="86"/>
    <w:family w:val="modern"/>
    <w:pitch w:val="default"/>
    <w:sig w:usb0="00000001" w:usb1="080E0000" w:usb2="00000000" w:usb3="00000000" w:csb0="00040000" w:csb1="00000000"/>
    <w:embedRegular r:id="rId4" w:fontKey="{66E79290-BD21-4CE5-A6FE-1781694C99A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822A4">
    <w:pPr>
      <w:pStyle w:val="25"/>
      <w:ind w:firstLine="0" w:firstLineChars="0"/>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B91DE">
    <w:pPr>
      <w:pStyle w:val="25"/>
      <w:ind w:firstLine="64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517C4">
    <w:pPr>
      <w:pStyle w:val="25"/>
      <w:ind w:firstLine="64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1499912"/>
    </w:sdtPr>
    <w:sdtEndPr>
      <w:rPr>
        <w:sz w:val="24"/>
        <w:szCs w:val="24"/>
      </w:rPr>
    </w:sdtEndPr>
    <w:sdtContent>
      <w:p w14:paraId="4C741153">
        <w:pPr>
          <w:pStyle w:val="25"/>
          <w:ind w:firstLine="640"/>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eastAsia="zh-CN"/>
          </w:rPr>
          <w:t>2</w:t>
        </w:r>
        <w:r>
          <w:rPr>
            <w:sz w:val="24"/>
            <w:szCs w:val="24"/>
          </w:rPr>
          <w:fldChar w:fldCharType="end"/>
        </w:r>
      </w:p>
    </w:sdtContent>
  </w:sdt>
  <w:p w14:paraId="1BC97485">
    <w:pPr>
      <w:pStyle w:val="25"/>
      <w:ind w:firstLine="0" w:firstLineChars="0"/>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ind w:firstLine="640"/>
      </w:pPr>
      <w:r>
        <w:separator/>
      </w:r>
    </w:p>
  </w:footnote>
  <w:footnote w:type="continuationSeparator" w:id="1">
    <w:p>
      <w:pPr>
        <w:spacing w:before="0" w:after="0" w:line="276"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1815B">
    <w:pPr>
      <w:pStyle w:val="26"/>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82224">
    <w:pPr>
      <w:pStyle w:val="26"/>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7BBD8">
    <w:pPr>
      <w:pStyle w:val="26"/>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3668"/>
    <w:rsid w:val="00007A6D"/>
    <w:rsid w:val="000310EA"/>
    <w:rsid w:val="00034616"/>
    <w:rsid w:val="00055028"/>
    <w:rsid w:val="0006063C"/>
    <w:rsid w:val="000C4B6E"/>
    <w:rsid w:val="000D475E"/>
    <w:rsid w:val="0010627D"/>
    <w:rsid w:val="00111284"/>
    <w:rsid w:val="0015074B"/>
    <w:rsid w:val="00210A75"/>
    <w:rsid w:val="002250D3"/>
    <w:rsid w:val="0029639D"/>
    <w:rsid w:val="00304E7F"/>
    <w:rsid w:val="00320E7A"/>
    <w:rsid w:val="00326F90"/>
    <w:rsid w:val="00332287"/>
    <w:rsid w:val="003768DD"/>
    <w:rsid w:val="00381ADF"/>
    <w:rsid w:val="00412375"/>
    <w:rsid w:val="00426ABA"/>
    <w:rsid w:val="00435A71"/>
    <w:rsid w:val="004801E8"/>
    <w:rsid w:val="004A5B51"/>
    <w:rsid w:val="005310E7"/>
    <w:rsid w:val="005346F8"/>
    <w:rsid w:val="005539AE"/>
    <w:rsid w:val="00575C43"/>
    <w:rsid w:val="00647584"/>
    <w:rsid w:val="006D6326"/>
    <w:rsid w:val="006E6538"/>
    <w:rsid w:val="00713A6D"/>
    <w:rsid w:val="0080446F"/>
    <w:rsid w:val="00892D03"/>
    <w:rsid w:val="008D7458"/>
    <w:rsid w:val="008F206F"/>
    <w:rsid w:val="009153E4"/>
    <w:rsid w:val="00A466C2"/>
    <w:rsid w:val="00AA1D8D"/>
    <w:rsid w:val="00AC3C89"/>
    <w:rsid w:val="00B47730"/>
    <w:rsid w:val="00B543ED"/>
    <w:rsid w:val="00B5483D"/>
    <w:rsid w:val="00BE5BEA"/>
    <w:rsid w:val="00CB0664"/>
    <w:rsid w:val="00CB405C"/>
    <w:rsid w:val="00CC2632"/>
    <w:rsid w:val="00CF3FDC"/>
    <w:rsid w:val="00D041F3"/>
    <w:rsid w:val="00E77286"/>
    <w:rsid w:val="00F1185F"/>
    <w:rsid w:val="00F32246"/>
    <w:rsid w:val="00FC693F"/>
    <w:rsid w:val="00FD641D"/>
    <w:rsid w:val="012D2227"/>
    <w:rsid w:val="01624B4A"/>
    <w:rsid w:val="019042F9"/>
    <w:rsid w:val="02201D8C"/>
    <w:rsid w:val="0274413B"/>
    <w:rsid w:val="0449346A"/>
    <w:rsid w:val="05C27D3F"/>
    <w:rsid w:val="08857A98"/>
    <w:rsid w:val="08AD5321"/>
    <w:rsid w:val="08FA3336"/>
    <w:rsid w:val="09AF4121"/>
    <w:rsid w:val="0AFF3250"/>
    <w:rsid w:val="0B5210D4"/>
    <w:rsid w:val="0B7174D5"/>
    <w:rsid w:val="0C366E9C"/>
    <w:rsid w:val="0D3B7703"/>
    <w:rsid w:val="0DA675E9"/>
    <w:rsid w:val="0DA95ECB"/>
    <w:rsid w:val="0EA3448E"/>
    <w:rsid w:val="0EBF2140"/>
    <w:rsid w:val="0F9A40F1"/>
    <w:rsid w:val="10B25DF3"/>
    <w:rsid w:val="11E1571C"/>
    <w:rsid w:val="138D411C"/>
    <w:rsid w:val="172717E0"/>
    <w:rsid w:val="17E43AB7"/>
    <w:rsid w:val="18865A6E"/>
    <w:rsid w:val="18CB74B2"/>
    <w:rsid w:val="193340C9"/>
    <w:rsid w:val="1A5778BF"/>
    <w:rsid w:val="1C420668"/>
    <w:rsid w:val="1C5B5A42"/>
    <w:rsid w:val="1D3723DF"/>
    <w:rsid w:val="1E62397F"/>
    <w:rsid w:val="1F953D01"/>
    <w:rsid w:val="221648EB"/>
    <w:rsid w:val="23E52D0D"/>
    <w:rsid w:val="24FF004F"/>
    <w:rsid w:val="28D21441"/>
    <w:rsid w:val="29E43BB8"/>
    <w:rsid w:val="2A380F30"/>
    <w:rsid w:val="2BDB637A"/>
    <w:rsid w:val="2D151838"/>
    <w:rsid w:val="2DCD1BB4"/>
    <w:rsid w:val="30871DAD"/>
    <w:rsid w:val="30FD184B"/>
    <w:rsid w:val="332041C6"/>
    <w:rsid w:val="337A0A4C"/>
    <w:rsid w:val="33D76BD9"/>
    <w:rsid w:val="37272C99"/>
    <w:rsid w:val="3B2D49E0"/>
    <w:rsid w:val="3B4C44AA"/>
    <w:rsid w:val="3EAC0C89"/>
    <w:rsid w:val="40420B44"/>
    <w:rsid w:val="42B8588E"/>
    <w:rsid w:val="42DC2CD4"/>
    <w:rsid w:val="43423787"/>
    <w:rsid w:val="44BD7696"/>
    <w:rsid w:val="460C1185"/>
    <w:rsid w:val="4CDC05D9"/>
    <w:rsid w:val="50D40EA8"/>
    <w:rsid w:val="52094756"/>
    <w:rsid w:val="56925E96"/>
    <w:rsid w:val="570447B3"/>
    <w:rsid w:val="570E3261"/>
    <w:rsid w:val="58341473"/>
    <w:rsid w:val="5869536D"/>
    <w:rsid w:val="5A4042FF"/>
    <w:rsid w:val="5E7171E0"/>
    <w:rsid w:val="613F280A"/>
    <w:rsid w:val="61951FB2"/>
    <w:rsid w:val="6330795D"/>
    <w:rsid w:val="66746949"/>
    <w:rsid w:val="67332E10"/>
    <w:rsid w:val="67DD2631"/>
    <w:rsid w:val="67E46C83"/>
    <w:rsid w:val="69383DA0"/>
    <w:rsid w:val="6B4F4440"/>
    <w:rsid w:val="6BFE3974"/>
    <w:rsid w:val="6C432D93"/>
    <w:rsid w:val="6E445903"/>
    <w:rsid w:val="73531097"/>
    <w:rsid w:val="738B5541"/>
    <w:rsid w:val="757D16FB"/>
    <w:rsid w:val="79D0629D"/>
    <w:rsid w:val="7AF55CC9"/>
    <w:rsid w:val="7B51359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next w:val="2"/>
    <w:qFormat/>
    <w:uiPriority w:val="0"/>
    <w:pPr>
      <w:spacing w:after="200" w:line="276" w:lineRule="auto"/>
      <w:ind w:firstLine="880" w:firstLineChars="200"/>
      <w:jc w:val="both"/>
    </w:pPr>
    <w:rPr>
      <w:rFonts w:ascii="Times New Roman" w:hAnsi="Times New Roman" w:eastAsia="仿宋_GB2312" w:cstheme="minorBidi"/>
      <w:sz w:val="32"/>
      <w:szCs w:val="32"/>
      <w:lang w:val="en-US" w:eastAsia="en-US" w:bidi="ar-SA"/>
    </w:rPr>
  </w:style>
  <w:style w:type="paragraph" w:styleId="4">
    <w:name w:val="heading 1"/>
    <w:basedOn w:val="1"/>
    <w:next w:val="1"/>
    <w:link w:val="14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5">
    <w:name w:val="heading 2"/>
    <w:basedOn w:val="1"/>
    <w:next w:val="1"/>
    <w:link w:val="142"/>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2">
    <w:name w:val="heading 3"/>
    <w:basedOn w:val="1"/>
    <w:next w:val="1"/>
    <w:link w:val="143"/>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5"/>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6"/>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7"/>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8"/>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4">
    <w:name w:val="Default Paragraph Font"/>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3">
    <w:name w:val="macro"/>
    <w:link w:val="15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link w:val="167"/>
    <w:unhideWhenUsed/>
    <w:qFormat/>
    <w:uiPriority w:val="99"/>
    <w:pPr>
      <w:jc w:val="left"/>
    </w:pPr>
  </w:style>
  <w:style w:type="paragraph" w:styleId="18">
    <w:name w:val="Body Text 3"/>
    <w:basedOn w:val="1"/>
    <w:link w:val="149"/>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7"/>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firstLine="0" w:firstLineChars="0"/>
      <w:contextualSpacing/>
    </w:pPr>
    <w:rPr>
      <w:sz w:val="24"/>
    </w:rPr>
  </w:style>
  <w:style w:type="paragraph" w:styleId="24">
    <w:name w:val="List Bullet 2"/>
    <w:basedOn w:val="1"/>
    <w:unhideWhenUsed/>
    <w:qFormat/>
    <w:uiPriority w:val="99"/>
    <w:pPr>
      <w:numPr>
        <w:ilvl w:val="0"/>
        <w:numId w:val="6"/>
      </w:numPr>
      <w:contextualSpacing/>
    </w:pPr>
  </w:style>
  <w:style w:type="paragraph" w:styleId="25">
    <w:name w:val="footer"/>
    <w:basedOn w:val="1"/>
    <w:link w:val="139"/>
    <w:unhideWhenUsed/>
    <w:qFormat/>
    <w:uiPriority w:val="99"/>
    <w:pPr>
      <w:tabs>
        <w:tab w:val="center" w:pos="4680"/>
        <w:tab w:val="right" w:pos="9360"/>
      </w:tabs>
      <w:spacing w:after="0" w:line="240" w:lineRule="auto"/>
    </w:pPr>
  </w:style>
  <w:style w:type="paragraph" w:styleId="26">
    <w:name w:val="header"/>
    <w:basedOn w:val="1"/>
    <w:link w:val="138"/>
    <w:unhideWhenUsed/>
    <w:qFormat/>
    <w:uiPriority w:val="99"/>
    <w:pPr>
      <w:tabs>
        <w:tab w:val="center" w:pos="4680"/>
        <w:tab w:val="right" w:pos="9360"/>
      </w:tabs>
      <w:spacing w:after="0" w:line="240" w:lineRule="auto"/>
    </w:pPr>
  </w:style>
  <w:style w:type="paragraph" w:styleId="27">
    <w:name w:val="Subtitle"/>
    <w:basedOn w:val="1"/>
    <w:next w:val="1"/>
    <w:link w:val="14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8"/>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4"/>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paragraph" w:styleId="33">
    <w:name w:val="annotation subject"/>
    <w:basedOn w:val="17"/>
    <w:next w:val="17"/>
    <w:link w:val="168"/>
    <w:semiHidden/>
    <w:unhideWhenUsed/>
    <w:qFormat/>
    <w:uiPriority w:val="99"/>
    <w:rPr>
      <w:b/>
      <w:bCs/>
    </w:rPr>
  </w:style>
  <w:style w:type="table" w:styleId="35">
    <w:name w:val="Table Grid"/>
    <w:basedOn w:val="3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6">
    <w:name w:val="Light Shading"/>
    <w:basedOn w:val="34"/>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7">
    <w:name w:val="Light Shading Accent 1"/>
    <w:basedOn w:val="34"/>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8">
    <w:name w:val="Light Shading Accent 2"/>
    <w:basedOn w:val="34"/>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9">
    <w:name w:val="Light Shading Accent 3"/>
    <w:basedOn w:val="34"/>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34"/>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Shading Accent 5"/>
    <w:basedOn w:val="34"/>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2">
    <w:name w:val="Light Shading Accent 6"/>
    <w:basedOn w:val="34"/>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3">
    <w:name w:val="Light List"/>
    <w:basedOn w:val="34"/>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4">
    <w:name w:val="Light List Accent 1"/>
    <w:basedOn w:val="34"/>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5">
    <w:name w:val="Light List Accent 2"/>
    <w:basedOn w:val="34"/>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6">
    <w:name w:val="Light List Accent 3"/>
    <w:basedOn w:val="34"/>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7">
    <w:name w:val="Light List Accent 4"/>
    <w:basedOn w:val="34"/>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8">
    <w:name w:val="Light List Accent 5"/>
    <w:basedOn w:val="34"/>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9">
    <w:name w:val="Light List Accent 6"/>
    <w:basedOn w:val="34"/>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0">
    <w:name w:val="Light Grid"/>
    <w:basedOn w:val="34"/>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1">
    <w:name w:val="Light Grid Accent 1"/>
    <w:basedOn w:val="34"/>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2">
    <w:name w:val="Light Grid Accent 2"/>
    <w:basedOn w:val="34"/>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3">
    <w:name w:val="Light Grid Accent 3"/>
    <w:basedOn w:val="34"/>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4">
    <w:name w:val="Light Grid Accent 4"/>
    <w:basedOn w:val="34"/>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5">
    <w:name w:val="Light Grid Accent 5"/>
    <w:basedOn w:val="34"/>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6">
    <w:name w:val="Light Grid Accent 6"/>
    <w:basedOn w:val="34"/>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7">
    <w:name w:val="Medium Shading 1"/>
    <w:basedOn w:val="34"/>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8">
    <w:name w:val="Medium Shading 1 Accent 1"/>
    <w:basedOn w:val="34"/>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9">
    <w:name w:val="Medium Shading 1 Accent 2"/>
    <w:basedOn w:val="34"/>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0">
    <w:name w:val="Medium Shading 1 Accent 3"/>
    <w:basedOn w:val="34"/>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Medium Shading 1 Accent 4"/>
    <w:basedOn w:val="34"/>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2">
    <w:name w:val="Medium Shading 1 Accent 5"/>
    <w:basedOn w:val="34"/>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3">
    <w:name w:val="Medium Shading 1 Accent 6"/>
    <w:basedOn w:val="34"/>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4">
    <w:name w:val="Medium Shading 2"/>
    <w:basedOn w:val="34"/>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1"/>
    <w:basedOn w:val="34"/>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2"/>
    <w:basedOn w:val="34"/>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3"/>
    <w:basedOn w:val="34"/>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4"/>
    <w:basedOn w:val="34"/>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5"/>
    <w:basedOn w:val="34"/>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6"/>
    <w:basedOn w:val="34"/>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List 1"/>
    <w:basedOn w:val="34"/>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2">
    <w:name w:val="Medium List 1 Accent 1"/>
    <w:basedOn w:val="34"/>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3">
    <w:name w:val="Medium List 1 Accent 2"/>
    <w:basedOn w:val="34"/>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4">
    <w:name w:val="Medium List 1 Accent 3"/>
    <w:basedOn w:val="34"/>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5">
    <w:name w:val="Medium List 1 Accent 4"/>
    <w:basedOn w:val="34"/>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6">
    <w:name w:val="Medium List 1 Accent 5"/>
    <w:basedOn w:val="34"/>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7">
    <w:name w:val="Medium List 1 Accent 6"/>
    <w:basedOn w:val="34"/>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8">
    <w:name w:val="Medium List 2"/>
    <w:basedOn w:val="34"/>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1"/>
    <w:basedOn w:val="34"/>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2"/>
    <w:basedOn w:val="34"/>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3"/>
    <w:basedOn w:val="34"/>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4"/>
    <w:basedOn w:val="34"/>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5"/>
    <w:basedOn w:val="34"/>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6"/>
    <w:basedOn w:val="34"/>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Grid 1"/>
    <w:basedOn w:val="34"/>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6">
    <w:name w:val="Medium Grid 1 Accent 1"/>
    <w:basedOn w:val="34"/>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7">
    <w:name w:val="Medium Grid 1 Accent 2"/>
    <w:basedOn w:val="34"/>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8">
    <w:name w:val="Medium Grid 1 Accent 3"/>
    <w:basedOn w:val="34"/>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9">
    <w:name w:val="Medium Grid 1 Accent 4"/>
    <w:basedOn w:val="34"/>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0">
    <w:name w:val="Medium Grid 1 Accent 5"/>
    <w:basedOn w:val="34"/>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1">
    <w:name w:val="Medium Grid 1 Accent 6"/>
    <w:basedOn w:val="34"/>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w:basedOn w:val="34"/>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3">
    <w:name w:val="Medium Grid 2 Accent 1"/>
    <w:basedOn w:val="34"/>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4">
    <w:name w:val="Medium Grid 2 Accent 2"/>
    <w:basedOn w:val="34"/>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5">
    <w:name w:val="Medium Grid 2 Accent 3"/>
    <w:basedOn w:val="34"/>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6">
    <w:name w:val="Medium Grid 2 Accent 4"/>
    <w:basedOn w:val="34"/>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7">
    <w:name w:val="Medium Grid 2 Accent 5"/>
    <w:basedOn w:val="34"/>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8">
    <w:name w:val="Medium Grid 2 Accent 6"/>
    <w:basedOn w:val="34"/>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9">
    <w:name w:val="Medium Grid 3"/>
    <w:basedOn w:val="34"/>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0">
    <w:name w:val="Medium Grid 3 Accent 1"/>
    <w:basedOn w:val="34"/>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1">
    <w:name w:val="Medium Grid 3 Accent 2"/>
    <w:basedOn w:val="34"/>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2">
    <w:name w:val="Medium Grid 3 Accent 3"/>
    <w:basedOn w:val="34"/>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3">
    <w:name w:val="Medium Grid 3 Accent 4"/>
    <w:basedOn w:val="34"/>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4">
    <w:name w:val="Medium Grid 3 Accent 5"/>
    <w:basedOn w:val="34"/>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5">
    <w:name w:val="Medium Grid 3 Accent 6"/>
    <w:basedOn w:val="34"/>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6">
    <w:name w:val="Dark List"/>
    <w:basedOn w:val="34"/>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7">
    <w:name w:val="Dark List Accent 1"/>
    <w:basedOn w:val="34"/>
    <w:qFormat/>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8">
    <w:name w:val="Dark List Accent 2"/>
    <w:basedOn w:val="34"/>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9">
    <w:name w:val="Dark List Accent 3"/>
    <w:basedOn w:val="34"/>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0">
    <w:name w:val="Dark List Accent 4"/>
    <w:basedOn w:val="34"/>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1">
    <w:name w:val="Dark List Accent 5"/>
    <w:basedOn w:val="34"/>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2">
    <w:name w:val="Dark List Accent 6"/>
    <w:basedOn w:val="34"/>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3">
    <w:name w:val="Colorful Shading"/>
    <w:basedOn w:val="34"/>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1"/>
    <w:basedOn w:val="34"/>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2"/>
    <w:basedOn w:val="34"/>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3"/>
    <w:basedOn w:val="34"/>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7">
    <w:name w:val="Colorful Shading Accent 4"/>
    <w:basedOn w:val="34"/>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5"/>
    <w:basedOn w:val="34"/>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6"/>
    <w:basedOn w:val="34"/>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List"/>
    <w:basedOn w:val="34"/>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1">
    <w:name w:val="Colorful List Accent 1"/>
    <w:basedOn w:val="34"/>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2">
    <w:name w:val="Colorful List Accent 2"/>
    <w:basedOn w:val="34"/>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3">
    <w:name w:val="Colorful List Accent 3"/>
    <w:basedOn w:val="34"/>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4">
    <w:name w:val="Colorful List Accent 4"/>
    <w:basedOn w:val="34"/>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5">
    <w:name w:val="Colorful List Accent 5"/>
    <w:basedOn w:val="34"/>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6">
    <w:name w:val="Colorful List Accent 6"/>
    <w:basedOn w:val="34"/>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7">
    <w:name w:val="Colorful Grid"/>
    <w:basedOn w:val="34"/>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8">
    <w:name w:val="Colorful Grid Accent 1"/>
    <w:basedOn w:val="34"/>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9">
    <w:name w:val="Colorful Grid Accent 2"/>
    <w:basedOn w:val="34"/>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0">
    <w:name w:val="Colorful Grid Accent 3"/>
    <w:basedOn w:val="34"/>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1">
    <w:name w:val="Colorful Grid Accent 4"/>
    <w:basedOn w:val="34"/>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2">
    <w:name w:val="Colorful Grid Accent 5"/>
    <w:basedOn w:val="34"/>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3">
    <w:name w:val="Colorful Grid Accent 6"/>
    <w:basedOn w:val="34"/>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5">
    <w:name w:val="Strong"/>
    <w:basedOn w:val="134"/>
    <w:qFormat/>
    <w:uiPriority w:val="22"/>
    <w:rPr>
      <w:b/>
      <w:bCs/>
    </w:rPr>
  </w:style>
  <w:style w:type="character" w:styleId="136">
    <w:name w:val="Emphasis"/>
    <w:basedOn w:val="134"/>
    <w:qFormat/>
    <w:uiPriority w:val="20"/>
    <w:rPr>
      <w:i/>
      <w:iCs/>
    </w:rPr>
  </w:style>
  <w:style w:type="character" w:styleId="137">
    <w:name w:val="annotation reference"/>
    <w:basedOn w:val="134"/>
    <w:semiHidden/>
    <w:unhideWhenUsed/>
    <w:qFormat/>
    <w:uiPriority w:val="99"/>
    <w:rPr>
      <w:sz w:val="21"/>
      <w:szCs w:val="21"/>
    </w:rPr>
  </w:style>
  <w:style w:type="character" w:customStyle="1" w:styleId="138">
    <w:name w:val="页眉 字符"/>
    <w:basedOn w:val="134"/>
    <w:link w:val="26"/>
    <w:qFormat/>
    <w:uiPriority w:val="99"/>
  </w:style>
  <w:style w:type="character" w:customStyle="1" w:styleId="139">
    <w:name w:val="页脚 字符"/>
    <w:basedOn w:val="134"/>
    <w:link w:val="25"/>
    <w:qFormat/>
    <w:uiPriority w:val="99"/>
  </w:style>
  <w:style w:type="paragraph" w:styleId="140">
    <w:name w:val="No Spacing"/>
    <w:qFormat/>
    <w:uiPriority w:val="1"/>
    <w:rPr>
      <w:rFonts w:asciiTheme="minorHAnsi" w:hAnsiTheme="minorHAnsi" w:eastAsiaTheme="minorEastAsia" w:cstheme="minorBidi"/>
      <w:sz w:val="22"/>
      <w:szCs w:val="22"/>
      <w:lang w:val="en-US" w:eastAsia="en-US" w:bidi="ar-SA"/>
    </w:rPr>
  </w:style>
  <w:style w:type="character" w:customStyle="1" w:styleId="141">
    <w:name w:val="标题 1 字符"/>
    <w:basedOn w:val="134"/>
    <w:link w:val="4"/>
    <w:qFormat/>
    <w:uiPriority w:val="9"/>
    <w:rPr>
      <w:rFonts w:asciiTheme="majorHAnsi" w:hAnsiTheme="majorHAnsi" w:eastAsiaTheme="majorEastAsia" w:cstheme="majorBidi"/>
      <w:b/>
      <w:bCs/>
      <w:color w:val="376092" w:themeColor="accent1" w:themeShade="BF"/>
      <w:sz w:val="28"/>
      <w:szCs w:val="28"/>
    </w:rPr>
  </w:style>
  <w:style w:type="character" w:customStyle="1" w:styleId="142">
    <w:name w:val="标题 2 字符"/>
    <w:basedOn w:val="134"/>
    <w:link w:val="5"/>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3">
    <w:name w:val="标题 3 字符"/>
    <w:basedOn w:val="134"/>
    <w:link w:val="2"/>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4">
    <w:name w:val="标题 字符"/>
    <w:basedOn w:val="134"/>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5">
    <w:name w:val="副标题 字符"/>
    <w:basedOn w:val="134"/>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6">
    <w:name w:val="List Paragraph"/>
    <w:basedOn w:val="1"/>
    <w:qFormat/>
    <w:uiPriority w:val="34"/>
    <w:pPr>
      <w:ind w:left="720"/>
      <w:contextualSpacing/>
    </w:pPr>
  </w:style>
  <w:style w:type="character" w:customStyle="1" w:styleId="147">
    <w:name w:val="正文文本 字符"/>
    <w:basedOn w:val="134"/>
    <w:link w:val="20"/>
    <w:qFormat/>
    <w:uiPriority w:val="99"/>
  </w:style>
  <w:style w:type="character" w:customStyle="1" w:styleId="148">
    <w:name w:val="正文文本 2 字符"/>
    <w:basedOn w:val="134"/>
    <w:link w:val="29"/>
    <w:qFormat/>
    <w:uiPriority w:val="99"/>
  </w:style>
  <w:style w:type="character" w:customStyle="1" w:styleId="149">
    <w:name w:val="正文文本 3 字符"/>
    <w:basedOn w:val="134"/>
    <w:link w:val="18"/>
    <w:qFormat/>
    <w:uiPriority w:val="99"/>
    <w:rPr>
      <w:sz w:val="16"/>
      <w:szCs w:val="16"/>
    </w:rPr>
  </w:style>
  <w:style w:type="character" w:customStyle="1" w:styleId="150">
    <w:name w:val="宏文本 字符"/>
    <w:basedOn w:val="134"/>
    <w:link w:val="3"/>
    <w:qFormat/>
    <w:uiPriority w:val="99"/>
    <w:rPr>
      <w:rFonts w:ascii="Courier" w:hAnsi="Courier"/>
      <w:sz w:val="20"/>
      <w:szCs w:val="20"/>
    </w:rPr>
  </w:style>
  <w:style w:type="paragraph" w:styleId="151">
    <w:name w:val="Quote"/>
    <w:basedOn w:val="1"/>
    <w:next w:val="1"/>
    <w:link w:val="152"/>
    <w:qFormat/>
    <w:uiPriority w:val="29"/>
    <w:rPr>
      <w:i/>
      <w:iCs/>
      <w:color w:val="000000" w:themeColor="text1"/>
      <w14:textFill>
        <w14:solidFill>
          <w14:schemeClr w14:val="tx1"/>
        </w14:solidFill>
      </w14:textFill>
    </w:rPr>
  </w:style>
  <w:style w:type="character" w:customStyle="1" w:styleId="152">
    <w:name w:val="引用 字符"/>
    <w:basedOn w:val="134"/>
    <w:link w:val="151"/>
    <w:qFormat/>
    <w:uiPriority w:val="29"/>
    <w:rPr>
      <w:i/>
      <w:iCs/>
      <w:color w:val="000000" w:themeColor="text1"/>
      <w14:textFill>
        <w14:solidFill>
          <w14:schemeClr w14:val="tx1"/>
        </w14:solidFill>
      </w14:textFill>
    </w:rPr>
  </w:style>
  <w:style w:type="character" w:customStyle="1" w:styleId="153">
    <w:name w:val="标题 4 字符"/>
    <w:basedOn w:val="134"/>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4">
    <w:name w:val="标题 5 字符"/>
    <w:basedOn w:val="134"/>
    <w:link w:val="7"/>
    <w:semiHidden/>
    <w:qFormat/>
    <w:uiPriority w:val="9"/>
    <w:rPr>
      <w:rFonts w:asciiTheme="majorHAnsi" w:hAnsiTheme="majorHAnsi" w:eastAsiaTheme="majorEastAsia" w:cstheme="majorBidi"/>
      <w:color w:val="254061" w:themeColor="accent1" w:themeShade="80"/>
    </w:rPr>
  </w:style>
  <w:style w:type="character" w:customStyle="1" w:styleId="155">
    <w:name w:val="标题 6 字符"/>
    <w:basedOn w:val="134"/>
    <w:link w:val="8"/>
    <w:semiHidden/>
    <w:qFormat/>
    <w:uiPriority w:val="9"/>
    <w:rPr>
      <w:rFonts w:asciiTheme="majorHAnsi" w:hAnsiTheme="majorHAnsi" w:eastAsiaTheme="majorEastAsia" w:cstheme="majorBidi"/>
      <w:i/>
      <w:iCs/>
      <w:color w:val="254061" w:themeColor="accent1" w:themeShade="80"/>
    </w:rPr>
  </w:style>
  <w:style w:type="character" w:customStyle="1" w:styleId="156">
    <w:name w:val="标题 7 字符"/>
    <w:basedOn w:val="134"/>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7">
    <w:name w:val="标题 8 字符"/>
    <w:basedOn w:val="134"/>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8">
    <w:name w:val="标题 9 字符"/>
    <w:basedOn w:val="134"/>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明显引用 字符"/>
    <w:basedOn w:val="134"/>
    <w:link w:val="159"/>
    <w:qFormat/>
    <w:uiPriority w:val="30"/>
    <w:rPr>
      <w:b/>
      <w:bCs/>
      <w:i/>
      <w:iCs/>
      <w:color w:val="4F81BD" w:themeColor="accent1"/>
      <w14:textFill>
        <w14:solidFill>
          <w14:schemeClr w14:val="accent1"/>
        </w14:solidFill>
      </w14:textFill>
    </w:rPr>
  </w:style>
  <w:style w:type="character" w:customStyle="1" w:styleId="161">
    <w:name w:val="不明显强调1"/>
    <w:basedOn w:val="134"/>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明显强调1"/>
    <w:basedOn w:val="134"/>
    <w:qFormat/>
    <w:uiPriority w:val="21"/>
    <w:rPr>
      <w:b/>
      <w:bCs/>
      <w:i/>
      <w:iCs/>
      <w:color w:val="4F81BD" w:themeColor="accent1"/>
      <w14:textFill>
        <w14:solidFill>
          <w14:schemeClr w14:val="accent1"/>
        </w14:solidFill>
      </w14:textFill>
    </w:rPr>
  </w:style>
  <w:style w:type="character" w:customStyle="1" w:styleId="163">
    <w:name w:val="不明显参考1"/>
    <w:basedOn w:val="134"/>
    <w:qFormat/>
    <w:uiPriority w:val="31"/>
    <w:rPr>
      <w:smallCaps/>
      <w:color w:val="C0504D" w:themeColor="accent2"/>
      <w:u w:val="single"/>
      <w14:textFill>
        <w14:solidFill>
          <w14:schemeClr w14:val="accent2"/>
        </w14:solidFill>
      </w14:textFill>
    </w:rPr>
  </w:style>
  <w:style w:type="character" w:customStyle="1" w:styleId="164">
    <w:name w:val="明显参考1"/>
    <w:basedOn w:val="134"/>
    <w:qFormat/>
    <w:uiPriority w:val="32"/>
    <w:rPr>
      <w:b/>
      <w:bCs/>
      <w:smallCaps/>
      <w:color w:val="C0504D" w:themeColor="accent2"/>
      <w:spacing w:val="5"/>
      <w:u w:val="single"/>
      <w14:textFill>
        <w14:solidFill>
          <w14:schemeClr w14:val="accent2"/>
        </w14:solidFill>
      </w14:textFill>
    </w:rPr>
  </w:style>
  <w:style w:type="character" w:customStyle="1" w:styleId="165">
    <w:name w:val="书籍标题1"/>
    <w:basedOn w:val="134"/>
    <w:qFormat/>
    <w:uiPriority w:val="33"/>
    <w:rPr>
      <w:b/>
      <w:bCs/>
      <w:smallCaps/>
      <w:spacing w:val="5"/>
    </w:rPr>
  </w:style>
  <w:style w:type="paragraph" w:customStyle="1" w:styleId="166">
    <w:name w:val="TOC 标题1"/>
    <w:basedOn w:val="4"/>
    <w:next w:val="1"/>
    <w:semiHidden/>
    <w:unhideWhenUsed/>
    <w:qFormat/>
    <w:uiPriority w:val="39"/>
    <w:pPr>
      <w:outlineLvl w:val="9"/>
    </w:pPr>
  </w:style>
  <w:style w:type="character" w:customStyle="1" w:styleId="167">
    <w:name w:val="批注文字 字符"/>
    <w:basedOn w:val="134"/>
    <w:link w:val="17"/>
    <w:qFormat/>
    <w:uiPriority w:val="99"/>
    <w:rPr>
      <w:rFonts w:eastAsia="仿宋_GB2312" w:cstheme="minorBidi"/>
      <w:sz w:val="32"/>
      <w:szCs w:val="32"/>
      <w:lang w:eastAsia="en-US"/>
    </w:rPr>
  </w:style>
  <w:style w:type="character" w:customStyle="1" w:styleId="168">
    <w:name w:val="批注主题 字符"/>
    <w:basedOn w:val="167"/>
    <w:link w:val="33"/>
    <w:semiHidden/>
    <w:qFormat/>
    <w:uiPriority w:val="99"/>
    <w:rPr>
      <w:rFonts w:eastAsia="仿宋_GB2312" w:cstheme="minorBidi"/>
      <w:b/>
      <w:bCs/>
      <w:sz w:val="32"/>
      <w:szCs w:val="3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1d17d6fa-b252-4578-b22a-f1026fda4284</errorID>
      <errorWord>达到较好水平</errorWord>
      <group>L1_Word</group>
      <groupName>字词问题</groupName>
      <ability>L2_Typo</ability>
      <abilityName>字词错误</abilityName>
      <candidateList>
        <item>达到较高水平</item>
      </candidateList>
      <explain/>
      <paraID>380E0ABB</paraID>
      <start>104</start>
      <end>110</end>
      <status>ignored</status>
      <modifiedWord/>
      <trackRevisions>false</trackRevisions>
    </reviewItem>
    <reviewItem>
      <errorID>87d16873-bae0-4081-8a1a-6ae41c480ca2</errorID>
      <errorWord>A级景区</errorWord>
      <group>L1_Word</group>
      <groupName>字词问题</groupName>
      <ability>L2_Typo</ability>
      <abilityName>字词错误</abilityName>
      <candidateList>
        <item>A级旅游景区</item>
      </candidateList>
      <explain/>
      <paraID>16B66E86</paraID>
      <start>25</start>
      <end>31</end>
      <status>modified</status>
      <modifiedWord>A级旅游景区</modifiedWord>
      <trackRevisions>false</trackRevisions>
    </reviewItem>
    <reviewItem>
      <errorID>9cb3e59c-9628-4f28-9fed-0173e9823f3f</errorID>
      <errorWord>与</errorWord>
      <group>L1_Word</group>
      <groupName>字词问题</groupName>
      <ability>L2_Typo</ability>
      <abilityName>字词错误</abilityName>
      <candidateList>
        <item>和</item>
      </candidateList>
      <explain/>
      <paraID>1B77E39D</paraID>
      <start>13</start>
      <end>14</end>
      <status>modified</status>
      <modifiedWord>和</modifiedWord>
      <trackRevisions>false</trackRevisions>
    </reviewItem>
    <reviewItem>
      <errorID>311a1fb4-3e4e-49e4-8d17-931d47136dac</errorID>
      <errorWord>A级景区</errorWord>
      <group>L1_Word</group>
      <groupName>字词问题</groupName>
      <ability>L2_Typo</ability>
      <abilityName>字词错误</abilityName>
      <candidateList>
        <item>A级旅游景区</item>
      </candidateList>
      <explain/>
      <paraID>4FE911B6</paraID>
      <start>18</start>
      <end>24</end>
      <status>modified</status>
      <modifiedWord>A级旅游景区</modifiedWord>
      <trackRevisions>false</trackRevisions>
    </reviewItem>
  </reviewItems>
  <config/>
</contractReview>
</file>

<file path=customXml/itemProps1.xml><?xml version="1.0" encoding="utf-8"?>
<ds:datastoreItem xmlns:ds="http://schemas.openxmlformats.org/officeDocument/2006/customXml" ds:itemID="{EF278816-EC6F-A645-907D-7F25AECB1D4A}">
  <ds:schemaRefs/>
</ds:datastoreItem>
</file>

<file path=customXml/itemProps2.xml><?xml version="1.0" encoding="utf-8"?>
<ds:datastoreItem xmlns:ds="http://schemas.openxmlformats.org/officeDocument/2006/customXml" ds:itemID="{2f87fa8f-8b6c-4946-9c6b-b5726a5705c8}">
  <ds:schemaRefs/>
</ds:datastoreItem>
</file>

<file path=docProps/app.xml><?xml version="1.0" encoding="utf-8"?>
<Properties xmlns="http://schemas.openxmlformats.org/officeDocument/2006/extended-properties" xmlns:vt="http://schemas.openxmlformats.org/officeDocument/2006/docPropsVTypes">
  <Template>Normal.dotm</Template>
  <Pages>35</Pages>
  <Words>8405</Words>
  <Characters>8739</Characters>
  <Lines>167</Lines>
  <Paragraphs>47</Paragraphs>
  <TotalTime>178</TotalTime>
  <ScaleCrop>false</ScaleCrop>
  <LinksUpToDate>false</LinksUpToDate>
  <CharactersWithSpaces>8767</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2026-08-26T14:48:00Z</dcterms:created>
  <dc:creator>python-docx</dc:creator>
  <dc:description>generated by python-docx</dc:description>
  <cp:lastModifiedBy>Queenie✨</cp:lastModifiedBy>
  <dcterms:modified xsi:type="dcterms:W3CDTF">2026-08-28T08:35:06Z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eyJoZGlkIjoiZTVlMTkzMTk5NGM5ZTI4YjJjODE4OTVjMjc4NDk4ZDUiLCJ1c2VySWQiOiI2MTkyMzE5OTIifQ==</vt:lpwstr>
  </property>
  <property fmtid="{D5CDD505-2E9C-101B-9397-08002B2CF9AE}" pid="3" name="KSOProductBuildVer">
    <vt:lpwstr>2052-12.1.0.26988</vt:lpwstr>
  </property>
  <property fmtid="{D5CDD505-2E9C-101B-9397-08002B2CF9AE}" pid="4" name="ICV">
    <vt:lpwstr>1F98010031324578912785A9F2028565_13</vt:lpwstr>
  </property>
</Properties>
</file>