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7EDBE1">
      <w:pPr>
        <w:keepNext w:val="0"/>
        <w:keepLines w:val="0"/>
        <w:pageBreakBefore w:val="0"/>
        <w:kinsoku/>
        <w:wordWrap/>
        <w:overflowPunct/>
        <w:topLinePunct w:val="0"/>
        <w:autoSpaceDE/>
        <w:autoSpaceDN/>
        <w:bidi w:val="0"/>
        <w:spacing w:line="560" w:lineRule="exact"/>
        <w:ind w:right="0" w:rightChars="0"/>
        <w:jc w:val="center"/>
        <w:textAlignment w:val="auto"/>
        <w:rPr>
          <w:rFonts w:hint="eastAsia" w:ascii="方正小标宋简体" w:hAnsi="方正小标宋_GBK" w:eastAsia="方正小标宋简体" w:cs="方正小标宋_GBK"/>
          <w:bCs/>
          <w:sz w:val="44"/>
          <w:szCs w:val="44"/>
          <w:lang w:val="en-US" w:eastAsia="zh-CN"/>
        </w:rPr>
      </w:pPr>
      <w:r>
        <w:rPr>
          <w:rFonts w:hint="eastAsia" w:ascii="方正小标宋简体" w:hAnsi="方正小标宋简体" w:eastAsia="方正小标宋简体" w:cs="方正小标宋简体"/>
          <w:color w:val="auto"/>
          <w:sz w:val="44"/>
          <w:szCs w:val="44"/>
          <w:highlight w:val="none"/>
          <w:lang w:val="en-US" w:eastAsia="zh-CN"/>
        </w:rPr>
        <w:t>石家庄市生态环境局</w:t>
      </w:r>
    </w:p>
    <w:p w14:paraId="14AD3370">
      <w:pPr>
        <w:keepNext w:val="0"/>
        <w:keepLines w:val="0"/>
        <w:pageBreakBefore w:val="0"/>
        <w:kinsoku/>
        <w:wordWrap/>
        <w:overflowPunct/>
        <w:topLinePunct w:val="0"/>
        <w:autoSpaceDE/>
        <w:autoSpaceDN/>
        <w:bidi w:val="0"/>
        <w:spacing w:line="560" w:lineRule="exact"/>
        <w:ind w:right="0" w:rightChars="0"/>
        <w:jc w:val="center"/>
        <w:textAlignment w:val="auto"/>
        <w:rPr>
          <w:rFonts w:hint="eastAsia" w:ascii="仿宋" w:hAnsi="仿宋" w:eastAsia="仿宋" w:cs="仿宋"/>
          <w:bCs/>
          <w:sz w:val="44"/>
          <w:szCs w:val="44"/>
        </w:rPr>
      </w:pPr>
      <w:r>
        <w:rPr>
          <w:rFonts w:hint="eastAsia" w:ascii="方正小标宋简体" w:hAnsi="方正小标宋_GBK" w:eastAsia="方正小标宋简体" w:cs="方正小标宋_GBK"/>
          <w:bCs/>
          <w:sz w:val="44"/>
          <w:szCs w:val="44"/>
          <w:lang w:val="en-US" w:eastAsia="zh-CN"/>
        </w:rPr>
        <w:t>物业管理费</w:t>
      </w:r>
      <w:r>
        <w:rPr>
          <w:rFonts w:hint="eastAsia" w:ascii="方正小标宋简体" w:hAnsi="方正小标宋简体" w:eastAsia="方正小标宋简体" w:cs="方正小标宋简体"/>
          <w:color w:val="auto"/>
          <w:sz w:val="44"/>
          <w:szCs w:val="44"/>
          <w:highlight w:val="none"/>
          <w:lang w:val="en-US" w:eastAsia="zh-CN"/>
        </w:rPr>
        <w:t>项目</w:t>
      </w:r>
      <w:r>
        <w:rPr>
          <w:rFonts w:hint="eastAsia" w:ascii="方正小标宋简体" w:hAnsi="方正小标宋_GBK" w:eastAsia="方正小标宋简体" w:cs="方正小标宋_GBK"/>
          <w:bCs/>
          <w:sz w:val="44"/>
          <w:szCs w:val="44"/>
          <w:lang w:val="en-US" w:eastAsia="zh-CN"/>
        </w:rPr>
        <w:t>的询价信息更正公告</w:t>
      </w:r>
    </w:p>
    <w:p w14:paraId="469B4BCB">
      <w:pPr>
        <w:keepNext w:val="0"/>
        <w:keepLines w:val="0"/>
        <w:pageBreakBefore w:val="0"/>
        <w:kinsoku/>
        <w:wordWrap/>
        <w:overflowPunct/>
        <w:topLinePunct w:val="0"/>
        <w:autoSpaceDE/>
        <w:autoSpaceDN/>
        <w:bidi w:val="0"/>
        <w:spacing w:line="560" w:lineRule="exact"/>
        <w:ind w:right="0" w:rightChars="0" w:firstLine="640"/>
        <w:textAlignment w:val="auto"/>
        <w:rPr>
          <w:rFonts w:hint="eastAsia" w:ascii="仿宋_GB2312" w:hAnsi="仿宋_GB2312" w:eastAsia="仿宋_GB2312" w:cs="仿宋_GB2312"/>
          <w:bCs/>
          <w:sz w:val="32"/>
          <w:szCs w:val="32"/>
        </w:rPr>
      </w:pPr>
    </w:p>
    <w:p w14:paraId="390ACD86">
      <w:pPr>
        <w:keepNext w:val="0"/>
        <w:keepLines w:val="0"/>
        <w:pageBreakBefore w:val="0"/>
        <w:kinsoku/>
        <w:wordWrap/>
        <w:overflowPunct/>
        <w:topLinePunct w:val="0"/>
        <w:autoSpaceDE/>
        <w:autoSpaceDN/>
        <w:bidi w:val="0"/>
        <w:spacing w:line="560" w:lineRule="exact"/>
        <w:ind w:right="0" w:rightChars="0" w:firstLine="64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eastAsia="zh-CN"/>
        </w:rPr>
        <w:t>我单位</w:t>
      </w:r>
      <w:r>
        <w:rPr>
          <w:rFonts w:hint="eastAsia" w:ascii="仿宋_GB2312" w:hAnsi="仿宋_GB2312" w:eastAsia="仿宋_GB2312" w:cs="仿宋_GB2312"/>
          <w:bCs/>
          <w:sz w:val="32"/>
          <w:szCs w:val="32"/>
          <w:lang w:val="en-US" w:eastAsia="zh-CN"/>
        </w:rPr>
        <w:t>石家庄市生态环境局物业管理费项目（预算金额：130.91万元）</w:t>
      </w:r>
      <w:r>
        <w:rPr>
          <w:rFonts w:hint="eastAsia" w:ascii="仿宋_GB2312" w:hAnsi="仿宋_GB2312" w:eastAsia="仿宋_GB2312" w:cs="仿宋_GB2312"/>
          <w:bCs/>
          <w:sz w:val="32"/>
          <w:szCs w:val="32"/>
        </w:rPr>
        <w:t>询价</w:t>
      </w:r>
      <w:r>
        <w:rPr>
          <w:rFonts w:hint="eastAsia" w:ascii="仿宋_GB2312" w:hAnsi="仿宋_GB2312" w:eastAsia="仿宋_GB2312" w:cs="仿宋_GB2312"/>
          <w:bCs/>
          <w:sz w:val="32"/>
          <w:szCs w:val="32"/>
          <w:lang w:eastAsia="zh-CN"/>
        </w:rPr>
        <w:t>信息公告已于</w:t>
      </w:r>
      <w:r>
        <w:rPr>
          <w:rFonts w:hint="eastAsia" w:ascii="仿宋_GB2312" w:hAnsi="仿宋_GB2312" w:eastAsia="仿宋_GB2312" w:cs="仿宋_GB2312"/>
          <w:bCs/>
          <w:sz w:val="32"/>
          <w:szCs w:val="32"/>
          <w:lang w:val="en-US" w:eastAsia="zh-CN"/>
        </w:rPr>
        <w:t>2026年7月27日发布，根据工作需要对项目工作方案进行调整，请以此次更正的项目工作方案为准，询价会时间地点不变。</w:t>
      </w:r>
    </w:p>
    <w:p w14:paraId="7E50AD77">
      <w:pPr>
        <w:keepNext w:val="0"/>
        <w:keepLines w:val="0"/>
        <w:pageBreakBefore w:val="0"/>
        <w:kinsoku/>
        <w:wordWrap/>
        <w:overflowPunct/>
        <w:topLinePunct w:val="0"/>
        <w:autoSpaceDE/>
        <w:autoSpaceDN/>
        <w:bidi w:val="0"/>
        <w:spacing w:line="560" w:lineRule="exact"/>
        <w:ind w:right="0" w:rightChars="0" w:firstLine="64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特此公告。</w:t>
      </w:r>
    </w:p>
    <w:p w14:paraId="67A17D93">
      <w:pPr>
        <w:keepNext w:val="0"/>
        <w:keepLines w:val="0"/>
        <w:pageBreakBefore w:val="0"/>
        <w:kinsoku/>
        <w:wordWrap/>
        <w:overflowPunct/>
        <w:topLinePunct w:val="0"/>
        <w:autoSpaceDE/>
        <w:autoSpaceDN/>
        <w:bidi w:val="0"/>
        <w:spacing w:line="560" w:lineRule="exact"/>
        <w:ind w:right="0" w:rightChars="0"/>
        <w:textAlignment w:val="auto"/>
        <w:rPr>
          <w:rFonts w:hint="eastAsia" w:ascii="仿宋_GB2312" w:hAnsi="仿宋_GB2312" w:eastAsia="仿宋_GB2312" w:cs="仿宋_GB2312"/>
          <w:bCs/>
          <w:sz w:val="32"/>
          <w:szCs w:val="32"/>
        </w:rPr>
      </w:pPr>
    </w:p>
    <w:p w14:paraId="1153E174">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rPr>
        <w:t>附件：</w:t>
      </w:r>
      <w:r>
        <w:rPr>
          <w:rFonts w:hint="eastAsia" w:ascii="仿宋_GB2312" w:hAnsi="仿宋_GB2312" w:eastAsia="仿宋_GB2312" w:cs="仿宋_GB2312"/>
          <w:sz w:val="32"/>
          <w:szCs w:val="32"/>
        </w:rPr>
        <w:t>采购项目工作方案</w:t>
      </w:r>
    </w:p>
    <w:p w14:paraId="34A745B8">
      <w:pPr>
        <w:keepNext w:val="0"/>
        <w:keepLines w:val="0"/>
        <w:pageBreakBefore w:val="0"/>
        <w:kinsoku/>
        <w:wordWrap/>
        <w:overflowPunct/>
        <w:topLinePunct w:val="0"/>
        <w:autoSpaceDE/>
        <w:autoSpaceDN/>
        <w:bidi w:val="0"/>
        <w:spacing w:line="560" w:lineRule="exact"/>
        <w:ind w:right="0" w:rightChars="0" w:firstLine="640"/>
        <w:textAlignment w:val="auto"/>
        <w:rPr>
          <w:rFonts w:hint="eastAsia" w:ascii="仿宋_GB2312" w:hAnsi="仿宋_GB2312" w:eastAsia="仿宋_GB2312" w:cs="仿宋_GB2312"/>
          <w:bCs/>
          <w:sz w:val="32"/>
          <w:szCs w:val="32"/>
        </w:rPr>
      </w:pPr>
    </w:p>
    <w:p w14:paraId="13BEA9AB">
      <w:pPr>
        <w:pStyle w:val="22"/>
        <w:keepNext w:val="0"/>
        <w:keepLines w:val="0"/>
        <w:pageBreakBefore w:val="0"/>
        <w:kinsoku/>
        <w:wordWrap/>
        <w:overflowPunct/>
        <w:topLinePunct w:val="0"/>
        <w:autoSpaceDE/>
        <w:autoSpaceDN/>
        <w:bidi w:val="0"/>
        <w:spacing w:after="0" w:line="560" w:lineRule="exact"/>
        <w:ind w:right="0" w:rightChars="0"/>
        <w:textAlignment w:val="auto"/>
        <w:rPr>
          <w:rFonts w:hint="eastAsia"/>
          <w:sz w:val="32"/>
          <w:szCs w:val="32"/>
        </w:rPr>
      </w:pPr>
    </w:p>
    <w:p w14:paraId="50283A3E">
      <w:pPr>
        <w:keepNext w:val="0"/>
        <w:keepLines w:val="0"/>
        <w:pageBreakBefore w:val="0"/>
        <w:kinsoku/>
        <w:wordWrap w:val="0"/>
        <w:overflowPunct/>
        <w:topLinePunct w:val="0"/>
        <w:autoSpaceDE/>
        <w:autoSpaceDN/>
        <w:bidi w:val="0"/>
        <w:spacing w:line="560" w:lineRule="exact"/>
        <w:ind w:right="0" w:rightChars="0"/>
        <w:jc w:val="right"/>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color w:val="auto"/>
          <w:sz w:val="32"/>
          <w:szCs w:val="32"/>
          <w:highlight w:val="none"/>
          <w:lang w:val="en-US" w:eastAsia="zh-CN"/>
        </w:rPr>
        <w:t xml:space="preserve"> 石家庄市生态环境局         </w:t>
      </w:r>
    </w:p>
    <w:p w14:paraId="43AB4E17">
      <w:pPr>
        <w:keepNext w:val="0"/>
        <w:keepLines w:val="0"/>
        <w:pageBreakBefore w:val="0"/>
        <w:kinsoku/>
        <w:wordWrap w:val="0"/>
        <w:overflowPunct/>
        <w:topLinePunct w:val="0"/>
        <w:autoSpaceDE/>
        <w:autoSpaceDN/>
        <w:bidi w:val="0"/>
        <w:spacing w:line="560" w:lineRule="exact"/>
        <w:ind w:right="0" w:rightChars="0"/>
        <w:jc w:val="center"/>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val="en-US" w:eastAsia="zh-CN"/>
        </w:rPr>
        <w:t xml:space="preserve">                           </w:t>
      </w:r>
      <w:r>
        <w:rPr>
          <w:rFonts w:hint="eastAsia" w:ascii="仿宋_GB2312" w:hAnsi="仿宋_GB2312" w:eastAsia="仿宋_GB2312" w:cs="仿宋_GB2312"/>
          <w:bCs/>
          <w:color w:val="auto"/>
          <w:sz w:val="32"/>
          <w:szCs w:val="32"/>
        </w:rPr>
        <w:t>20</w:t>
      </w:r>
      <w:r>
        <w:rPr>
          <w:rFonts w:hint="eastAsia" w:ascii="仿宋_GB2312" w:hAnsi="仿宋_GB2312" w:eastAsia="仿宋_GB2312" w:cs="仿宋_GB2312"/>
          <w:bCs/>
          <w:color w:val="auto"/>
          <w:sz w:val="32"/>
          <w:szCs w:val="32"/>
          <w:lang w:val="en-US" w:eastAsia="zh-CN"/>
        </w:rPr>
        <w:t>26</w:t>
      </w:r>
      <w:r>
        <w:rPr>
          <w:rFonts w:hint="eastAsia" w:ascii="仿宋_GB2312" w:hAnsi="仿宋_GB2312" w:eastAsia="仿宋_GB2312" w:cs="仿宋_GB2312"/>
          <w:bCs/>
          <w:color w:val="auto"/>
          <w:sz w:val="32"/>
          <w:szCs w:val="32"/>
        </w:rPr>
        <w:t>年</w:t>
      </w:r>
      <w:r>
        <w:rPr>
          <w:rFonts w:hint="eastAsia" w:ascii="仿宋_GB2312" w:hAnsi="仿宋_GB2312" w:eastAsia="仿宋_GB2312" w:cs="仿宋_GB2312"/>
          <w:bCs/>
          <w:color w:val="auto"/>
          <w:sz w:val="32"/>
          <w:szCs w:val="32"/>
          <w:lang w:val="en-US" w:eastAsia="zh-CN"/>
        </w:rPr>
        <w:t>7</w:t>
      </w:r>
      <w:r>
        <w:rPr>
          <w:rFonts w:hint="eastAsia" w:ascii="仿宋_GB2312" w:hAnsi="仿宋_GB2312" w:eastAsia="仿宋_GB2312" w:cs="仿宋_GB2312"/>
          <w:bCs/>
          <w:color w:val="auto"/>
          <w:sz w:val="32"/>
          <w:szCs w:val="32"/>
        </w:rPr>
        <w:t>月</w:t>
      </w:r>
      <w:r>
        <w:rPr>
          <w:rFonts w:hint="eastAsia" w:ascii="仿宋_GB2312" w:hAnsi="仿宋_GB2312" w:eastAsia="仿宋_GB2312" w:cs="仿宋_GB2312"/>
          <w:bCs/>
          <w:color w:val="auto"/>
          <w:sz w:val="32"/>
          <w:szCs w:val="32"/>
          <w:lang w:val="en-US" w:eastAsia="zh-CN"/>
        </w:rPr>
        <w:t>28</w:t>
      </w:r>
      <w:r>
        <w:rPr>
          <w:rFonts w:hint="eastAsia" w:ascii="仿宋_GB2312" w:hAnsi="仿宋_GB2312" w:eastAsia="仿宋_GB2312" w:cs="仿宋_GB2312"/>
          <w:bCs/>
          <w:color w:val="auto"/>
          <w:sz w:val="32"/>
          <w:szCs w:val="32"/>
        </w:rPr>
        <w:t>日</w:t>
      </w:r>
      <w:r>
        <w:rPr>
          <w:rFonts w:hint="eastAsia" w:ascii="仿宋_GB2312" w:hAnsi="仿宋_GB2312" w:eastAsia="仿宋_GB2312" w:cs="仿宋_GB2312"/>
          <w:bCs/>
          <w:color w:val="auto"/>
          <w:sz w:val="32"/>
          <w:szCs w:val="32"/>
          <w:lang w:val="en-US" w:eastAsia="zh-CN"/>
        </w:rPr>
        <w:t xml:space="preserve">        </w:t>
      </w:r>
    </w:p>
    <w:p w14:paraId="5B0FDC55">
      <w:pPr>
        <w:keepNext w:val="0"/>
        <w:keepLines w:val="0"/>
        <w:pageBreakBefore w:val="0"/>
        <w:kinsoku/>
        <w:wordWrap/>
        <w:overflowPunct/>
        <w:topLinePunct w:val="0"/>
        <w:autoSpaceDE/>
        <w:autoSpaceDN/>
        <w:bidi w:val="0"/>
        <w:spacing w:line="560" w:lineRule="exact"/>
        <w:ind w:right="0" w:rightChars="0"/>
        <w:jc w:val="right"/>
        <w:textAlignment w:val="auto"/>
        <w:rPr>
          <w:rFonts w:hint="eastAsia" w:ascii="仿宋_GB2312" w:hAnsi="仿宋_GB2312" w:eastAsia="仿宋_GB2312" w:cs="仿宋_GB2312"/>
          <w:bCs/>
          <w:color w:val="auto"/>
          <w:sz w:val="32"/>
          <w:szCs w:val="32"/>
        </w:rPr>
        <w:sectPr>
          <w:headerReference r:id="rId3" w:type="default"/>
          <w:footerReference r:id="rId4" w:type="default"/>
          <w:pgSz w:w="11906" w:h="16838"/>
          <w:pgMar w:top="2154" w:right="1474" w:bottom="1984" w:left="1587" w:header="851" w:footer="992" w:gutter="0"/>
          <w:cols w:space="425" w:num="1"/>
          <w:docGrid w:type="lines" w:linePitch="312" w:charSpace="0"/>
        </w:sectPr>
      </w:pPr>
    </w:p>
    <w:p w14:paraId="24EBB1F2">
      <w:pPr>
        <w:keepNext w:val="0"/>
        <w:keepLines w:val="0"/>
        <w:pageBreakBefore w:val="0"/>
        <w:kinsoku/>
        <w:wordWrap/>
        <w:overflowPunct/>
        <w:topLinePunct w:val="0"/>
        <w:autoSpaceDE/>
        <w:autoSpaceDN/>
        <w:bidi w:val="0"/>
        <w:spacing w:line="560" w:lineRule="exact"/>
        <w:ind w:right="0" w:rightChars="0"/>
        <w:textAlignment w:val="auto"/>
        <w:rPr>
          <w:rFonts w:hint="eastAsia" w:ascii="黑体" w:hAnsi="黑体" w:eastAsia="黑体" w:cs="黑体"/>
          <w:bCs/>
          <w:sz w:val="32"/>
          <w:szCs w:val="32"/>
          <w:lang w:eastAsia="zh-CN"/>
        </w:rPr>
      </w:pPr>
      <w:r>
        <w:rPr>
          <w:rFonts w:hint="eastAsia" w:ascii="黑体" w:hAnsi="黑体" w:eastAsia="黑体" w:cs="黑体"/>
          <w:bCs/>
          <w:sz w:val="32"/>
          <w:szCs w:val="32"/>
        </w:rPr>
        <w:t>附件</w:t>
      </w:r>
      <w:r>
        <w:rPr>
          <w:rFonts w:hint="eastAsia" w:ascii="黑体" w:hAnsi="黑体" w:eastAsia="黑体" w:cs="黑体"/>
          <w:bCs/>
          <w:sz w:val="32"/>
          <w:szCs w:val="32"/>
          <w:lang w:eastAsia="zh-CN"/>
        </w:rPr>
        <w:t>：</w:t>
      </w:r>
      <w:bookmarkStart w:id="18" w:name="_GoBack"/>
      <w:bookmarkEnd w:id="18"/>
    </w:p>
    <w:p w14:paraId="2A1A6822">
      <w:pPr>
        <w:keepNext w:val="0"/>
        <w:keepLines w:val="0"/>
        <w:pageBreakBefore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spacing w:line="560" w:lineRule="exact"/>
        <w:ind w:right="0" w:rightChars="0"/>
        <w:jc w:val="center"/>
        <w:textAlignment w:val="auto"/>
        <w:rPr>
          <w:rFonts w:hint="eastAsia" w:ascii="宋体" w:hAnsi="宋体" w:eastAsia="宋体"/>
          <w:b/>
          <w:color w:val="000000"/>
          <w:sz w:val="44"/>
          <w:szCs w:val="36"/>
          <w:lang w:eastAsia="zh-CN"/>
        </w:rPr>
      </w:pPr>
    </w:p>
    <w:p w14:paraId="60E9582D">
      <w:pPr>
        <w:keepNext w:val="0"/>
        <w:keepLines w:val="0"/>
        <w:pageBreakBefore w:val="0"/>
        <w:kinsoku/>
        <w:wordWrap/>
        <w:overflowPunct/>
        <w:topLinePunct w:val="0"/>
        <w:autoSpaceDE/>
        <w:autoSpaceDN/>
        <w:bidi w:val="0"/>
        <w:spacing w:line="560" w:lineRule="exact"/>
        <w:ind w:right="0" w:rightChars="0"/>
        <w:jc w:val="center"/>
        <w:textAlignment w:val="auto"/>
        <w:rPr>
          <w:rFonts w:hint="eastAsia" w:ascii="方正小标宋简体" w:hAnsi="方正小标宋_GBK" w:eastAsia="方正小标宋简体" w:cs="方正小标宋_GBK"/>
          <w:bCs/>
          <w:sz w:val="44"/>
          <w:szCs w:val="44"/>
          <w:lang w:val="en-US" w:eastAsia="zh-CN"/>
        </w:rPr>
      </w:pPr>
      <w:r>
        <w:rPr>
          <w:rFonts w:hint="eastAsia" w:ascii="方正小标宋简体" w:hAnsi="方正小标宋简体" w:eastAsia="方正小标宋简体" w:cs="方正小标宋简体"/>
          <w:color w:val="auto"/>
          <w:sz w:val="44"/>
          <w:szCs w:val="44"/>
          <w:highlight w:val="none"/>
          <w:lang w:val="en-US" w:eastAsia="zh-CN"/>
        </w:rPr>
        <w:t>石家庄市生态环境局</w:t>
      </w:r>
    </w:p>
    <w:p w14:paraId="5E1A2EC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_GBK" w:eastAsia="方正小标宋简体" w:cs="方正小标宋_GBK"/>
          <w:bCs/>
          <w:sz w:val="44"/>
          <w:szCs w:val="44"/>
          <w:lang w:val="en-US" w:eastAsia="zh-CN"/>
        </w:rPr>
      </w:pPr>
      <w:r>
        <w:rPr>
          <w:rFonts w:hint="eastAsia" w:ascii="方正小标宋简体" w:hAnsi="方正小标宋简体" w:eastAsia="方正小标宋简体" w:cs="方正小标宋简体"/>
          <w:color w:val="auto"/>
          <w:sz w:val="44"/>
          <w:szCs w:val="44"/>
          <w:highlight w:val="none"/>
          <w:lang w:val="en-US" w:eastAsia="zh-CN"/>
        </w:rPr>
        <w:t>物业管理费项目</w:t>
      </w:r>
      <w:r>
        <w:rPr>
          <w:rFonts w:hint="eastAsia" w:ascii="方正小标宋简体" w:hAnsi="方正小标宋_GBK" w:eastAsia="方正小标宋简体" w:cs="方正小标宋_GBK"/>
          <w:bCs/>
          <w:sz w:val="44"/>
          <w:szCs w:val="44"/>
          <w:lang w:val="en-US" w:eastAsia="zh-CN"/>
        </w:rPr>
        <w:t>工作方案</w:t>
      </w:r>
    </w:p>
    <w:p w14:paraId="4D4CB98A">
      <w:pPr>
        <w:keepNext w:val="0"/>
        <w:keepLines w:val="0"/>
        <w:pageBreakBefore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spacing w:line="560" w:lineRule="exact"/>
        <w:ind w:right="0" w:rightChars="0" w:firstLine="1920" w:firstLineChars="600"/>
        <w:textAlignment w:val="auto"/>
        <w:rPr>
          <w:rFonts w:ascii="仿宋" w:hAnsi="仿宋" w:eastAsia="仿宋" w:cs="仿宋"/>
          <w:sz w:val="32"/>
          <w:szCs w:val="32"/>
        </w:rPr>
      </w:pPr>
    </w:p>
    <w:p w14:paraId="5D12528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根据石家庄市机关事务管理局和石家庄市财政局《关于党政机关办公楼（区）物业管理服务内容及费用标准的指导意见（暂行）》及</w:t>
      </w:r>
      <w:r>
        <w:rPr>
          <w:rFonts w:hint="eastAsia" w:ascii="仿宋_GB2312" w:hAnsi="仿宋_GB2312" w:eastAsia="仿宋_GB2312" w:cs="仿宋_GB2312"/>
          <w:sz w:val="32"/>
          <w:szCs w:val="32"/>
          <w:highlight w:val="none"/>
          <w:lang w:eastAsia="zh-CN"/>
        </w:rPr>
        <w:t>石家庄市机关事务管理局《关于加强和规范市级党政机关办公用房物业服务的指导意见》（石事管〔</w:t>
      </w:r>
      <w:r>
        <w:rPr>
          <w:rFonts w:hint="eastAsia" w:ascii="仿宋_GB2312" w:hAnsi="仿宋_GB2312" w:eastAsia="仿宋_GB2312" w:cs="仿宋_GB2312"/>
          <w:sz w:val="32"/>
          <w:szCs w:val="32"/>
          <w:highlight w:val="none"/>
          <w:lang w:val="en-US" w:eastAsia="zh-CN"/>
        </w:rPr>
        <w:t>2021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3号</w:t>
      </w:r>
      <w:r>
        <w:rPr>
          <w:rFonts w:hint="eastAsia" w:ascii="仿宋_GB2312" w:hAnsi="仿宋_GB2312" w:eastAsia="仿宋_GB2312" w:cs="仿宋_GB2312"/>
          <w:sz w:val="32"/>
          <w:szCs w:val="32"/>
          <w:highlight w:val="none"/>
          <w:lang w:eastAsia="zh-CN"/>
        </w:rPr>
        <w:t>）文件精神，</w:t>
      </w:r>
      <w:r>
        <w:rPr>
          <w:rFonts w:hint="eastAsia" w:ascii="仿宋_GB2312" w:hAnsi="仿宋_GB2312" w:eastAsia="仿宋_GB2312" w:cs="仿宋_GB2312"/>
          <w:bCs/>
          <w:sz w:val="32"/>
          <w:szCs w:val="32"/>
        </w:rPr>
        <w:t>我单位</w:t>
      </w:r>
      <w:r>
        <w:rPr>
          <w:rFonts w:hint="eastAsia" w:ascii="仿宋_GB2312" w:hAnsi="仿宋_GB2312" w:eastAsia="仿宋_GB2312" w:cs="仿宋_GB2312"/>
          <w:bCs/>
          <w:sz w:val="32"/>
          <w:szCs w:val="32"/>
          <w:lang w:eastAsia="zh-CN"/>
        </w:rPr>
        <w:t>按照政府采购相关规定及</w:t>
      </w:r>
      <w:r>
        <w:rPr>
          <w:rFonts w:hint="eastAsia" w:ascii="仿宋_GB2312" w:hAnsi="仿宋_GB2312" w:eastAsia="仿宋_GB2312" w:cs="仿宋_GB2312"/>
          <w:bCs/>
          <w:sz w:val="32"/>
          <w:szCs w:val="32"/>
        </w:rPr>
        <w:t>市财政局要求，现开展</w:t>
      </w:r>
      <w:r>
        <w:rPr>
          <w:rFonts w:hint="eastAsia" w:ascii="仿宋_GB2312" w:hAnsi="仿宋_GB2312" w:eastAsia="仿宋_GB2312" w:cs="仿宋_GB2312"/>
          <w:bCs/>
          <w:sz w:val="32"/>
          <w:szCs w:val="32"/>
          <w:lang w:val="en-US" w:eastAsia="zh-CN"/>
        </w:rPr>
        <w:t>石家庄市生态环境局物业管理费项目</w:t>
      </w:r>
      <w:r>
        <w:rPr>
          <w:rFonts w:hint="eastAsia" w:ascii="仿宋_GB2312" w:hAnsi="仿宋_GB2312" w:eastAsia="仿宋_GB2312" w:cs="仿宋_GB2312"/>
          <w:bCs/>
          <w:sz w:val="32"/>
          <w:szCs w:val="32"/>
        </w:rPr>
        <w:t>询价工作，</w:t>
      </w:r>
      <w:r>
        <w:rPr>
          <w:rFonts w:hint="eastAsia" w:ascii="仿宋_GB2312" w:hAnsi="仿宋_GB2312" w:eastAsia="仿宋_GB2312" w:cs="仿宋_GB2312"/>
          <w:bCs/>
          <w:sz w:val="32"/>
          <w:szCs w:val="32"/>
          <w:lang w:eastAsia="zh-CN"/>
        </w:rPr>
        <w:t>制定工作方案。</w:t>
      </w:r>
    </w:p>
    <w:p w14:paraId="71BABA2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一、项目概况</w:t>
      </w:r>
    </w:p>
    <w:p w14:paraId="15AE401F">
      <w:pPr>
        <w:pStyle w:val="42"/>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我单位位于</w:t>
      </w:r>
      <w:r>
        <w:rPr>
          <w:rFonts w:hint="eastAsia" w:ascii="仿宋_GB2312" w:hAnsi="仿宋_GB2312" w:eastAsia="仿宋_GB2312" w:cs="仿宋_GB2312"/>
          <w:b w:val="0"/>
          <w:bCs w:val="0"/>
          <w:color w:val="auto"/>
          <w:sz w:val="32"/>
          <w:szCs w:val="32"/>
          <w:lang w:val="en-US" w:eastAsia="zh-CN" w:bidi="ar-SA"/>
        </w:rPr>
        <w:t>中华北大街559号</w:t>
      </w:r>
      <w:r>
        <w:rPr>
          <w:rFonts w:hint="eastAsia" w:ascii="仿宋_GB2312" w:hAnsi="仿宋_GB2312" w:eastAsia="仿宋_GB2312" w:cs="仿宋_GB2312"/>
          <w:b w:val="0"/>
          <w:bCs w:val="0"/>
          <w:sz w:val="32"/>
          <w:szCs w:val="32"/>
          <w:highlight w:val="none"/>
          <w:lang w:val="en-US" w:eastAsia="zh-CN"/>
        </w:rPr>
        <w:t>，土地面积13922.9平方米，办公用房建筑面积约14095平方米，大院面积约11596平方米。根据石家庄市机关事务管理局和石家庄市财政局《关于党政机关办公楼（区）物业管理服务内容及费用标准的指导意见（暂行）》及</w:t>
      </w:r>
      <w:r>
        <w:rPr>
          <w:rFonts w:hint="eastAsia" w:ascii="仿宋_GB2312" w:hAnsi="仿宋_GB2312" w:eastAsia="仿宋_GB2312" w:cs="仿宋_GB2312"/>
          <w:b w:val="0"/>
          <w:bCs w:val="0"/>
          <w:sz w:val="32"/>
          <w:szCs w:val="32"/>
          <w:highlight w:val="none"/>
          <w:lang w:eastAsia="zh-CN"/>
        </w:rPr>
        <w:t>石家庄市机关事务管理局《关于加强和规范市级党政机关办公用房物业服务的指导意见》石事管〔</w:t>
      </w:r>
      <w:r>
        <w:rPr>
          <w:rFonts w:hint="eastAsia" w:ascii="仿宋_GB2312" w:hAnsi="仿宋_GB2312" w:eastAsia="仿宋_GB2312" w:cs="仿宋_GB2312"/>
          <w:b w:val="0"/>
          <w:bCs w:val="0"/>
          <w:sz w:val="32"/>
          <w:szCs w:val="32"/>
          <w:highlight w:val="none"/>
          <w:lang w:val="en-US" w:eastAsia="zh-CN"/>
        </w:rPr>
        <w:t>2021</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3号规定内容。为满足日常办公需要，拟购买物业管理服务。</w:t>
      </w:r>
    </w:p>
    <w:p w14:paraId="1D93C89C">
      <w:pPr>
        <w:pStyle w:val="42"/>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eastAsia="zh-CN"/>
        </w:rPr>
        <w:t>二、工作内容及标准</w:t>
      </w:r>
      <w:bookmarkStart w:id="0" w:name="_Toc17312"/>
      <w:bookmarkStart w:id="1" w:name="_Toc2486"/>
      <w:bookmarkStart w:id="2" w:name="_Toc5112"/>
    </w:p>
    <w:bookmarkEnd w:id="0"/>
    <w:tbl>
      <w:tblPr>
        <w:tblStyle w:val="24"/>
        <w:tblpPr w:leftFromText="180" w:rightFromText="180" w:vertAnchor="text" w:horzAnchor="page" w:tblpX="2405" w:tblpY="735"/>
        <w:tblOverlap w:val="never"/>
        <w:tblW w:w="354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29"/>
        <w:gridCol w:w="2911"/>
      </w:tblGrid>
      <w:tr w14:paraId="3262C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410" w:type="dxa"/>
            <w:noWrap w:val="0"/>
            <w:vAlign w:val="center"/>
          </w:tcPr>
          <w:p w14:paraId="3E52538B">
            <w:pPr>
              <w:pageBreakBefore w:val="0"/>
              <w:kinsoku/>
              <w:wordWrap/>
              <w:overflowPunct/>
              <w:topLinePunct w:val="0"/>
              <w:bidi w:val="0"/>
              <w:snapToGrid w:val="0"/>
              <w:spacing w:line="300" w:lineRule="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z w:val="32"/>
                <w:szCs w:val="32"/>
                <w:highlight w:val="none"/>
              </w:rPr>
              <w:t>物业名称</w:t>
            </w:r>
          </w:p>
        </w:tc>
        <w:tc>
          <w:tcPr>
            <w:tcW w:w="3173" w:type="dxa"/>
            <w:noWrap w:val="0"/>
            <w:vAlign w:val="center"/>
          </w:tcPr>
          <w:p w14:paraId="2D1962A1">
            <w:pPr>
              <w:pageBreakBefore w:val="0"/>
              <w:kinsoku/>
              <w:wordWrap/>
              <w:overflowPunct/>
              <w:topLinePunct w:val="0"/>
              <w:bidi w:val="0"/>
              <w:snapToGrid w:val="0"/>
              <w:spacing w:line="300" w:lineRule="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物业地址</w:t>
            </w:r>
          </w:p>
        </w:tc>
      </w:tr>
      <w:tr w14:paraId="06CFD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410" w:type="dxa"/>
            <w:noWrap w:val="0"/>
            <w:vAlign w:val="center"/>
          </w:tcPr>
          <w:p w14:paraId="27D75F0A">
            <w:pPr>
              <w:pageBreakBefore w:val="0"/>
              <w:kinsoku/>
              <w:wordWrap/>
              <w:overflowPunct/>
              <w:topLinePunct w:val="0"/>
              <w:bidi w:val="0"/>
              <w:snapToGrid w:val="0"/>
              <w:spacing w:line="300" w:lineRule="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物业管理费</w:t>
            </w:r>
          </w:p>
        </w:tc>
        <w:tc>
          <w:tcPr>
            <w:tcW w:w="3173" w:type="dxa"/>
            <w:noWrap w:val="0"/>
            <w:vAlign w:val="center"/>
          </w:tcPr>
          <w:p w14:paraId="646D3FC4">
            <w:pPr>
              <w:pageBreakBefore w:val="0"/>
              <w:kinsoku/>
              <w:wordWrap/>
              <w:overflowPunct/>
              <w:topLinePunct w:val="0"/>
              <w:bidi w:val="0"/>
              <w:snapToGrid w:val="0"/>
              <w:spacing w:line="300" w:lineRule="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中华北大街559号</w:t>
            </w:r>
          </w:p>
        </w:tc>
      </w:tr>
    </w:tbl>
    <w:p w14:paraId="4E20DB17">
      <w:pPr>
        <w:pStyle w:val="42"/>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640" w:firstLineChars="200"/>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color w:val="auto"/>
          <w:kern w:val="0"/>
          <w:sz w:val="32"/>
          <w:szCs w:val="32"/>
          <w:highlight w:val="none"/>
          <w:lang w:val="en-US" w:eastAsia="zh-CN"/>
        </w:rPr>
        <w:t>1.</w:t>
      </w:r>
      <w:r>
        <w:rPr>
          <w:rFonts w:hint="eastAsia" w:ascii="仿宋_GB2312" w:hAnsi="仿宋_GB2312" w:eastAsia="仿宋_GB2312" w:cs="仿宋_GB2312"/>
          <w:b w:val="0"/>
          <w:bCs/>
          <w:color w:val="auto"/>
          <w:kern w:val="0"/>
          <w:sz w:val="32"/>
          <w:szCs w:val="32"/>
          <w:highlight w:val="none"/>
          <w:lang w:eastAsia="zh-CN"/>
        </w:rPr>
        <w:t>物业情况</w:t>
      </w:r>
    </w:p>
    <w:p w14:paraId="55349F4F">
      <w:pPr>
        <w:pageBreakBefore w:val="0"/>
        <w:kinsoku/>
        <w:wordWrap/>
        <w:overflowPunct/>
        <w:topLinePunct w:val="0"/>
        <w:bidi w:val="0"/>
        <w:snapToGrid w:val="0"/>
        <w:spacing w:line="300" w:lineRule="auto"/>
        <w:ind w:firstLine="640" w:firstLineChars="200"/>
        <w:outlineLvl w:val="9"/>
        <w:rPr>
          <w:rFonts w:hint="eastAsia" w:ascii="仿宋_GB2312" w:hAnsi="仿宋_GB2312" w:eastAsia="仿宋_GB2312" w:cs="仿宋_GB2312"/>
          <w:color w:val="auto"/>
          <w:kern w:val="2"/>
          <w:sz w:val="32"/>
          <w:szCs w:val="32"/>
          <w:highlight w:val="none"/>
          <w:u w:val="none"/>
          <w:lang w:val="en-US" w:eastAsia="zh-CN" w:bidi="ar-SA"/>
        </w:rPr>
      </w:pPr>
    </w:p>
    <w:p w14:paraId="779B404B">
      <w:pPr>
        <w:pageBreakBefore w:val="0"/>
        <w:kinsoku/>
        <w:wordWrap/>
        <w:overflowPunct/>
        <w:topLinePunct w:val="0"/>
        <w:bidi w:val="0"/>
        <w:snapToGrid w:val="0"/>
        <w:spacing w:line="300" w:lineRule="auto"/>
        <w:ind w:firstLine="640" w:firstLineChars="200"/>
        <w:outlineLvl w:val="9"/>
        <w:rPr>
          <w:rFonts w:hint="eastAsia" w:ascii="仿宋_GB2312" w:hAnsi="仿宋_GB2312" w:eastAsia="仿宋_GB2312" w:cs="仿宋_GB2312"/>
          <w:color w:val="auto"/>
          <w:kern w:val="2"/>
          <w:sz w:val="32"/>
          <w:szCs w:val="32"/>
          <w:highlight w:val="none"/>
          <w:u w:val="none"/>
          <w:lang w:val="en-US" w:eastAsia="zh-CN" w:bidi="ar-SA"/>
        </w:rPr>
      </w:pPr>
    </w:p>
    <w:p w14:paraId="05744D58">
      <w:pPr>
        <w:pageBreakBefore w:val="0"/>
        <w:kinsoku/>
        <w:wordWrap/>
        <w:overflowPunct/>
        <w:topLinePunct w:val="0"/>
        <w:bidi w:val="0"/>
        <w:snapToGrid w:val="0"/>
        <w:spacing w:line="300" w:lineRule="auto"/>
        <w:ind w:firstLine="640" w:firstLineChars="200"/>
        <w:outlineLvl w:val="9"/>
        <w:rPr>
          <w:rFonts w:hint="eastAsia" w:ascii="仿宋_GB2312" w:hAnsi="仿宋_GB2312" w:eastAsia="仿宋_GB2312" w:cs="仿宋_GB2312"/>
          <w:color w:val="auto"/>
          <w:kern w:val="2"/>
          <w:sz w:val="32"/>
          <w:szCs w:val="32"/>
          <w:highlight w:val="none"/>
          <w:u w:val="none"/>
          <w:lang w:val="en-US" w:eastAsia="zh-CN" w:bidi="ar-SA"/>
        </w:rPr>
      </w:pPr>
    </w:p>
    <w:p w14:paraId="468EF9AC">
      <w:pPr>
        <w:pageBreakBefore w:val="0"/>
        <w:kinsoku/>
        <w:wordWrap/>
        <w:overflowPunct/>
        <w:topLinePunct w:val="0"/>
        <w:bidi w:val="0"/>
        <w:snapToGrid w:val="0"/>
        <w:spacing w:line="300" w:lineRule="auto"/>
        <w:ind w:firstLine="640" w:firstLineChars="200"/>
        <w:outlineLvl w:val="9"/>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kern w:val="2"/>
          <w:sz w:val="32"/>
          <w:szCs w:val="32"/>
          <w:highlight w:val="none"/>
          <w:u w:val="none"/>
          <w:lang w:val="en-US" w:eastAsia="zh-CN" w:bidi="ar-SA"/>
        </w:rPr>
        <w:t>采购人提供的供应商使用的场地、设施、设备、材料等</w:t>
      </w:r>
    </w:p>
    <w:p w14:paraId="1951DED0">
      <w:pPr>
        <w:pageBreakBefore w:val="0"/>
        <w:kinsoku/>
        <w:wordWrap/>
        <w:overflowPunct/>
        <w:topLinePunct w:val="0"/>
        <w:bidi w:val="0"/>
        <w:snapToGrid w:val="0"/>
        <w:spacing w:line="300" w:lineRule="auto"/>
        <w:ind w:firstLine="640" w:firstLineChars="200"/>
        <w:outlineLvl w:val="9"/>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kern w:val="2"/>
          <w:sz w:val="32"/>
          <w:szCs w:val="32"/>
          <w:highlight w:val="none"/>
          <w:u w:val="none"/>
          <w:lang w:val="en-US" w:eastAsia="zh-CN" w:bidi="ar-SA"/>
        </w:rPr>
        <w:t>（1）采购人可提供办公室2间；</w:t>
      </w:r>
    </w:p>
    <w:p w14:paraId="7C5A7652">
      <w:pPr>
        <w:pageBreakBefore w:val="0"/>
        <w:kinsoku/>
        <w:wordWrap/>
        <w:overflowPunct/>
        <w:topLinePunct w:val="0"/>
        <w:bidi w:val="0"/>
        <w:snapToGrid w:val="0"/>
        <w:spacing w:line="300" w:lineRule="auto"/>
        <w:ind w:firstLine="640" w:firstLineChars="200"/>
        <w:outlineLvl w:val="9"/>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kern w:val="2"/>
          <w:sz w:val="32"/>
          <w:szCs w:val="32"/>
          <w:highlight w:val="none"/>
          <w:u w:val="none"/>
          <w:lang w:val="en-US" w:eastAsia="zh-CN" w:bidi="ar-SA"/>
        </w:rPr>
        <w:t>（2）采购人可提供食堂，餐费由服务人员自理；</w:t>
      </w:r>
    </w:p>
    <w:p w14:paraId="298B34F8">
      <w:pPr>
        <w:pageBreakBefore w:val="0"/>
        <w:kinsoku/>
        <w:wordWrap/>
        <w:overflowPunct/>
        <w:topLinePunct w:val="0"/>
        <w:bidi w:val="0"/>
        <w:snapToGrid w:val="0"/>
        <w:spacing w:line="300" w:lineRule="auto"/>
        <w:ind w:firstLine="640" w:firstLineChars="200"/>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color w:val="auto"/>
          <w:kern w:val="2"/>
          <w:sz w:val="32"/>
          <w:szCs w:val="32"/>
          <w:highlight w:val="none"/>
          <w:u w:val="none"/>
          <w:lang w:val="en-US" w:eastAsia="zh-CN" w:bidi="ar-SA"/>
        </w:rPr>
        <w:t>（3）采购人可提供的</w:t>
      </w:r>
      <w:r>
        <w:rPr>
          <w:rFonts w:hint="eastAsia" w:ascii="仿宋_GB2312" w:hAnsi="仿宋_GB2312" w:eastAsia="仿宋_GB2312" w:cs="仿宋_GB2312"/>
          <w:sz w:val="32"/>
          <w:szCs w:val="32"/>
          <w:highlight w:val="none"/>
          <w:lang w:val="en-US" w:eastAsia="zh-CN"/>
        </w:rPr>
        <w:t>零星维修材料；</w:t>
      </w:r>
    </w:p>
    <w:p w14:paraId="0158D89A">
      <w:pPr>
        <w:pageBreakBefore w:val="0"/>
        <w:kinsoku/>
        <w:wordWrap/>
        <w:overflowPunct/>
        <w:topLinePunct w:val="0"/>
        <w:bidi w:val="0"/>
        <w:snapToGrid w:val="0"/>
        <w:spacing w:line="300" w:lineRule="auto"/>
        <w:ind w:firstLine="640" w:firstLineChars="200"/>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color w:val="auto"/>
          <w:kern w:val="2"/>
          <w:sz w:val="32"/>
          <w:szCs w:val="32"/>
          <w:highlight w:val="none"/>
          <w:u w:val="none"/>
          <w:lang w:val="en-US" w:eastAsia="zh-CN" w:bidi="ar-SA"/>
        </w:rPr>
        <w:t>采购人可提供的</w:t>
      </w:r>
      <w:r>
        <w:rPr>
          <w:rFonts w:hint="eastAsia" w:ascii="仿宋_GB2312" w:hAnsi="仿宋_GB2312" w:eastAsia="仿宋_GB2312" w:cs="仿宋_GB2312"/>
          <w:sz w:val="32"/>
          <w:szCs w:val="32"/>
          <w:highlight w:val="none"/>
          <w:lang w:val="en-US" w:eastAsia="zh-CN"/>
        </w:rPr>
        <w:t>客耗用品，</w:t>
      </w:r>
      <w:r>
        <w:rPr>
          <w:rFonts w:hint="eastAsia" w:ascii="仿宋_GB2312" w:hAnsi="仿宋_GB2312" w:eastAsia="仿宋_GB2312" w:cs="仿宋_GB2312"/>
          <w:color w:val="auto"/>
          <w:kern w:val="0"/>
          <w:sz w:val="32"/>
          <w:szCs w:val="32"/>
          <w:highlight w:val="none"/>
          <w:u w:val="none"/>
          <w:lang w:val="en-US" w:eastAsia="zh-CN" w:bidi="ar"/>
        </w:rPr>
        <w:t>厕纸、洗手液、垃圾袋等</w:t>
      </w:r>
      <w:r>
        <w:rPr>
          <w:rFonts w:hint="eastAsia" w:ascii="仿宋_GB2312" w:hAnsi="仿宋_GB2312" w:eastAsia="仿宋_GB2312" w:cs="仿宋_GB2312"/>
          <w:sz w:val="32"/>
          <w:szCs w:val="32"/>
          <w:highlight w:val="none"/>
          <w:lang w:val="en-US" w:eastAsia="zh-CN"/>
        </w:rPr>
        <w:t>；</w:t>
      </w:r>
    </w:p>
    <w:p w14:paraId="6D6920FC">
      <w:pPr>
        <w:ind w:firstLine="640" w:firstLineChars="200"/>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供应商应承担除以上所列</w:t>
      </w:r>
      <w:r>
        <w:rPr>
          <w:rFonts w:hint="eastAsia" w:ascii="仿宋_GB2312" w:hAnsi="仿宋_GB2312" w:eastAsia="仿宋_GB2312" w:cs="仿宋_GB2312"/>
          <w:color w:val="auto"/>
          <w:kern w:val="2"/>
          <w:sz w:val="32"/>
          <w:szCs w:val="32"/>
          <w:highlight w:val="none"/>
          <w:u w:val="none"/>
          <w:lang w:val="en-US" w:eastAsia="zh-CN" w:bidi="ar-SA"/>
        </w:rPr>
        <w:t>场地、设施、设备、材料</w:t>
      </w:r>
      <w:r>
        <w:rPr>
          <w:rFonts w:hint="eastAsia" w:ascii="仿宋_GB2312" w:hAnsi="仿宋_GB2312" w:eastAsia="仿宋_GB2312" w:cs="仿宋_GB2312"/>
          <w:color w:val="auto"/>
          <w:sz w:val="32"/>
          <w:szCs w:val="32"/>
          <w:highlight w:val="none"/>
          <w:lang w:val="en-US" w:eastAsia="zh-CN"/>
        </w:rPr>
        <w:t>外，与物业管理服务有关的其他</w:t>
      </w:r>
      <w:r>
        <w:rPr>
          <w:rFonts w:hint="eastAsia" w:ascii="仿宋_GB2312" w:hAnsi="仿宋_GB2312" w:eastAsia="仿宋_GB2312" w:cs="仿宋_GB2312"/>
          <w:color w:val="auto"/>
          <w:kern w:val="2"/>
          <w:sz w:val="32"/>
          <w:szCs w:val="32"/>
          <w:highlight w:val="none"/>
          <w:u w:val="none"/>
          <w:lang w:val="en-US" w:eastAsia="zh-CN" w:bidi="ar-SA"/>
        </w:rPr>
        <w:t>场地、设施、设备、材料</w:t>
      </w:r>
      <w:r>
        <w:rPr>
          <w:rFonts w:hint="eastAsia" w:ascii="仿宋_GB2312" w:hAnsi="仿宋_GB2312" w:eastAsia="仿宋_GB2312" w:cs="仿宋_GB2312"/>
          <w:color w:val="auto"/>
          <w:sz w:val="32"/>
          <w:szCs w:val="32"/>
          <w:highlight w:val="none"/>
          <w:lang w:val="en-US" w:eastAsia="zh-CN"/>
        </w:rPr>
        <w:t>。</w:t>
      </w:r>
    </w:p>
    <w:p w14:paraId="66A9E89D">
      <w:pPr>
        <w:pStyle w:val="3"/>
        <w:keepNext/>
        <w:pageBreakBefore w:val="0"/>
        <w:widowControl w:val="0"/>
        <w:kinsoku/>
        <w:wordWrap/>
        <w:overflowPunct/>
        <w:topLinePunct w:val="0"/>
        <w:autoSpaceDE/>
        <w:autoSpaceDN/>
        <w:bidi w:val="0"/>
        <w:snapToGrid/>
        <w:spacing w:line="560" w:lineRule="exac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2.物业服务范围</w:t>
      </w:r>
    </w:p>
    <w:p w14:paraId="5B8E3547">
      <w:pPr>
        <w:pStyle w:val="4"/>
        <w:keepNext/>
        <w:pageBreakBefore w:val="0"/>
        <w:widowControl w:val="0"/>
        <w:numPr>
          <w:ilvl w:val="2"/>
          <w:numId w:val="0"/>
        </w:numPr>
        <w:kinsoku/>
        <w:wordWrap/>
        <w:overflowPunct/>
        <w:topLinePunct w:val="0"/>
        <w:autoSpaceDE/>
        <w:autoSpaceDN/>
        <w:bidi w:val="0"/>
        <w:snapToGrid/>
        <w:spacing w:line="560" w:lineRule="exact"/>
        <w:ind w:leftChars="0" w:firstLine="320" w:firstLineChars="1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（1）物业管理（建筑物）</w:t>
      </w:r>
    </w:p>
    <w:tbl>
      <w:tblPr>
        <w:tblStyle w:val="24"/>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3"/>
        <w:gridCol w:w="1966"/>
        <w:gridCol w:w="2329"/>
        <w:gridCol w:w="2449"/>
      </w:tblGrid>
      <w:tr w14:paraId="3926E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075" w:type="dxa"/>
            <w:gridSpan w:val="2"/>
            <w:noWrap w:val="0"/>
            <w:vAlign w:val="center"/>
          </w:tcPr>
          <w:p w14:paraId="68A953FD">
            <w:pPr>
              <w:pageBreakBefore w:val="0"/>
              <w:kinsoku/>
              <w:wordWrap/>
              <w:overflowPunct/>
              <w:topLinePunct w:val="0"/>
              <w:bidi w:val="0"/>
              <w:snapToGrid w:val="0"/>
              <w:spacing w:line="300" w:lineRule="auto"/>
              <w:jc w:val="center"/>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sz w:val="32"/>
                <w:szCs w:val="32"/>
                <w:highlight w:val="none"/>
                <w:lang w:val="en-US" w:eastAsia="zh-CN"/>
              </w:rPr>
              <w:t>名称</w:t>
            </w:r>
          </w:p>
        </w:tc>
        <w:tc>
          <w:tcPr>
            <w:tcW w:w="2538" w:type="dxa"/>
            <w:noWrap w:val="0"/>
            <w:vAlign w:val="center"/>
          </w:tcPr>
          <w:p w14:paraId="6871EDE7">
            <w:pPr>
              <w:pageBreakBefore w:val="0"/>
              <w:kinsoku/>
              <w:wordWrap/>
              <w:overflowPunct/>
              <w:topLinePunct w:val="0"/>
              <w:bidi w:val="0"/>
              <w:snapToGrid w:val="0"/>
              <w:spacing w:line="300" w:lineRule="auto"/>
              <w:jc w:val="center"/>
              <w:rPr>
                <w:rFonts w:hint="eastAsia" w:ascii="仿宋_GB2312" w:hAnsi="仿宋_GB2312" w:eastAsia="仿宋_GB2312" w:cs="仿宋_GB2312"/>
                <w:b/>
                <w:bCs/>
                <w:color w:val="auto"/>
                <w:sz w:val="32"/>
                <w:szCs w:val="32"/>
                <w:highlight w:val="none"/>
                <w:lang w:eastAsia="zh-CN"/>
              </w:rPr>
            </w:pPr>
            <w:r>
              <w:rPr>
                <w:rFonts w:hint="eastAsia" w:ascii="仿宋_GB2312" w:hAnsi="仿宋_GB2312" w:eastAsia="仿宋_GB2312" w:cs="仿宋_GB2312"/>
                <w:b/>
                <w:bCs/>
                <w:sz w:val="32"/>
                <w:szCs w:val="32"/>
                <w:highlight w:val="none"/>
              </w:rPr>
              <w:t>明细</w:t>
            </w:r>
          </w:p>
        </w:tc>
        <w:tc>
          <w:tcPr>
            <w:tcW w:w="2669" w:type="dxa"/>
            <w:noWrap w:val="0"/>
            <w:vAlign w:val="center"/>
          </w:tcPr>
          <w:p w14:paraId="23CDAB97">
            <w:pPr>
              <w:pageBreakBefore w:val="0"/>
              <w:kinsoku/>
              <w:wordWrap/>
              <w:overflowPunct/>
              <w:topLinePunct w:val="0"/>
              <w:bidi w:val="0"/>
              <w:snapToGrid w:val="0"/>
              <w:spacing w:line="300" w:lineRule="auto"/>
              <w:jc w:val="center"/>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服务内容及标准</w:t>
            </w:r>
          </w:p>
        </w:tc>
      </w:tr>
      <w:tr w14:paraId="11DFA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075" w:type="dxa"/>
            <w:gridSpan w:val="2"/>
            <w:noWrap w:val="0"/>
            <w:vAlign w:val="center"/>
          </w:tcPr>
          <w:p w14:paraId="4D4627FB">
            <w:pPr>
              <w:pageBreakBefore w:val="0"/>
              <w:kinsoku/>
              <w:wordWrap/>
              <w:overflowPunct/>
              <w:topLinePunct w:val="0"/>
              <w:bidi w:val="0"/>
              <w:snapToGrid w:val="0"/>
              <w:spacing w:line="300" w:lineRule="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z w:val="32"/>
                <w:szCs w:val="32"/>
                <w:highlight w:val="none"/>
                <w:lang w:val="en-US" w:eastAsia="zh-CN"/>
              </w:rPr>
              <w:t>办公楼</w:t>
            </w:r>
          </w:p>
        </w:tc>
        <w:tc>
          <w:tcPr>
            <w:tcW w:w="2538" w:type="dxa"/>
            <w:noWrap w:val="0"/>
            <w:vAlign w:val="center"/>
          </w:tcPr>
          <w:p w14:paraId="779841FA">
            <w:pPr>
              <w:pageBreakBefore w:val="0"/>
              <w:kinsoku/>
              <w:wordWrap/>
              <w:overflowPunct/>
              <w:topLinePunct w:val="0"/>
              <w:bidi w:val="0"/>
              <w:snapToGrid w:val="0"/>
              <w:spacing w:line="300" w:lineRule="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办公楼</w:t>
            </w:r>
          </w:p>
        </w:tc>
        <w:tc>
          <w:tcPr>
            <w:tcW w:w="2669" w:type="dxa"/>
            <w:noWrap w:val="0"/>
            <w:vAlign w:val="center"/>
          </w:tcPr>
          <w:p w14:paraId="6A7035E4">
            <w:pPr>
              <w:pageBreakBefore w:val="0"/>
              <w:kinsoku/>
              <w:wordWrap/>
              <w:overflowPunct/>
              <w:topLinePunct w:val="0"/>
              <w:bidi w:val="0"/>
              <w:snapToGrid w:val="0"/>
              <w:spacing w:line="300" w:lineRule="auto"/>
              <w:rPr>
                <w:rFonts w:hint="eastAsia" w:ascii="仿宋_GB2312" w:hAnsi="仿宋_GB2312" w:eastAsia="仿宋_GB2312" w:cs="仿宋_GB2312"/>
                <w:sz w:val="32"/>
                <w:szCs w:val="32"/>
                <w:highlight w:val="none"/>
                <w:lang w:val="en-US" w:eastAsia="zh-CN"/>
              </w:rPr>
            </w:pPr>
          </w:p>
        </w:tc>
      </w:tr>
      <w:tr w14:paraId="12CF3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32" w:type="dxa"/>
            <w:vMerge w:val="restart"/>
            <w:noWrap w:val="0"/>
            <w:vAlign w:val="center"/>
          </w:tcPr>
          <w:p w14:paraId="3A14E707">
            <w:pPr>
              <w:pageBreakBefore w:val="0"/>
              <w:kinsoku/>
              <w:wordWrap/>
              <w:overflowPunct/>
              <w:topLinePunct w:val="0"/>
              <w:bidi w:val="0"/>
              <w:snapToGrid w:val="0"/>
              <w:spacing w:line="300" w:lineRule="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z w:val="32"/>
                <w:szCs w:val="32"/>
                <w:highlight w:val="none"/>
              </w:rPr>
              <w:t>面积</w:t>
            </w:r>
            <w:r>
              <w:rPr>
                <w:rFonts w:hint="eastAsia" w:ascii="仿宋_GB2312" w:hAnsi="仿宋_GB2312" w:eastAsia="仿宋_GB2312" w:cs="仿宋_GB2312"/>
                <w:sz w:val="32"/>
                <w:szCs w:val="32"/>
                <w:highlight w:val="none"/>
                <w:lang w:eastAsia="zh-CN"/>
              </w:rPr>
              <w:t>（平方米）（</w:t>
            </w:r>
            <w:r>
              <w:rPr>
                <w:rFonts w:hint="eastAsia" w:ascii="仿宋_GB2312" w:hAnsi="仿宋_GB2312" w:eastAsia="仿宋_GB2312" w:cs="仿宋_GB2312"/>
                <w:sz w:val="32"/>
                <w:szCs w:val="32"/>
                <w:highlight w:val="none"/>
                <w:lang w:val="en-US" w:eastAsia="zh-CN"/>
              </w:rPr>
              <w:t>总面积</w:t>
            </w:r>
            <w:r>
              <w:rPr>
                <w:rFonts w:hint="eastAsia" w:ascii="仿宋_GB2312" w:hAnsi="仿宋_GB2312" w:eastAsia="仿宋_GB2312" w:cs="仿宋_GB2312"/>
                <w:sz w:val="32"/>
                <w:szCs w:val="32"/>
                <w:highlight w:val="none"/>
                <w:lang w:eastAsia="zh-CN"/>
              </w:rPr>
              <w:t>）</w:t>
            </w:r>
          </w:p>
        </w:tc>
        <w:tc>
          <w:tcPr>
            <w:tcW w:w="2143" w:type="dxa"/>
            <w:noWrap w:val="0"/>
            <w:vAlign w:val="center"/>
          </w:tcPr>
          <w:p w14:paraId="21C74F4B">
            <w:pPr>
              <w:pageBreakBefore w:val="0"/>
              <w:kinsoku/>
              <w:wordWrap/>
              <w:overflowPunct/>
              <w:topLinePunct w:val="0"/>
              <w:bidi w:val="0"/>
              <w:snapToGrid w:val="0"/>
              <w:spacing w:line="300" w:lineRule="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sz w:val="32"/>
                <w:szCs w:val="32"/>
                <w:highlight w:val="none"/>
              </w:rPr>
              <w:t>建筑面积</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w:t>
            </w:r>
          </w:p>
        </w:tc>
        <w:tc>
          <w:tcPr>
            <w:tcW w:w="2538" w:type="dxa"/>
            <w:noWrap w:val="0"/>
            <w:vAlign w:val="center"/>
          </w:tcPr>
          <w:p w14:paraId="3EBBA463">
            <w:pPr>
              <w:pageBreakBefore w:val="0"/>
              <w:kinsoku/>
              <w:wordWrap/>
              <w:overflowPunct/>
              <w:topLinePunct w:val="0"/>
              <w:bidi w:val="0"/>
              <w:snapToGrid w:val="0"/>
              <w:spacing w:line="300" w:lineRule="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14095（㎡）</w:t>
            </w:r>
          </w:p>
        </w:tc>
        <w:tc>
          <w:tcPr>
            <w:tcW w:w="2669" w:type="dxa"/>
            <w:noWrap w:val="0"/>
            <w:vAlign w:val="center"/>
          </w:tcPr>
          <w:p w14:paraId="50595B73">
            <w:pPr>
              <w:pageBreakBefore w:val="0"/>
              <w:kinsoku/>
              <w:wordWrap/>
              <w:overflowPunct/>
              <w:topLinePunct w:val="0"/>
              <w:bidi w:val="0"/>
              <w:snapToGrid w:val="0"/>
              <w:spacing w:line="300" w:lineRule="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rPr>
              <w:t>见“</w:t>
            </w:r>
            <w:r>
              <w:rPr>
                <w:rFonts w:hint="eastAsia" w:ascii="仿宋_GB2312" w:hAnsi="仿宋_GB2312" w:eastAsia="仿宋_GB2312" w:cs="仿宋_GB2312"/>
                <w:color w:val="auto"/>
                <w:sz w:val="32"/>
                <w:szCs w:val="32"/>
                <w:highlight w:val="none"/>
                <w:u w:val="none"/>
                <w:lang w:val="en-US" w:eastAsia="zh-CN"/>
              </w:rPr>
              <w:t>3.6保安服务</w:t>
            </w:r>
            <w:r>
              <w:rPr>
                <w:rFonts w:hint="eastAsia" w:ascii="仿宋_GB2312" w:hAnsi="仿宋_GB2312" w:eastAsia="仿宋_GB2312" w:cs="仿宋_GB2312"/>
                <w:color w:val="auto"/>
                <w:sz w:val="32"/>
                <w:szCs w:val="32"/>
                <w:highlight w:val="none"/>
                <w:lang w:val="en-US" w:eastAsia="zh-CN"/>
              </w:rPr>
              <w:t>”</w:t>
            </w:r>
          </w:p>
        </w:tc>
      </w:tr>
      <w:tr w14:paraId="45701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32" w:type="dxa"/>
            <w:vMerge w:val="continue"/>
            <w:noWrap w:val="0"/>
            <w:vAlign w:val="center"/>
          </w:tcPr>
          <w:p w14:paraId="52E9E7F4">
            <w:pPr>
              <w:pageBreakBefore w:val="0"/>
              <w:kinsoku/>
              <w:wordWrap/>
              <w:overflowPunct/>
              <w:topLinePunct w:val="0"/>
              <w:bidi w:val="0"/>
              <w:snapToGrid w:val="0"/>
              <w:spacing w:line="300" w:lineRule="auto"/>
              <w:ind w:left="0" w:firstLine="0" w:firstLineChars="0"/>
              <w:jc w:val="center"/>
              <w:rPr>
                <w:rFonts w:hint="eastAsia" w:ascii="仿宋_GB2312" w:hAnsi="仿宋_GB2312" w:eastAsia="仿宋_GB2312" w:cs="仿宋_GB2312"/>
                <w:color w:val="auto"/>
                <w:sz w:val="32"/>
                <w:szCs w:val="32"/>
                <w:highlight w:val="none"/>
              </w:rPr>
            </w:pPr>
          </w:p>
        </w:tc>
        <w:tc>
          <w:tcPr>
            <w:tcW w:w="2143" w:type="dxa"/>
            <w:noWrap w:val="0"/>
            <w:vAlign w:val="center"/>
          </w:tcPr>
          <w:p w14:paraId="4ABAA9C7">
            <w:pPr>
              <w:pageBreakBefore w:val="0"/>
              <w:kinsoku/>
              <w:wordWrap/>
              <w:overflowPunct/>
              <w:topLinePunct w:val="0"/>
              <w:bidi w:val="0"/>
              <w:snapToGrid w:val="0"/>
              <w:spacing w:line="300" w:lineRule="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sz w:val="32"/>
                <w:szCs w:val="32"/>
                <w:highlight w:val="none"/>
              </w:rPr>
              <w:t>需保洁面积</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w:t>
            </w:r>
          </w:p>
        </w:tc>
        <w:tc>
          <w:tcPr>
            <w:tcW w:w="2538" w:type="dxa"/>
            <w:noWrap w:val="0"/>
            <w:vAlign w:val="center"/>
          </w:tcPr>
          <w:p w14:paraId="16E7C7F2">
            <w:pPr>
              <w:pageBreakBefore w:val="0"/>
              <w:kinsoku/>
              <w:wordWrap/>
              <w:overflowPunct/>
              <w:topLinePunct w:val="0"/>
              <w:bidi w:val="0"/>
              <w:snapToGrid w:val="0"/>
              <w:spacing w:line="300" w:lineRule="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21659㎡</w:t>
            </w:r>
          </w:p>
        </w:tc>
        <w:tc>
          <w:tcPr>
            <w:tcW w:w="2669" w:type="dxa"/>
            <w:noWrap w:val="0"/>
            <w:vAlign w:val="center"/>
          </w:tcPr>
          <w:p w14:paraId="7D0B545E">
            <w:pPr>
              <w:pageBreakBefore w:val="0"/>
              <w:kinsoku/>
              <w:wordWrap/>
              <w:overflowPunct/>
              <w:topLinePunct w:val="0"/>
              <w:bidi w:val="0"/>
              <w:snapToGrid w:val="0"/>
              <w:spacing w:line="300" w:lineRule="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见“</w:t>
            </w:r>
            <w:r>
              <w:rPr>
                <w:rFonts w:hint="eastAsia" w:ascii="仿宋_GB2312" w:hAnsi="仿宋_GB2312" w:eastAsia="仿宋_GB2312" w:cs="仿宋_GB2312"/>
                <w:color w:val="auto"/>
                <w:kern w:val="2"/>
                <w:sz w:val="32"/>
                <w:szCs w:val="32"/>
                <w:highlight w:val="none"/>
                <w:u w:val="none"/>
                <w:lang w:val="en-US" w:eastAsia="zh-CN" w:bidi="ar-SA"/>
              </w:rPr>
              <w:t>3.4保洁服务</w:t>
            </w:r>
            <w:r>
              <w:rPr>
                <w:rFonts w:hint="eastAsia" w:ascii="仿宋_GB2312" w:hAnsi="仿宋_GB2312" w:eastAsia="仿宋_GB2312" w:cs="仿宋_GB2312"/>
                <w:color w:val="auto"/>
                <w:kern w:val="2"/>
                <w:sz w:val="32"/>
                <w:szCs w:val="32"/>
                <w:highlight w:val="none"/>
                <w:lang w:val="en-US" w:eastAsia="zh-CN" w:bidi="ar-SA"/>
              </w:rPr>
              <w:t>”</w:t>
            </w:r>
          </w:p>
        </w:tc>
      </w:tr>
      <w:tr w14:paraId="1B3CB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32" w:type="dxa"/>
            <w:noWrap w:val="0"/>
            <w:vAlign w:val="center"/>
          </w:tcPr>
          <w:p w14:paraId="3F0F174B">
            <w:pPr>
              <w:pageBreakBefore w:val="0"/>
              <w:kinsoku/>
              <w:wordWrap/>
              <w:overflowPunct/>
              <w:topLinePunct w:val="0"/>
              <w:bidi w:val="0"/>
              <w:snapToGrid w:val="0"/>
              <w:spacing w:line="300" w:lineRule="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z w:val="32"/>
                <w:szCs w:val="32"/>
                <w:highlight w:val="none"/>
              </w:rPr>
              <w:t>窗户</w:t>
            </w:r>
          </w:p>
        </w:tc>
        <w:tc>
          <w:tcPr>
            <w:tcW w:w="2143" w:type="dxa"/>
            <w:noWrap w:val="0"/>
            <w:vAlign w:val="center"/>
          </w:tcPr>
          <w:p w14:paraId="0962E824">
            <w:pPr>
              <w:pageBreakBefore w:val="0"/>
              <w:kinsoku/>
              <w:wordWrap/>
              <w:overflowPunct/>
              <w:topLinePunct w:val="0"/>
              <w:bidi w:val="0"/>
              <w:snapToGrid w:val="0"/>
              <w:spacing w:line="300" w:lineRule="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窗户总数量（个）及总面积</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w:t>
            </w:r>
          </w:p>
        </w:tc>
        <w:tc>
          <w:tcPr>
            <w:tcW w:w="2538" w:type="dxa"/>
            <w:noWrap w:val="0"/>
            <w:vAlign w:val="center"/>
          </w:tcPr>
          <w:p w14:paraId="1D4CAF7A">
            <w:pPr>
              <w:pageBreakBefore w:val="0"/>
              <w:kinsoku/>
              <w:wordWrap/>
              <w:overflowPunct/>
              <w:topLinePunct w:val="0"/>
              <w:bidi w:val="0"/>
              <w:snapToGrid w:val="0"/>
              <w:spacing w:line="300" w:lineRule="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148个，435㎡</w:t>
            </w:r>
          </w:p>
        </w:tc>
        <w:tc>
          <w:tcPr>
            <w:tcW w:w="2669" w:type="dxa"/>
            <w:noWrap w:val="0"/>
            <w:vAlign w:val="center"/>
          </w:tcPr>
          <w:p w14:paraId="29721B3B">
            <w:pPr>
              <w:pageBreakBefore w:val="0"/>
              <w:kinsoku/>
              <w:wordWrap/>
              <w:overflowPunct/>
              <w:topLinePunct w:val="0"/>
              <w:bidi w:val="0"/>
              <w:snapToGrid w:val="0"/>
              <w:spacing w:line="300" w:lineRule="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见“</w:t>
            </w:r>
            <w:r>
              <w:rPr>
                <w:rFonts w:hint="eastAsia" w:ascii="仿宋_GB2312" w:hAnsi="仿宋_GB2312" w:eastAsia="仿宋_GB2312" w:cs="仿宋_GB2312"/>
                <w:color w:val="auto"/>
                <w:kern w:val="2"/>
                <w:sz w:val="32"/>
                <w:szCs w:val="32"/>
                <w:highlight w:val="none"/>
                <w:u w:val="none"/>
                <w:lang w:val="en-US" w:eastAsia="zh-CN" w:bidi="ar-SA"/>
              </w:rPr>
              <w:t>3.2房屋维护服务</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u w:val="none"/>
                <w:lang w:val="en-US" w:eastAsia="zh-CN" w:bidi="ar-SA"/>
              </w:rPr>
              <w:t>3.4保洁服务</w:t>
            </w:r>
            <w:r>
              <w:rPr>
                <w:rFonts w:hint="eastAsia" w:ascii="仿宋_GB2312" w:hAnsi="仿宋_GB2312" w:eastAsia="仿宋_GB2312" w:cs="仿宋_GB2312"/>
                <w:color w:val="auto"/>
                <w:kern w:val="2"/>
                <w:sz w:val="32"/>
                <w:szCs w:val="32"/>
                <w:highlight w:val="none"/>
                <w:lang w:val="en-US" w:eastAsia="zh-CN" w:bidi="ar-SA"/>
              </w:rPr>
              <w:t>”</w:t>
            </w:r>
          </w:p>
        </w:tc>
      </w:tr>
      <w:tr w14:paraId="238E2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32" w:type="dxa"/>
            <w:noWrap w:val="0"/>
            <w:vAlign w:val="center"/>
          </w:tcPr>
          <w:p w14:paraId="72D1D632">
            <w:pPr>
              <w:pageBreakBefore w:val="0"/>
              <w:kinsoku/>
              <w:wordWrap/>
              <w:overflowPunct/>
              <w:topLinePunct w:val="0"/>
              <w:bidi w:val="0"/>
              <w:snapToGrid w:val="0"/>
              <w:spacing w:line="300" w:lineRule="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z w:val="32"/>
                <w:szCs w:val="32"/>
                <w:highlight w:val="none"/>
              </w:rPr>
              <w:t>地面</w:t>
            </w:r>
          </w:p>
        </w:tc>
        <w:tc>
          <w:tcPr>
            <w:tcW w:w="2143" w:type="dxa"/>
            <w:noWrap w:val="0"/>
            <w:vAlign w:val="center"/>
          </w:tcPr>
          <w:p w14:paraId="66073A89">
            <w:pPr>
              <w:pageBreakBefore w:val="0"/>
              <w:kinsoku/>
              <w:wordWrap/>
              <w:overflowPunct/>
              <w:topLinePunct w:val="0"/>
              <w:bidi w:val="0"/>
              <w:snapToGrid w:val="0"/>
              <w:spacing w:line="300" w:lineRule="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sz w:val="32"/>
                <w:szCs w:val="32"/>
                <w:highlight w:val="none"/>
              </w:rPr>
              <w:t>地面</w:t>
            </w:r>
            <w:r>
              <w:rPr>
                <w:rFonts w:hint="eastAsia" w:ascii="仿宋_GB2312" w:hAnsi="仿宋_GB2312" w:eastAsia="仿宋_GB2312" w:cs="仿宋_GB2312"/>
                <w:sz w:val="32"/>
                <w:szCs w:val="32"/>
                <w:highlight w:val="none"/>
                <w:lang w:val="en-US" w:eastAsia="zh-CN"/>
              </w:rPr>
              <w:t>各</w:t>
            </w:r>
            <w:r>
              <w:rPr>
                <w:rFonts w:hint="eastAsia" w:ascii="仿宋_GB2312" w:hAnsi="仿宋_GB2312" w:eastAsia="仿宋_GB2312" w:cs="仿宋_GB2312"/>
                <w:sz w:val="32"/>
                <w:szCs w:val="32"/>
                <w:highlight w:val="none"/>
              </w:rPr>
              <w:t>材质</w:t>
            </w:r>
            <w:r>
              <w:rPr>
                <w:rFonts w:hint="eastAsia" w:ascii="仿宋_GB2312" w:hAnsi="仿宋_GB2312" w:eastAsia="仿宋_GB2312" w:cs="仿宋_GB2312"/>
                <w:sz w:val="32"/>
                <w:szCs w:val="32"/>
                <w:highlight w:val="none"/>
                <w:lang w:val="en-US" w:eastAsia="zh-CN"/>
              </w:rPr>
              <w:t>及总面积</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w:t>
            </w:r>
          </w:p>
        </w:tc>
        <w:tc>
          <w:tcPr>
            <w:tcW w:w="2538" w:type="dxa"/>
            <w:noWrap w:val="0"/>
            <w:vAlign w:val="center"/>
          </w:tcPr>
          <w:p w14:paraId="25F91F2C">
            <w:pPr>
              <w:pageBreakBefore w:val="0"/>
              <w:kinsoku/>
              <w:wordWrap/>
              <w:overflowPunct/>
              <w:topLinePunct w:val="0"/>
              <w:bidi w:val="0"/>
              <w:snapToGrid w:val="0"/>
              <w:spacing w:line="300" w:lineRule="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瓷砖总面积，2861㎡</w:t>
            </w:r>
          </w:p>
          <w:p w14:paraId="75AFAD34">
            <w:pPr>
              <w:pageBreakBefore w:val="0"/>
              <w:kinsoku/>
              <w:wordWrap/>
              <w:overflowPunct/>
              <w:topLinePunct w:val="0"/>
              <w:bidi w:val="0"/>
              <w:snapToGrid w:val="0"/>
              <w:spacing w:line="300" w:lineRule="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混凝土总面积，2531㎡。</w:t>
            </w:r>
          </w:p>
          <w:p w14:paraId="27C6104F">
            <w:pPr>
              <w:pageBreakBefore w:val="0"/>
              <w:kinsoku/>
              <w:wordWrap/>
              <w:overflowPunct/>
              <w:topLinePunct w:val="0"/>
              <w:bidi w:val="0"/>
              <w:snapToGrid w:val="0"/>
              <w:spacing w:line="300" w:lineRule="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大理石1800㎡</w:t>
            </w:r>
          </w:p>
          <w:p w14:paraId="49361343">
            <w:pPr>
              <w:pageBreakBefore w:val="0"/>
              <w:kinsoku/>
              <w:wordWrap/>
              <w:overflowPunct/>
              <w:topLinePunct w:val="0"/>
              <w:bidi w:val="0"/>
              <w:snapToGrid w:val="0"/>
              <w:spacing w:line="300" w:lineRule="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透水砖1032㎡</w:t>
            </w:r>
          </w:p>
          <w:p w14:paraId="152C65EE">
            <w:pPr>
              <w:pageBreakBefore w:val="0"/>
              <w:kinsoku/>
              <w:wordWrap/>
              <w:overflowPunct/>
              <w:topLinePunct w:val="0"/>
              <w:bidi w:val="0"/>
              <w:snapToGrid w:val="0"/>
              <w:spacing w:line="300" w:lineRule="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环氧地坪1056㎡</w:t>
            </w:r>
          </w:p>
          <w:p w14:paraId="520940AC">
            <w:pPr>
              <w:pageBreakBefore w:val="0"/>
              <w:kinsoku/>
              <w:wordWrap/>
              <w:overflowPunct/>
              <w:topLinePunct w:val="0"/>
              <w:bidi w:val="0"/>
              <w:snapToGrid w:val="0"/>
              <w:spacing w:line="300" w:lineRule="auto"/>
              <w:rPr>
                <w:rFonts w:hint="default" w:ascii="仿宋_GB2312" w:hAnsi="仿宋_GB2312" w:eastAsia="仿宋_GB2312" w:cs="仿宋_GB2312"/>
                <w:sz w:val="32"/>
                <w:szCs w:val="32"/>
                <w:highlight w:val="none"/>
                <w:lang w:val="en-US" w:eastAsia="zh-CN"/>
              </w:rPr>
            </w:pPr>
          </w:p>
        </w:tc>
        <w:tc>
          <w:tcPr>
            <w:tcW w:w="2669" w:type="dxa"/>
            <w:noWrap w:val="0"/>
            <w:vAlign w:val="center"/>
          </w:tcPr>
          <w:p w14:paraId="267FDEF1">
            <w:pPr>
              <w:pageBreakBefore w:val="0"/>
              <w:kinsoku/>
              <w:wordWrap/>
              <w:overflowPunct/>
              <w:topLinePunct w:val="0"/>
              <w:bidi w:val="0"/>
              <w:snapToGrid w:val="0"/>
              <w:spacing w:line="300" w:lineRule="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见“</w:t>
            </w:r>
            <w:r>
              <w:rPr>
                <w:rFonts w:hint="eastAsia" w:ascii="仿宋_GB2312" w:hAnsi="仿宋_GB2312" w:eastAsia="仿宋_GB2312" w:cs="仿宋_GB2312"/>
                <w:color w:val="auto"/>
                <w:kern w:val="2"/>
                <w:sz w:val="32"/>
                <w:szCs w:val="32"/>
                <w:highlight w:val="none"/>
                <w:u w:val="none"/>
                <w:lang w:val="en-US" w:eastAsia="zh-CN" w:bidi="ar-SA"/>
              </w:rPr>
              <w:t>3.2房屋维护服务</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u w:val="none"/>
                <w:lang w:val="en-US" w:eastAsia="zh-CN" w:bidi="ar-SA"/>
              </w:rPr>
              <w:t>3.4保洁服务</w:t>
            </w:r>
            <w:r>
              <w:rPr>
                <w:rFonts w:hint="eastAsia" w:ascii="仿宋_GB2312" w:hAnsi="仿宋_GB2312" w:eastAsia="仿宋_GB2312" w:cs="仿宋_GB2312"/>
                <w:color w:val="auto"/>
                <w:kern w:val="2"/>
                <w:sz w:val="32"/>
                <w:szCs w:val="32"/>
                <w:highlight w:val="none"/>
                <w:lang w:val="en-US" w:eastAsia="zh-CN" w:bidi="ar-SA"/>
              </w:rPr>
              <w:t>”</w:t>
            </w:r>
          </w:p>
        </w:tc>
      </w:tr>
      <w:tr w14:paraId="2ECAD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32" w:type="dxa"/>
            <w:noWrap w:val="0"/>
            <w:vAlign w:val="center"/>
          </w:tcPr>
          <w:p w14:paraId="776A0845">
            <w:pPr>
              <w:pageBreakBefore w:val="0"/>
              <w:kinsoku/>
              <w:wordWrap/>
              <w:overflowPunct/>
              <w:topLinePunct w:val="0"/>
              <w:bidi w:val="0"/>
              <w:snapToGrid w:val="0"/>
              <w:spacing w:line="300" w:lineRule="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墙面</w:t>
            </w:r>
          </w:p>
        </w:tc>
        <w:tc>
          <w:tcPr>
            <w:tcW w:w="2143" w:type="dxa"/>
            <w:noWrap w:val="0"/>
            <w:vAlign w:val="center"/>
          </w:tcPr>
          <w:p w14:paraId="44A0B8EA">
            <w:pPr>
              <w:pageBreakBefore w:val="0"/>
              <w:kinsoku/>
              <w:wordWrap/>
              <w:overflowPunct/>
              <w:topLinePunct w:val="0"/>
              <w:bidi w:val="0"/>
              <w:snapToGrid w:val="0"/>
              <w:spacing w:line="300" w:lineRule="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墙</w:t>
            </w:r>
            <w:r>
              <w:rPr>
                <w:rFonts w:hint="eastAsia" w:ascii="仿宋_GB2312" w:hAnsi="仿宋_GB2312" w:eastAsia="仿宋_GB2312" w:cs="仿宋_GB2312"/>
                <w:sz w:val="32"/>
                <w:szCs w:val="32"/>
                <w:highlight w:val="none"/>
              </w:rPr>
              <w:t>面</w:t>
            </w:r>
            <w:r>
              <w:rPr>
                <w:rFonts w:hint="eastAsia" w:ascii="仿宋_GB2312" w:hAnsi="仿宋_GB2312" w:eastAsia="仿宋_GB2312" w:cs="仿宋_GB2312"/>
                <w:sz w:val="32"/>
                <w:szCs w:val="32"/>
                <w:highlight w:val="none"/>
                <w:lang w:val="en-US" w:eastAsia="zh-CN"/>
              </w:rPr>
              <w:t>各</w:t>
            </w:r>
            <w:r>
              <w:rPr>
                <w:rFonts w:hint="eastAsia" w:ascii="仿宋_GB2312" w:hAnsi="仿宋_GB2312" w:eastAsia="仿宋_GB2312" w:cs="仿宋_GB2312"/>
                <w:sz w:val="32"/>
                <w:szCs w:val="32"/>
                <w:highlight w:val="none"/>
              </w:rPr>
              <w:t>材质</w:t>
            </w:r>
            <w:r>
              <w:rPr>
                <w:rFonts w:hint="eastAsia" w:ascii="仿宋_GB2312" w:hAnsi="仿宋_GB2312" w:eastAsia="仿宋_GB2312" w:cs="仿宋_GB2312"/>
                <w:sz w:val="32"/>
                <w:szCs w:val="32"/>
                <w:highlight w:val="none"/>
                <w:lang w:val="en-US" w:eastAsia="zh-CN"/>
              </w:rPr>
              <w:t>及总面积</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w:t>
            </w:r>
          </w:p>
        </w:tc>
        <w:tc>
          <w:tcPr>
            <w:tcW w:w="2538" w:type="dxa"/>
            <w:noWrap w:val="0"/>
            <w:vAlign w:val="center"/>
          </w:tcPr>
          <w:p w14:paraId="1F4D7A01">
            <w:pPr>
              <w:pageBreakBefore w:val="0"/>
              <w:kinsoku/>
              <w:wordWrap/>
              <w:overflowPunct/>
              <w:topLinePunct w:val="0"/>
              <w:bidi w:val="0"/>
              <w:snapToGrid w:val="0"/>
              <w:spacing w:line="300" w:lineRule="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乳胶漆，4032㎡</w:t>
            </w:r>
          </w:p>
          <w:p w14:paraId="4831137A">
            <w:pPr>
              <w:pageBreakBefore w:val="0"/>
              <w:kinsoku/>
              <w:wordWrap/>
              <w:overflowPunct/>
              <w:topLinePunct w:val="0"/>
              <w:bidi w:val="0"/>
              <w:snapToGrid w:val="0"/>
              <w:spacing w:line="300" w:lineRule="auto"/>
              <w:rPr>
                <w:rFonts w:hint="eastAsia" w:ascii="仿宋_GB2312" w:hAnsi="仿宋_GB2312" w:eastAsia="仿宋_GB2312" w:cs="仿宋_GB2312"/>
                <w:sz w:val="32"/>
                <w:szCs w:val="32"/>
                <w:highlight w:val="none"/>
                <w:lang w:val="en-US" w:eastAsia="zh-CN"/>
              </w:rPr>
            </w:pPr>
          </w:p>
        </w:tc>
        <w:tc>
          <w:tcPr>
            <w:tcW w:w="2669" w:type="dxa"/>
            <w:noWrap w:val="0"/>
            <w:vAlign w:val="center"/>
          </w:tcPr>
          <w:p w14:paraId="4F12D866">
            <w:pPr>
              <w:pageBreakBefore w:val="0"/>
              <w:kinsoku/>
              <w:wordWrap/>
              <w:overflowPunct/>
              <w:topLinePunct w:val="0"/>
              <w:bidi w:val="0"/>
              <w:snapToGrid w:val="0"/>
              <w:spacing w:line="300" w:lineRule="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见“</w:t>
            </w:r>
            <w:r>
              <w:rPr>
                <w:rFonts w:hint="eastAsia" w:ascii="仿宋_GB2312" w:hAnsi="仿宋_GB2312" w:eastAsia="仿宋_GB2312" w:cs="仿宋_GB2312"/>
                <w:color w:val="auto"/>
                <w:kern w:val="2"/>
                <w:sz w:val="32"/>
                <w:szCs w:val="32"/>
                <w:highlight w:val="none"/>
                <w:u w:val="none"/>
                <w:lang w:val="en-US" w:eastAsia="zh-CN" w:bidi="ar-SA"/>
              </w:rPr>
              <w:t>3.2房屋维护服务</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u w:val="none"/>
                <w:lang w:val="en-US" w:eastAsia="zh-CN" w:bidi="ar-SA"/>
              </w:rPr>
              <w:t>3.4保洁服务</w:t>
            </w:r>
            <w:r>
              <w:rPr>
                <w:rFonts w:hint="eastAsia" w:ascii="仿宋_GB2312" w:hAnsi="仿宋_GB2312" w:eastAsia="仿宋_GB2312" w:cs="仿宋_GB2312"/>
                <w:color w:val="auto"/>
                <w:kern w:val="2"/>
                <w:sz w:val="32"/>
                <w:szCs w:val="32"/>
                <w:highlight w:val="none"/>
                <w:lang w:val="en-US" w:eastAsia="zh-CN" w:bidi="ar-SA"/>
              </w:rPr>
              <w:t>”</w:t>
            </w:r>
          </w:p>
        </w:tc>
      </w:tr>
      <w:tr w14:paraId="49362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5" w:hRule="atLeast"/>
        </w:trPr>
        <w:tc>
          <w:tcPr>
            <w:tcW w:w="1932" w:type="dxa"/>
            <w:noWrap w:val="0"/>
            <w:vAlign w:val="center"/>
          </w:tcPr>
          <w:p w14:paraId="55F20A53">
            <w:pPr>
              <w:pageBreakBefore w:val="0"/>
              <w:kinsoku/>
              <w:wordWrap/>
              <w:overflowPunct/>
              <w:topLinePunct w:val="0"/>
              <w:bidi w:val="0"/>
              <w:snapToGrid w:val="0"/>
              <w:spacing w:line="300" w:lineRule="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外墙</w:t>
            </w:r>
          </w:p>
        </w:tc>
        <w:tc>
          <w:tcPr>
            <w:tcW w:w="2143" w:type="dxa"/>
            <w:noWrap w:val="0"/>
            <w:vAlign w:val="center"/>
          </w:tcPr>
          <w:p w14:paraId="4AC6EA84">
            <w:pPr>
              <w:pageBreakBefore w:val="0"/>
              <w:kinsoku/>
              <w:wordWrap/>
              <w:overflowPunct/>
              <w:topLinePunct w:val="0"/>
              <w:bidi w:val="0"/>
              <w:snapToGrid w:val="0"/>
              <w:spacing w:line="300" w:lineRule="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rPr>
              <w:t>外墙</w:t>
            </w:r>
            <w:r>
              <w:rPr>
                <w:rFonts w:hint="eastAsia" w:ascii="仿宋_GB2312" w:hAnsi="仿宋_GB2312" w:eastAsia="仿宋_GB2312" w:cs="仿宋_GB2312"/>
                <w:sz w:val="32"/>
                <w:szCs w:val="32"/>
                <w:highlight w:val="none"/>
                <w:lang w:val="en-US" w:eastAsia="zh-CN"/>
              </w:rPr>
              <w:t>各</w:t>
            </w:r>
            <w:r>
              <w:rPr>
                <w:rFonts w:hint="eastAsia" w:ascii="仿宋_GB2312" w:hAnsi="仿宋_GB2312" w:eastAsia="仿宋_GB2312" w:cs="仿宋_GB2312"/>
                <w:sz w:val="32"/>
                <w:szCs w:val="32"/>
                <w:highlight w:val="none"/>
              </w:rPr>
              <w:t>材质</w:t>
            </w:r>
            <w:r>
              <w:rPr>
                <w:rFonts w:hint="eastAsia" w:ascii="仿宋_GB2312" w:hAnsi="仿宋_GB2312" w:eastAsia="仿宋_GB2312" w:cs="仿宋_GB2312"/>
                <w:sz w:val="32"/>
                <w:szCs w:val="32"/>
                <w:highlight w:val="none"/>
                <w:lang w:val="en-US" w:eastAsia="zh-CN"/>
              </w:rPr>
              <w:t>及总面积</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w:t>
            </w:r>
          </w:p>
        </w:tc>
        <w:tc>
          <w:tcPr>
            <w:tcW w:w="2538" w:type="dxa"/>
            <w:noWrap w:val="0"/>
            <w:vAlign w:val="center"/>
          </w:tcPr>
          <w:p w14:paraId="1DF84955">
            <w:pPr>
              <w:pageBreakBefore w:val="0"/>
              <w:kinsoku/>
              <w:wordWrap/>
              <w:overflowPunct/>
              <w:topLinePunct w:val="0"/>
              <w:bidi w:val="0"/>
              <w:snapToGrid w:val="0"/>
              <w:spacing w:line="300" w:lineRule="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真石漆，2749㎡</w:t>
            </w:r>
          </w:p>
        </w:tc>
        <w:tc>
          <w:tcPr>
            <w:tcW w:w="2669" w:type="dxa"/>
            <w:noWrap w:val="0"/>
            <w:vAlign w:val="center"/>
          </w:tcPr>
          <w:p w14:paraId="2C11E099">
            <w:pPr>
              <w:pageBreakBefore w:val="0"/>
              <w:kinsoku/>
              <w:wordWrap/>
              <w:overflowPunct/>
              <w:topLinePunct w:val="0"/>
              <w:bidi w:val="0"/>
              <w:snapToGrid w:val="0"/>
              <w:spacing w:line="300" w:lineRule="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见“3.2房屋维护服务”“3.4保洁服务”</w:t>
            </w:r>
          </w:p>
        </w:tc>
      </w:tr>
      <w:tr w14:paraId="394ED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trPr>
        <w:tc>
          <w:tcPr>
            <w:tcW w:w="1932" w:type="dxa"/>
            <w:vMerge w:val="restart"/>
            <w:noWrap w:val="0"/>
            <w:vAlign w:val="center"/>
          </w:tcPr>
          <w:p w14:paraId="0477FE42">
            <w:pPr>
              <w:pageBreakBefore w:val="0"/>
              <w:kinsoku/>
              <w:wordWrap/>
              <w:overflowPunct/>
              <w:topLinePunct w:val="0"/>
              <w:bidi w:val="0"/>
              <w:snapToGrid w:val="0"/>
              <w:spacing w:line="300" w:lineRule="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会议室</w:t>
            </w:r>
          </w:p>
        </w:tc>
        <w:tc>
          <w:tcPr>
            <w:tcW w:w="2143" w:type="dxa"/>
            <w:noWrap w:val="0"/>
            <w:vAlign w:val="center"/>
          </w:tcPr>
          <w:p w14:paraId="07CB3F92">
            <w:pPr>
              <w:pageBreakBefore w:val="0"/>
              <w:kinsoku/>
              <w:wordWrap/>
              <w:overflowPunct/>
              <w:topLinePunct w:val="0"/>
              <w:bidi w:val="0"/>
              <w:snapToGrid w:val="0"/>
              <w:spacing w:line="300" w:lineRule="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室内</w:t>
            </w:r>
            <w:r>
              <w:rPr>
                <w:rFonts w:hint="eastAsia" w:ascii="仿宋_GB2312" w:hAnsi="仿宋_GB2312" w:eastAsia="仿宋_GB2312" w:cs="仿宋_GB2312"/>
                <w:sz w:val="32"/>
                <w:szCs w:val="32"/>
                <w:highlight w:val="none"/>
              </w:rPr>
              <w:t>设施</w:t>
            </w:r>
            <w:r>
              <w:rPr>
                <w:rFonts w:hint="eastAsia" w:ascii="仿宋_GB2312" w:hAnsi="仿宋_GB2312" w:eastAsia="仿宋_GB2312" w:cs="仿宋_GB2312"/>
                <w:sz w:val="32"/>
                <w:szCs w:val="32"/>
                <w:highlight w:val="none"/>
                <w:lang w:val="en-US" w:eastAsia="zh-CN"/>
              </w:rPr>
              <w:t>说明</w:t>
            </w:r>
          </w:p>
        </w:tc>
        <w:tc>
          <w:tcPr>
            <w:tcW w:w="2538" w:type="dxa"/>
            <w:noWrap w:val="0"/>
            <w:vAlign w:val="center"/>
          </w:tcPr>
          <w:p w14:paraId="286DE730">
            <w:pPr>
              <w:pageBreakBefore w:val="0"/>
              <w:kinsoku/>
              <w:wordWrap/>
              <w:overflowPunct/>
              <w:topLinePunct w:val="0"/>
              <w:bidi w:val="0"/>
              <w:snapToGrid w:val="0"/>
              <w:spacing w:line="300" w:lineRule="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会议桌、会议椅、投影机、话筒</w:t>
            </w:r>
          </w:p>
        </w:tc>
        <w:tc>
          <w:tcPr>
            <w:tcW w:w="2669" w:type="dxa"/>
            <w:noWrap w:val="0"/>
            <w:vAlign w:val="center"/>
          </w:tcPr>
          <w:p w14:paraId="084D10E0">
            <w:pPr>
              <w:pageBreakBefore w:val="0"/>
              <w:kinsoku/>
              <w:wordWrap/>
              <w:overflowPunct/>
              <w:topLinePunct w:val="0"/>
              <w:bidi w:val="0"/>
              <w:snapToGrid w:val="0"/>
              <w:spacing w:line="300" w:lineRule="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见“</w:t>
            </w:r>
            <w:r>
              <w:rPr>
                <w:rFonts w:hint="eastAsia" w:ascii="仿宋_GB2312" w:hAnsi="仿宋_GB2312" w:eastAsia="仿宋_GB2312" w:cs="仿宋_GB2312"/>
                <w:color w:val="auto"/>
                <w:kern w:val="2"/>
                <w:sz w:val="32"/>
                <w:szCs w:val="32"/>
                <w:highlight w:val="none"/>
                <w:u w:val="none"/>
                <w:lang w:val="en-US" w:eastAsia="zh-CN" w:bidi="ar-SA"/>
              </w:rPr>
              <w:t>3.2房屋维护服务</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u w:val="none"/>
                <w:lang w:val="en-US" w:eastAsia="zh-CN" w:bidi="ar-SA"/>
              </w:rPr>
              <w:t>3.4保洁服务</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u w:val="none"/>
                <w:lang w:val="en-US" w:eastAsia="zh-CN" w:bidi="ar-SA"/>
              </w:rPr>
              <w:t>3.7会议服务</w:t>
            </w:r>
            <w:r>
              <w:rPr>
                <w:rFonts w:hint="eastAsia" w:ascii="仿宋_GB2312" w:hAnsi="仿宋_GB2312" w:eastAsia="仿宋_GB2312" w:cs="仿宋_GB2312"/>
                <w:color w:val="auto"/>
                <w:kern w:val="2"/>
                <w:sz w:val="32"/>
                <w:szCs w:val="32"/>
                <w:highlight w:val="none"/>
                <w:lang w:val="en-US" w:eastAsia="zh-CN" w:bidi="ar-SA"/>
              </w:rPr>
              <w:t>”</w:t>
            </w:r>
          </w:p>
        </w:tc>
      </w:tr>
      <w:tr w14:paraId="62C21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32" w:type="dxa"/>
            <w:vMerge w:val="continue"/>
            <w:noWrap w:val="0"/>
            <w:vAlign w:val="center"/>
          </w:tcPr>
          <w:p w14:paraId="1F402A8A">
            <w:pPr>
              <w:pageBreakBefore w:val="0"/>
              <w:kinsoku/>
              <w:wordWrap/>
              <w:overflowPunct/>
              <w:topLinePunct w:val="0"/>
              <w:bidi w:val="0"/>
              <w:snapToGrid w:val="0"/>
              <w:spacing w:line="300" w:lineRule="auto"/>
              <w:ind w:left="0" w:firstLine="0" w:firstLineChars="0"/>
              <w:jc w:val="center"/>
              <w:rPr>
                <w:rFonts w:hint="eastAsia" w:ascii="仿宋_GB2312" w:hAnsi="仿宋_GB2312" w:eastAsia="仿宋_GB2312" w:cs="仿宋_GB2312"/>
                <w:color w:val="auto"/>
                <w:sz w:val="32"/>
                <w:szCs w:val="32"/>
                <w:highlight w:val="none"/>
              </w:rPr>
            </w:pPr>
          </w:p>
        </w:tc>
        <w:tc>
          <w:tcPr>
            <w:tcW w:w="2143" w:type="dxa"/>
            <w:noWrap w:val="0"/>
            <w:vAlign w:val="center"/>
          </w:tcPr>
          <w:p w14:paraId="3A79D95D">
            <w:pPr>
              <w:pageBreakBefore w:val="0"/>
              <w:kinsoku/>
              <w:wordWrap/>
              <w:overflowPunct/>
              <w:topLinePunct w:val="0"/>
              <w:bidi w:val="0"/>
              <w:snapToGrid w:val="0"/>
              <w:spacing w:line="300" w:lineRule="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会议室总数量（个）及总面积（㎡）</w:t>
            </w:r>
          </w:p>
        </w:tc>
        <w:tc>
          <w:tcPr>
            <w:tcW w:w="2538" w:type="dxa"/>
            <w:noWrap w:val="0"/>
            <w:vAlign w:val="center"/>
          </w:tcPr>
          <w:p w14:paraId="5ECA27EA">
            <w:pPr>
              <w:pageBreakBefore w:val="0"/>
              <w:kinsoku/>
              <w:wordWrap/>
              <w:overflowPunct/>
              <w:topLinePunct w:val="0"/>
              <w:bidi w:val="0"/>
              <w:snapToGrid w:val="0"/>
              <w:spacing w:line="300" w:lineRule="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9个，1028㎡</w:t>
            </w:r>
          </w:p>
        </w:tc>
        <w:tc>
          <w:tcPr>
            <w:tcW w:w="2669" w:type="dxa"/>
            <w:noWrap w:val="0"/>
            <w:vAlign w:val="center"/>
          </w:tcPr>
          <w:p w14:paraId="4D3047EF">
            <w:pPr>
              <w:pageBreakBefore w:val="0"/>
              <w:kinsoku/>
              <w:wordWrap/>
              <w:overflowPunct/>
              <w:topLinePunct w:val="0"/>
              <w:bidi w:val="0"/>
              <w:snapToGrid w:val="0"/>
              <w:spacing w:line="300" w:lineRule="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见“</w:t>
            </w:r>
            <w:r>
              <w:rPr>
                <w:rFonts w:hint="eastAsia" w:ascii="仿宋_GB2312" w:hAnsi="仿宋_GB2312" w:eastAsia="仿宋_GB2312" w:cs="仿宋_GB2312"/>
                <w:color w:val="auto"/>
                <w:kern w:val="2"/>
                <w:sz w:val="32"/>
                <w:szCs w:val="32"/>
                <w:highlight w:val="none"/>
                <w:u w:val="none"/>
                <w:lang w:val="en-US" w:eastAsia="zh-CN" w:bidi="ar-SA"/>
              </w:rPr>
              <w:t>3.4保洁服务</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u w:val="none"/>
                <w:lang w:val="en-US" w:eastAsia="zh-CN" w:bidi="ar-SA"/>
              </w:rPr>
              <w:t>3.7会议服务</w:t>
            </w:r>
            <w:r>
              <w:rPr>
                <w:rFonts w:hint="eastAsia" w:ascii="仿宋_GB2312" w:hAnsi="仿宋_GB2312" w:eastAsia="仿宋_GB2312" w:cs="仿宋_GB2312"/>
                <w:color w:val="auto"/>
                <w:kern w:val="2"/>
                <w:sz w:val="32"/>
                <w:szCs w:val="32"/>
                <w:highlight w:val="none"/>
                <w:lang w:val="en-US" w:eastAsia="zh-CN" w:bidi="ar-SA"/>
              </w:rPr>
              <w:t>”</w:t>
            </w:r>
          </w:p>
        </w:tc>
      </w:tr>
      <w:tr w14:paraId="1CFCE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32" w:type="dxa"/>
            <w:noWrap w:val="0"/>
            <w:vAlign w:val="center"/>
          </w:tcPr>
          <w:p w14:paraId="4E7525CE">
            <w:pPr>
              <w:pageBreakBefore w:val="0"/>
              <w:kinsoku/>
              <w:wordWrap/>
              <w:overflowPunct/>
              <w:topLinePunct w:val="0"/>
              <w:bidi w:val="0"/>
              <w:snapToGrid w:val="0"/>
              <w:spacing w:line="300" w:lineRule="auto"/>
              <w:ind w:left="0"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卫生间 </w:t>
            </w:r>
          </w:p>
          <w:p w14:paraId="2138A11D">
            <w:pPr>
              <w:pStyle w:val="3"/>
              <w:ind w:left="0" w:leftChars="0" w:firstLine="0" w:firstLineChars="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淋浴室</w:t>
            </w:r>
          </w:p>
        </w:tc>
        <w:tc>
          <w:tcPr>
            <w:tcW w:w="2143" w:type="dxa"/>
            <w:noWrap w:val="0"/>
            <w:vAlign w:val="center"/>
          </w:tcPr>
          <w:p w14:paraId="188B5209">
            <w:pPr>
              <w:pageBreakBefore w:val="0"/>
              <w:kinsoku/>
              <w:wordWrap/>
              <w:overflowPunct/>
              <w:topLinePunct w:val="0"/>
              <w:bidi w:val="0"/>
              <w:snapToGrid w:val="0"/>
              <w:spacing w:line="300" w:lineRule="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卫生间、淋浴室</w:t>
            </w:r>
            <w:r>
              <w:rPr>
                <w:rFonts w:hint="eastAsia" w:ascii="仿宋_GB2312" w:hAnsi="仿宋_GB2312" w:eastAsia="仿宋_GB2312" w:cs="仿宋_GB2312"/>
                <w:color w:val="auto"/>
                <w:sz w:val="32"/>
                <w:szCs w:val="32"/>
                <w:highlight w:val="none"/>
                <w:lang w:val="en-US" w:eastAsia="zh-CN"/>
              </w:rPr>
              <w:t>总数量</w:t>
            </w:r>
            <w:r>
              <w:rPr>
                <w:rFonts w:hint="eastAsia" w:ascii="仿宋_GB2312" w:hAnsi="仿宋_GB2312" w:eastAsia="仿宋_GB2312" w:cs="仿宋_GB2312"/>
                <w:sz w:val="32"/>
                <w:szCs w:val="32"/>
                <w:highlight w:val="none"/>
                <w:lang w:val="en-US" w:eastAsia="zh-CN"/>
              </w:rPr>
              <w:t>（个）</w:t>
            </w:r>
            <w:r>
              <w:rPr>
                <w:rFonts w:hint="eastAsia" w:ascii="仿宋_GB2312" w:hAnsi="仿宋_GB2312" w:eastAsia="仿宋_GB2312" w:cs="仿宋_GB2312"/>
                <w:color w:val="auto"/>
                <w:sz w:val="32"/>
                <w:szCs w:val="32"/>
                <w:highlight w:val="none"/>
                <w:lang w:val="en-US" w:eastAsia="zh-CN"/>
              </w:rPr>
              <w:t>及总面积</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w:t>
            </w:r>
          </w:p>
        </w:tc>
        <w:tc>
          <w:tcPr>
            <w:tcW w:w="2538" w:type="dxa"/>
            <w:noWrap w:val="0"/>
            <w:vAlign w:val="center"/>
          </w:tcPr>
          <w:p w14:paraId="2B95C593">
            <w:pPr>
              <w:pageBreakBefore w:val="0"/>
              <w:kinsoku/>
              <w:wordWrap/>
              <w:overflowPunct/>
              <w:topLinePunct w:val="0"/>
              <w:bidi w:val="0"/>
              <w:snapToGrid w:val="0"/>
              <w:spacing w:line="300" w:lineRule="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卫生间19个，408㎡</w:t>
            </w:r>
          </w:p>
          <w:p w14:paraId="49EA2967">
            <w:pPr>
              <w:pStyle w:val="3"/>
              <w:ind w:left="0" w:leftChars="0" w:firstLine="0" w:firstLineChars="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淋浴室3个60㎡</w:t>
            </w:r>
          </w:p>
        </w:tc>
        <w:tc>
          <w:tcPr>
            <w:tcW w:w="2669" w:type="dxa"/>
            <w:noWrap w:val="0"/>
            <w:vAlign w:val="center"/>
          </w:tcPr>
          <w:p w14:paraId="49ACC6B1">
            <w:pPr>
              <w:pageBreakBefore w:val="0"/>
              <w:kinsoku/>
              <w:wordWrap/>
              <w:overflowPunct/>
              <w:topLinePunct w:val="0"/>
              <w:bidi w:val="0"/>
              <w:snapToGrid w:val="0"/>
              <w:spacing w:line="300" w:lineRule="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kern w:val="2"/>
                <w:sz w:val="32"/>
                <w:szCs w:val="32"/>
                <w:highlight w:val="none"/>
                <w:lang w:val="en-US" w:eastAsia="zh-CN" w:bidi="ar-SA"/>
              </w:rPr>
              <w:t>见“</w:t>
            </w:r>
            <w:r>
              <w:rPr>
                <w:rFonts w:hint="eastAsia" w:ascii="仿宋_GB2312" w:hAnsi="仿宋_GB2312" w:eastAsia="仿宋_GB2312" w:cs="仿宋_GB2312"/>
                <w:color w:val="auto"/>
                <w:kern w:val="2"/>
                <w:sz w:val="32"/>
                <w:szCs w:val="32"/>
                <w:highlight w:val="none"/>
                <w:u w:val="none"/>
                <w:lang w:val="en-US" w:eastAsia="zh-CN" w:bidi="ar-SA"/>
              </w:rPr>
              <w:t>3.4保洁服务</w:t>
            </w:r>
            <w:r>
              <w:rPr>
                <w:rFonts w:hint="eastAsia" w:ascii="仿宋_GB2312" w:hAnsi="仿宋_GB2312" w:eastAsia="仿宋_GB2312" w:cs="仿宋_GB2312"/>
                <w:color w:val="auto"/>
                <w:kern w:val="2"/>
                <w:sz w:val="32"/>
                <w:szCs w:val="32"/>
                <w:highlight w:val="none"/>
                <w:lang w:val="en-US" w:eastAsia="zh-CN" w:bidi="ar-SA"/>
              </w:rPr>
              <w:t>”</w:t>
            </w:r>
          </w:p>
        </w:tc>
      </w:tr>
      <w:tr w14:paraId="0CFEC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1932" w:type="dxa"/>
            <w:noWrap w:val="0"/>
            <w:vAlign w:val="center"/>
          </w:tcPr>
          <w:p w14:paraId="175324F5">
            <w:pPr>
              <w:pageBreakBefore w:val="0"/>
              <w:kinsoku/>
              <w:wordWrap/>
              <w:overflowPunct/>
              <w:topLinePunct w:val="0"/>
              <w:bidi w:val="0"/>
              <w:snapToGrid w:val="0"/>
              <w:spacing w:line="300" w:lineRule="auto"/>
              <w:ind w:left="0"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垃圾存放点</w:t>
            </w:r>
          </w:p>
        </w:tc>
        <w:tc>
          <w:tcPr>
            <w:tcW w:w="2143" w:type="dxa"/>
            <w:noWrap w:val="0"/>
            <w:vAlign w:val="center"/>
          </w:tcPr>
          <w:p w14:paraId="4352AB9B">
            <w:pPr>
              <w:pageBreakBefore w:val="0"/>
              <w:kinsoku/>
              <w:wordWrap/>
              <w:overflowPunct/>
              <w:topLinePunct w:val="0"/>
              <w:bidi w:val="0"/>
              <w:snapToGrid w:val="0"/>
              <w:spacing w:line="300" w:lineRule="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各垃圾存放点位置、</w:t>
            </w:r>
            <w:r>
              <w:rPr>
                <w:rFonts w:hint="eastAsia" w:ascii="仿宋_GB2312" w:hAnsi="仿宋_GB2312" w:eastAsia="仿宋_GB2312" w:cs="仿宋_GB2312"/>
                <w:sz w:val="32"/>
                <w:szCs w:val="32"/>
                <w:highlight w:val="none"/>
              </w:rPr>
              <w:t>面积</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及数量（个）</w:t>
            </w:r>
          </w:p>
        </w:tc>
        <w:tc>
          <w:tcPr>
            <w:tcW w:w="2538" w:type="dxa"/>
            <w:noWrap w:val="0"/>
            <w:vAlign w:val="center"/>
          </w:tcPr>
          <w:p w14:paraId="390A253D">
            <w:pPr>
              <w:pageBreakBefore w:val="0"/>
              <w:kinsoku/>
              <w:wordWrap/>
              <w:overflowPunct/>
              <w:topLinePunct w:val="0"/>
              <w:bidi w:val="0"/>
              <w:snapToGrid w:val="0"/>
              <w:spacing w:line="300" w:lineRule="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每楼层1个，共12㎡</w:t>
            </w:r>
          </w:p>
          <w:p w14:paraId="4F65DACA">
            <w:pPr>
              <w:pageBreakBefore w:val="0"/>
              <w:kinsoku/>
              <w:wordWrap/>
              <w:overflowPunct/>
              <w:topLinePunct w:val="0"/>
              <w:bidi w:val="0"/>
              <w:snapToGrid w:val="0"/>
              <w:spacing w:line="300" w:lineRule="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室外主楼西侧12个，广场4个，10㎡</w:t>
            </w:r>
          </w:p>
        </w:tc>
        <w:tc>
          <w:tcPr>
            <w:tcW w:w="2669" w:type="dxa"/>
            <w:noWrap w:val="0"/>
            <w:vAlign w:val="center"/>
          </w:tcPr>
          <w:p w14:paraId="428A39A3">
            <w:pPr>
              <w:pageBreakBefore w:val="0"/>
              <w:kinsoku/>
              <w:wordWrap/>
              <w:overflowPunct/>
              <w:topLinePunct w:val="0"/>
              <w:bidi w:val="0"/>
              <w:snapToGrid w:val="0"/>
              <w:spacing w:line="300" w:lineRule="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kern w:val="2"/>
                <w:sz w:val="32"/>
                <w:szCs w:val="32"/>
                <w:highlight w:val="none"/>
                <w:lang w:val="en-US" w:eastAsia="zh-CN" w:bidi="ar-SA"/>
              </w:rPr>
              <w:t>见“</w:t>
            </w:r>
            <w:r>
              <w:rPr>
                <w:rFonts w:hint="eastAsia" w:ascii="仿宋_GB2312" w:hAnsi="仿宋_GB2312" w:eastAsia="仿宋_GB2312" w:cs="仿宋_GB2312"/>
                <w:color w:val="auto"/>
                <w:kern w:val="2"/>
                <w:sz w:val="32"/>
                <w:szCs w:val="32"/>
                <w:highlight w:val="none"/>
                <w:u w:val="none"/>
                <w:lang w:val="en-US" w:eastAsia="zh-CN" w:bidi="ar-SA"/>
              </w:rPr>
              <w:t>3.4保洁服务</w:t>
            </w:r>
            <w:r>
              <w:rPr>
                <w:rFonts w:hint="eastAsia" w:ascii="仿宋_GB2312" w:hAnsi="仿宋_GB2312" w:eastAsia="仿宋_GB2312" w:cs="仿宋_GB2312"/>
                <w:color w:val="auto"/>
                <w:kern w:val="2"/>
                <w:sz w:val="32"/>
                <w:szCs w:val="32"/>
                <w:highlight w:val="none"/>
                <w:lang w:val="en-US" w:eastAsia="zh-CN" w:bidi="ar-SA"/>
              </w:rPr>
              <w:t>”</w:t>
            </w:r>
          </w:p>
        </w:tc>
      </w:tr>
      <w:tr w14:paraId="318E9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32" w:type="dxa"/>
            <w:vMerge w:val="restart"/>
            <w:noWrap w:val="0"/>
            <w:vAlign w:val="center"/>
          </w:tcPr>
          <w:p w14:paraId="7BF8915A">
            <w:pPr>
              <w:pageBreakBefore w:val="0"/>
              <w:kinsoku/>
              <w:wordWrap/>
              <w:overflowPunct/>
              <w:topLinePunct w:val="0"/>
              <w:bidi w:val="0"/>
              <w:snapToGrid w:val="0"/>
              <w:spacing w:line="300" w:lineRule="auto"/>
              <w:ind w:left="0"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rPr>
              <w:t>车位数</w:t>
            </w:r>
          </w:p>
        </w:tc>
        <w:tc>
          <w:tcPr>
            <w:tcW w:w="2143" w:type="dxa"/>
            <w:noWrap w:val="0"/>
            <w:vAlign w:val="center"/>
          </w:tcPr>
          <w:p w14:paraId="30556B55">
            <w:pPr>
              <w:pageBreakBefore w:val="0"/>
              <w:kinsoku/>
              <w:wordWrap/>
              <w:overflowPunct/>
              <w:topLinePunct w:val="0"/>
              <w:bidi w:val="0"/>
              <w:snapToGrid w:val="0"/>
              <w:spacing w:line="300" w:lineRule="auto"/>
              <w:ind w:left="0" w:leftChars="0" w:firstLine="0" w:firstLineChars="0"/>
              <w:jc w:val="both"/>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sz w:val="32"/>
                <w:szCs w:val="32"/>
                <w:highlight w:val="none"/>
              </w:rPr>
              <w:t>地下车位数</w:t>
            </w:r>
          </w:p>
        </w:tc>
        <w:tc>
          <w:tcPr>
            <w:tcW w:w="2538" w:type="dxa"/>
            <w:noWrap w:val="0"/>
            <w:vAlign w:val="center"/>
          </w:tcPr>
          <w:p w14:paraId="1A93BA10">
            <w:pPr>
              <w:pageBreakBefore w:val="0"/>
              <w:kinsoku/>
              <w:wordWrap/>
              <w:overflowPunct/>
              <w:topLinePunct w:val="0"/>
              <w:bidi w:val="0"/>
              <w:snapToGrid w:val="0"/>
              <w:spacing w:line="300" w:lineRule="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55个</w:t>
            </w:r>
          </w:p>
        </w:tc>
        <w:tc>
          <w:tcPr>
            <w:tcW w:w="2669" w:type="dxa"/>
            <w:noWrap w:val="0"/>
            <w:vAlign w:val="center"/>
          </w:tcPr>
          <w:p w14:paraId="4F6EA04A">
            <w:pPr>
              <w:pageBreakBefore w:val="0"/>
              <w:kinsoku/>
              <w:wordWrap/>
              <w:overflowPunct/>
              <w:topLinePunct w:val="0"/>
              <w:bidi w:val="0"/>
              <w:snapToGrid w:val="0"/>
              <w:spacing w:line="300" w:lineRule="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rPr>
              <w:t>见“</w:t>
            </w:r>
            <w:r>
              <w:rPr>
                <w:rFonts w:hint="eastAsia" w:ascii="仿宋_GB2312" w:hAnsi="仿宋_GB2312" w:eastAsia="仿宋_GB2312" w:cs="仿宋_GB2312"/>
                <w:color w:val="auto"/>
                <w:sz w:val="32"/>
                <w:szCs w:val="32"/>
                <w:highlight w:val="none"/>
                <w:u w:val="none"/>
                <w:lang w:val="en-US" w:eastAsia="zh-CN"/>
              </w:rPr>
              <w:t>3.6保安服务</w:t>
            </w:r>
            <w:r>
              <w:rPr>
                <w:rFonts w:hint="eastAsia" w:ascii="仿宋_GB2312" w:hAnsi="仿宋_GB2312" w:eastAsia="仿宋_GB2312" w:cs="仿宋_GB2312"/>
                <w:color w:val="auto"/>
                <w:sz w:val="32"/>
                <w:szCs w:val="32"/>
                <w:highlight w:val="none"/>
                <w:lang w:val="en-US" w:eastAsia="zh-CN"/>
              </w:rPr>
              <w:t>”</w:t>
            </w:r>
          </w:p>
        </w:tc>
      </w:tr>
      <w:tr w14:paraId="1599B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32" w:type="dxa"/>
            <w:vMerge w:val="continue"/>
            <w:noWrap w:val="0"/>
            <w:vAlign w:val="center"/>
          </w:tcPr>
          <w:p w14:paraId="6CA26E9F">
            <w:pPr>
              <w:pageBreakBefore w:val="0"/>
              <w:kinsoku/>
              <w:wordWrap/>
              <w:overflowPunct/>
              <w:topLinePunct w:val="0"/>
              <w:bidi w:val="0"/>
              <w:snapToGrid w:val="0"/>
              <w:spacing w:line="300" w:lineRule="auto"/>
              <w:ind w:left="0" w:firstLine="0" w:firstLineChars="0"/>
              <w:jc w:val="both"/>
              <w:rPr>
                <w:rFonts w:hint="eastAsia" w:ascii="仿宋_GB2312" w:hAnsi="仿宋_GB2312" w:eastAsia="仿宋_GB2312" w:cs="仿宋_GB2312"/>
                <w:color w:val="auto"/>
                <w:sz w:val="32"/>
                <w:szCs w:val="32"/>
                <w:highlight w:val="none"/>
                <w:lang w:val="en-US" w:eastAsia="zh-CN"/>
              </w:rPr>
            </w:pPr>
          </w:p>
        </w:tc>
        <w:tc>
          <w:tcPr>
            <w:tcW w:w="2143" w:type="dxa"/>
            <w:noWrap w:val="0"/>
            <w:vAlign w:val="center"/>
          </w:tcPr>
          <w:p w14:paraId="4FA05621">
            <w:pPr>
              <w:pageBreakBefore w:val="0"/>
              <w:kinsoku/>
              <w:wordWrap/>
              <w:overflowPunct/>
              <w:topLinePunct w:val="0"/>
              <w:bidi w:val="0"/>
              <w:snapToGrid w:val="0"/>
              <w:spacing w:line="300" w:lineRule="auto"/>
              <w:ind w:left="0" w:leftChars="0" w:firstLine="0" w:firstLineChars="0"/>
              <w:jc w:val="both"/>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sz w:val="32"/>
                <w:szCs w:val="32"/>
                <w:highlight w:val="none"/>
              </w:rPr>
              <w:t>地面车位数</w:t>
            </w:r>
          </w:p>
        </w:tc>
        <w:tc>
          <w:tcPr>
            <w:tcW w:w="2538" w:type="dxa"/>
            <w:noWrap w:val="0"/>
            <w:vAlign w:val="center"/>
          </w:tcPr>
          <w:p w14:paraId="73EF52DC">
            <w:pPr>
              <w:pageBreakBefore w:val="0"/>
              <w:kinsoku/>
              <w:wordWrap/>
              <w:overflowPunct/>
              <w:topLinePunct w:val="0"/>
              <w:bidi w:val="0"/>
              <w:snapToGrid w:val="0"/>
              <w:spacing w:line="300" w:lineRule="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65个</w:t>
            </w:r>
          </w:p>
        </w:tc>
        <w:tc>
          <w:tcPr>
            <w:tcW w:w="2669" w:type="dxa"/>
            <w:noWrap w:val="0"/>
            <w:vAlign w:val="center"/>
          </w:tcPr>
          <w:p w14:paraId="44C3D4CC">
            <w:pPr>
              <w:pageBreakBefore w:val="0"/>
              <w:kinsoku/>
              <w:wordWrap/>
              <w:overflowPunct/>
              <w:topLinePunct w:val="0"/>
              <w:bidi w:val="0"/>
              <w:snapToGrid w:val="0"/>
              <w:spacing w:line="300" w:lineRule="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rPr>
              <w:t>见“</w:t>
            </w:r>
            <w:r>
              <w:rPr>
                <w:rFonts w:hint="eastAsia" w:ascii="仿宋_GB2312" w:hAnsi="仿宋_GB2312" w:eastAsia="仿宋_GB2312" w:cs="仿宋_GB2312"/>
                <w:color w:val="auto"/>
                <w:sz w:val="32"/>
                <w:szCs w:val="32"/>
                <w:highlight w:val="none"/>
                <w:u w:val="none"/>
                <w:lang w:val="en-US" w:eastAsia="zh-CN"/>
              </w:rPr>
              <w:t>3.6保安服务</w:t>
            </w:r>
            <w:r>
              <w:rPr>
                <w:rFonts w:hint="eastAsia" w:ascii="仿宋_GB2312" w:hAnsi="仿宋_GB2312" w:eastAsia="仿宋_GB2312" w:cs="仿宋_GB2312"/>
                <w:color w:val="auto"/>
                <w:sz w:val="32"/>
                <w:szCs w:val="32"/>
                <w:highlight w:val="none"/>
                <w:lang w:val="en-US" w:eastAsia="zh-CN"/>
              </w:rPr>
              <w:t>”</w:t>
            </w:r>
          </w:p>
        </w:tc>
      </w:tr>
      <w:tr w14:paraId="682AF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32" w:type="dxa"/>
            <w:vMerge w:val="restart"/>
            <w:noWrap w:val="0"/>
            <w:vAlign w:val="center"/>
          </w:tcPr>
          <w:p w14:paraId="1DE0EBA9">
            <w:pPr>
              <w:pageBreakBefore w:val="0"/>
              <w:kinsoku/>
              <w:wordWrap/>
              <w:overflowPunct/>
              <w:topLinePunct w:val="0"/>
              <w:bidi w:val="0"/>
              <w:snapToGrid w:val="0"/>
              <w:spacing w:line="300" w:lineRule="auto"/>
              <w:ind w:left="0" w:firstLine="0" w:firstLineChars="0"/>
              <w:jc w:val="both"/>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车行/人行口</w:t>
            </w:r>
          </w:p>
        </w:tc>
        <w:tc>
          <w:tcPr>
            <w:tcW w:w="2143" w:type="dxa"/>
            <w:noWrap w:val="0"/>
            <w:vAlign w:val="center"/>
          </w:tcPr>
          <w:p w14:paraId="38559C83">
            <w:pPr>
              <w:pageBreakBefore w:val="0"/>
              <w:kinsoku/>
              <w:wordWrap/>
              <w:overflowPunct/>
              <w:topLinePunct w:val="0"/>
              <w:bidi w:val="0"/>
              <w:snapToGrid w:val="0"/>
              <w:spacing w:line="300" w:lineRule="auto"/>
              <w:ind w:left="0" w:leftChars="0" w:firstLine="0" w:firstLineChars="0"/>
              <w:jc w:val="both"/>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车行口</w:t>
            </w:r>
          </w:p>
        </w:tc>
        <w:tc>
          <w:tcPr>
            <w:tcW w:w="2538" w:type="dxa"/>
            <w:noWrap w:val="0"/>
            <w:vAlign w:val="center"/>
          </w:tcPr>
          <w:p w14:paraId="60EDBA74">
            <w:pPr>
              <w:pageBreakBefore w:val="0"/>
              <w:kinsoku/>
              <w:wordWrap/>
              <w:overflowPunct/>
              <w:topLinePunct w:val="0"/>
              <w:bidi w:val="0"/>
              <w:snapToGrid w:val="0"/>
              <w:spacing w:line="300" w:lineRule="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2个</w:t>
            </w:r>
          </w:p>
        </w:tc>
        <w:tc>
          <w:tcPr>
            <w:tcW w:w="2669" w:type="dxa"/>
            <w:noWrap w:val="0"/>
            <w:vAlign w:val="center"/>
          </w:tcPr>
          <w:p w14:paraId="16436C63">
            <w:pPr>
              <w:pageBreakBefore w:val="0"/>
              <w:kinsoku/>
              <w:wordWrap/>
              <w:overflowPunct/>
              <w:topLinePunct w:val="0"/>
              <w:bidi w:val="0"/>
              <w:snapToGrid w:val="0"/>
              <w:spacing w:line="300" w:lineRule="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见“</w:t>
            </w:r>
            <w:r>
              <w:rPr>
                <w:rFonts w:hint="eastAsia" w:ascii="仿宋_GB2312" w:hAnsi="仿宋_GB2312" w:eastAsia="仿宋_GB2312" w:cs="仿宋_GB2312"/>
                <w:color w:val="auto"/>
                <w:sz w:val="32"/>
                <w:szCs w:val="32"/>
                <w:highlight w:val="none"/>
                <w:u w:val="none"/>
                <w:lang w:val="en-US" w:eastAsia="zh-CN"/>
              </w:rPr>
              <w:t>3.6保安服务</w:t>
            </w:r>
            <w:r>
              <w:rPr>
                <w:rFonts w:hint="eastAsia" w:ascii="仿宋_GB2312" w:hAnsi="仿宋_GB2312" w:eastAsia="仿宋_GB2312" w:cs="仿宋_GB2312"/>
                <w:color w:val="auto"/>
                <w:sz w:val="32"/>
                <w:szCs w:val="32"/>
                <w:highlight w:val="none"/>
                <w:lang w:val="en-US" w:eastAsia="zh-CN"/>
              </w:rPr>
              <w:t>”</w:t>
            </w:r>
          </w:p>
        </w:tc>
      </w:tr>
      <w:tr w14:paraId="6EEC8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32" w:type="dxa"/>
            <w:vMerge w:val="continue"/>
            <w:noWrap w:val="0"/>
            <w:vAlign w:val="center"/>
          </w:tcPr>
          <w:p w14:paraId="0811AF9F">
            <w:pPr>
              <w:pageBreakBefore w:val="0"/>
              <w:kinsoku/>
              <w:wordWrap/>
              <w:overflowPunct/>
              <w:topLinePunct w:val="0"/>
              <w:bidi w:val="0"/>
              <w:snapToGrid w:val="0"/>
              <w:spacing w:line="300" w:lineRule="auto"/>
              <w:ind w:left="0" w:firstLine="0" w:firstLineChars="0"/>
              <w:jc w:val="both"/>
              <w:rPr>
                <w:rFonts w:hint="eastAsia" w:ascii="仿宋_GB2312" w:hAnsi="仿宋_GB2312" w:eastAsia="仿宋_GB2312" w:cs="仿宋_GB2312"/>
                <w:sz w:val="32"/>
                <w:szCs w:val="32"/>
                <w:highlight w:val="none"/>
                <w:lang w:val="en-US" w:eastAsia="zh-CN"/>
              </w:rPr>
            </w:pPr>
          </w:p>
        </w:tc>
        <w:tc>
          <w:tcPr>
            <w:tcW w:w="2143" w:type="dxa"/>
            <w:noWrap w:val="0"/>
            <w:vAlign w:val="center"/>
          </w:tcPr>
          <w:p w14:paraId="238C835E">
            <w:pPr>
              <w:pageBreakBefore w:val="0"/>
              <w:kinsoku/>
              <w:wordWrap/>
              <w:overflowPunct/>
              <w:topLinePunct w:val="0"/>
              <w:bidi w:val="0"/>
              <w:snapToGrid w:val="0"/>
              <w:spacing w:line="300" w:lineRule="auto"/>
              <w:ind w:left="0" w:leftChars="0" w:firstLine="0" w:firstLineChars="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人行口</w:t>
            </w:r>
          </w:p>
        </w:tc>
        <w:tc>
          <w:tcPr>
            <w:tcW w:w="2538" w:type="dxa"/>
            <w:noWrap w:val="0"/>
            <w:vAlign w:val="center"/>
          </w:tcPr>
          <w:p w14:paraId="5937ADC2">
            <w:pPr>
              <w:pageBreakBefore w:val="0"/>
              <w:kinsoku/>
              <w:wordWrap/>
              <w:overflowPunct/>
              <w:topLinePunct w:val="0"/>
              <w:bidi w:val="0"/>
              <w:snapToGrid w:val="0"/>
              <w:spacing w:line="300" w:lineRule="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1个</w:t>
            </w:r>
          </w:p>
        </w:tc>
        <w:tc>
          <w:tcPr>
            <w:tcW w:w="2669" w:type="dxa"/>
            <w:noWrap w:val="0"/>
            <w:vAlign w:val="center"/>
          </w:tcPr>
          <w:p w14:paraId="7DA77EDF">
            <w:pPr>
              <w:pageBreakBefore w:val="0"/>
              <w:kinsoku/>
              <w:wordWrap/>
              <w:overflowPunct/>
              <w:topLinePunct w:val="0"/>
              <w:bidi w:val="0"/>
              <w:snapToGrid w:val="0"/>
              <w:spacing w:line="300" w:lineRule="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见“</w:t>
            </w:r>
            <w:r>
              <w:rPr>
                <w:rFonts w:hint="eastAsia" w:ascii="仿宋_GB2312" w:hAnsi="仿宋_GB2312" w:eastAsia="仿宋_GB2312" w:cs="仿宋_GB2312"/>
                <w:color w:val="auto"/>
                <w:sz w:val="32"/>
                <w:szCs w:val="32"/>
                <w:highlight w:val="none"/>
                <w:u w:val="none"/>
                <w:lang w:val="en-US" w:eastAsia="zh-CN"/>
              </w:rPr>
              <w:t>3.6保安服务</w:t>
            </w:r>
            <w:r>
              <w:rPr>
                <w:rFonts w:hint="eastAsia" w:ascii="仿宋_GB2312" w:hAnsi="仿宋_GB2312" w:eastAsia="仿宋_GB2312" w:cs="仿宋_GB2312"/>
                <w:color w:val="auto"/>
                <w:sz w:val="32"/>
                <w:szCs w:val="32"/>
                <w:highlight w:val="none"/>
                <w:lang w:val="en-US" w:eastAsia="zh-CN"/>
              </w:rPr>
              <w:t>”</w:t>
            </w:r>
          </w:p>
        </w:tc>
      </w:tr>
      <w:tr w14:paraId="11BB2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32" w:type="dxa"/>
            <w:vMerge w:val="restart"/>
            <w:noWrap w:val="0"/>
            <w:vAlign w:val="center"/>
          </w:tcPr>
          <w:p w14:paraId="36E6032C">
            <w:pPr>
              <w:pageBreakBefore w:val="0"/>
              <w:kinsoku/>
              <w:wordWrap/>
              <w:overflowPunct/>
              <w:topLinePunct w:val="0"/>
              <w:bidi w:val="0"/>
              <w:snapToGrid w:val="0"/>
              <w:spacing w:line="300" w:lineRule="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设施设备</w:t>
            </w:r>
          </w:p>
          <w:p w14:paraId="711B45BF">
            <w:pPr>
              <w:pageBreakBefore w:val="0"/>
              <w:kinsoku/>
              <w:wordWrap/>
              <w:overflowPunct/>
              <w:topLinePunct w:val="0"/>
              <w:bidi w:val="0"/>
              <w:snapToGrid w:val="0"/>
              <w:spacing w:line="300" w:lineRule="auto"/>
              <w:rPr>
                <w:rFonts w:hint="eastAsia" w:ascii="仿宋_GB2312" w:hAnsi="仿宋_GB2312" w:eastAsia="仿宋_GB2312" w:cs="仿宋_GB2312"/>
                <w:color w:val="auto"/>
                <w:sz w:val="32"/>
                <w:szCs w:val="32"/>
                <w:highlight w:val="none"/>
              </w:rPr>
            </w:pPr>
          </w:p>
        </w:tc>
        <w:tc>
          <w:tcPr>
            <w:tcW w:w="2143" w:type="dxa"/>
            <w:noWrap w:val="0"/>
            <w:vAlign w:val="center"/>
          </w:tcPr>
          <w:p w14:paraId="732DBE30">
            <w:pPr>
              <w:pageBreakBefore w:val="0"/>
              <w:kinsoku/>
              <w:wordWrap/>
              <w:overflowPunct/>
              <w:topLinePunct w:val="0"/>
              <w:bidi w:val="0"/>
              <w:snapToGrid w:val="0"/>
              <w:spacing w:line="300" w:lineRule="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sz w:val="32"/>
                <w:szCs w:val="32"/>
                <w:highlight w:val="none"/>
              </w:rPr>
              <w:t>电梯</w:t>
            </w:r>
            <w:r>
              <w:rPr>
                <w:rFonts w:hint="eastAsia" w:ascii="仿宋_GB2312" w:hAnsi="仿宋_GB2312" w:eastAsia="仿宋_GB2312" w:cs="仿宋_GB2312"/>
                <w:sz w:val="32"/>
                <w:szCs w:val="32"/>
                <w:highlight w:val="none"/>
                <w:lang w:val="en-US" w:eastAsia="zh-CN"/>
              </w:rPr>
              <w:t>系统</w:t>
            </w:r>
          </w:p>
        </w:tc>
        <w:tc>
          <w:tcPr>
            <w:tcW w:w="2538" w:type="dxa"/>
            <w:noWrap w:val="0"/>
            <w:vAlign w:val="center"/>
          </w:tcPr>
          <w:p w14:paraId="2CC2B935">
            <w:pPr>
              <w:pageBreakBefore w:val="0"/>
              <w:kinsoku/>
              <w:wordWrap/>
              <w:overflowPunct/>
              <w:topLinePunct w:val="0"/>
              <w:bidi w:val="0"/>
              <w:snapToGrid w:val="0"/>
              <w:spacing w:line="300" w:lineRule="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电梯2部</w:t>
            </w:r>
          </w:p>
        </w:tc>
        <w:tc>
          <w:tcPr>
            <w:tcW w:w="2669" w:type="dxa"/>
            <w:noWrap w:val="0"/>
            <w:vAlign w:val="center"/>
          </w:tcPr>
          <w:p w14:paraId="1992435A">
            <w:pPr>
              <w:pageBreakBefore w:val="0"/>
              <w:kinsoku/>
              <w:wordWrap/>
              <w:overflowPunct/>
              <w:topLinePunct w:val="0"/>
              <w:bidi w:val="0"/>
              <w:snapToGrid w:val="0"/>
              <w:spacing w:line="300" w:lineRule="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见“</w:t>
            </w:r>
            <w:r>
              <w:rPr>
                <w:rFonts w:hint="eastAsia" w:ascii="仿宋_GB2312" w:hAnsi="仿宋_GB2312" w:eastAsia="仿宋_GB2312" w:cs="仿宋_GB2312"/>
                <w:color w:val="auto"/>
                <w:sz w:val="32"/>
                <w:szCs w:val="32"/>
                <w:highlight w:val="none"/>
                <w:u w:val="none"/>
                <w:lang w:val="en-US" w:eastAsia="zh-CN"/>
              </w:rPr>
              <w:t>3.6保安服务</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u w:val="none"/>
                <w:lang w:val="en-US" w:eastAsia="zh-CN"/>
              </w:rPr>
              <w:t>3.3共用设施设备维护服务</w:t>
            </w:r>
            <w:r>
              <w:rPr>
                <w:rFonts w:hint="eastAsia" w:ascii="仿宋_GB2312" w:hAnsi="仿宋_GB2312" w:eastAsia="仿宋_GB2312" w:cs="仿宋_GB2312"/>
                <w:color w:val="auto"/>
                <w:sz w:val="32"/>
                <w:szCs w:val="32"/>
                <w:highlight w:val="none"/>
                <w:lang w:val="en-US" w:eastAsia="zh-CN"/>
              </w:rPr>
              <w:t>”</w:t>
            </w:r>
          </w:p>
        </w:tc>
      </w:tr>
      <w:tr w14:paraId="765E9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1932" w:type="dxa"/>
            <w:vMerge w:val="continue"/>
            <w:noWrap w:val="0"/>
            <w:vAlign w:val="center"/>
          </w:tcPr>
          <w:p w14:paraId="3C0970D1">
            <w:pPr>
              <w:pageBreakBefore w:val="0"/>
              <w:kinsoku/>
              <w:wordWrap/>
              <w:overflowPunct/>
              <w:topLinePunct w:val="0"/>
              <w:bidi w:val="0"/>
              <w:snapToGrid w:val="0"/>
              <w:spacing w:line="300" w:lineRule="auto"/>
              <w:ind w:left="0" w:firstLine="0" w:firstLineChars="0"/>
              <w:jc w:val="both"/>
              <w:rPr>
                <w:rFonts w:hint="eastAsia" w:ascii="仿宋_GB2312" w:hAnsi="仿宋_GB2312" w:eastAsia="仿宋_GB2312" w:cs="仿宋_GB2312"/>
                <w:color w:val="auto"/>
                <w:sz w:val="32"/>
                <w:szCs w:val="32"/>
                <w:highlight w:val="none"/>
              </w:rPr>
            </w:pPr>
          </w:p>
        </w:tc>
        <w:tc>
          <w:tcPr>
            <w:tcW w:w="2143" w:type="dxa"/>
            <w:noWrap w:val="0"/>
            <w:vAlign w:val="center"/>
          </w:tcPr>
          <w:p w14:paraId="0CEF9627">
            <w:pPr>
              <w:pageBreakBefore w:val="0"/>
              <w:kinsoku/>
              <w:wordWrap/>
              <w:overflowPunct/>
              <w:topLinePunct w:val="0"/>
              <w:bidi w:val="0"/>
              <w:snapToGrid w:val="0"/>
              <w:spacing w:line="300" w:lineRule="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sz w:val="32"/>
                <w:szCs w:val="32"/>
                <w:highlight w:val="none"/>
              </w:rPr>
              <w:t>空调</w:t>
            </w:r>
            <w:r>
              <w:rPr>
                <w:rFonts w:hint="eastAsia" w:ascii="仿宋_GB2312" w:hAnsi="仿宋_GB2312" w:eastAsia="仿宋_GB2312" w:cs="仿宋_GB2312"/>
                <w:sz w:val="32"/>
                <w:szCs w:val="32"/>
                <w:highlight w:val="none"/>
                <w:lang w:val="en-US" w:eastAsia="zh-CN"/>
              </w:rPr>
              <w:t>系统</w:t>
            </w:r>
          </w:p>
        </w:tc>
        <w:tc>
          <w:tcPr>
            <w:tcW w:w="2538" w:type="dxa"/>
            <w:noWrap w:val="0"/>
            <w:vAlign w:val="center"/>
          </w:tcPr>
          <w:p w14:paraId="59ECCD99">
            <w:pPr>
              <w:pageBreakBefore w:val="0"/>
              <w:kinsoku/>
              <w:wordWrap/>
              <w:overflowPunct/>
              <w:topLinePunct w:val="0"/>
              <w:bidi w:val="0"/>
              <w:snapToGrid w:val="0"/>
              <w:spacing w:line="300" w:lineRule="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中央空调外机43台， 室内机186台。</w:t>
            </w:r>
          </w:p>
        </w:tc>
        <w:tc>
          <w:tcPr>
            <w:tcW w:w="2669" w:type="dxa"/>
            <w:noWrap w:val="0"/>
            <w:vAlign w:val="center"/>
          </w:tcPr>
          <w:p w14:paraId="1F0F7083">
            <w:pPr>
              <w:pageBreakBefore w:val="0"/>
              <w:kinsoku/>
              <w:wordWrap/>
              <w:overflowPunct/>
              <w:topLinePunct w:val="0"/>
              <w:bidi w:val="0"/>
              <w:snapToGrid w:val="0"/>
              <w:spacing w:line="300" w:lineRule="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见“3.6保安服务”“3.3共用设施设备维护服务”</w:t>
            </w:r>
          </w:p>
        </w:tc>
      </w:tr>
      <w:tr w14:paraId="4BBE9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32" w:type="dxa"/>
            <w:vMerge w:val="continue"/>
            <w:noWrap w:val="0"/>
            <w:vAlign w:val="center"/>
          </w:tcPr>
          <w:p w14:paraId="08BC49EA">
            <w:pPr>
              <w:pageBreakBefore w:val="0"/>
              <w:kinsoku/>
              <w:wordWrap/>
              <w:overflowPunct/>
              <w:topLinePunct w:val="0"/>
              <w:bidi w:val="0"/>
              <w:snapToGrid w:val="0"/>
              <w:spacing w:line="300" w:lineRule="auto"/>
              <w:ind w:left="0" w:firstLine="0" w:firstLineChars="0"/>
              <w:jc w:val="both"/>
              <w:rPr>
                <w:rFonts w:hint="eastAsia" w:ascii="仿宋_GB2312" w:hAnsi="仿宋_GB2312" w:eastAsia="仿宋_GB2312" w:cs="仿宋_GB2312"/>
                <w:color w:val="auto"/>
                <w:sz w:val="32"/>
                <w:szCs w:val="32"/>
                <w:highlight w:val="none"/>
              </w:rPr>
            </w:pPr>
          </w:p>
        </w:tc>
        <w:tc>
          <w:tcPr>
            <w:tcW w:w="2143" w:type="dxa"/>
            <w:noWrap w:val="0"/>
            <w:vAlign w:val="center"/>
          </w:tcPr>
          <w:p w14:paraId="35A2E62A">
            <w:pPr>
              <w:pageBreakBefore w:val="0"/>
              <w:kinsoku/>
              <w:wordWrap/>
              <w:overflowPunct/>
              <w:topLinePunct w:val="0"/>
              <w:bidi w:val="0"/>
              <w:snapToGrid w:val="0"/>
              <w:spacing w:line="300" w:lineRule="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rPr>
              <w:t>采暖</w:t>
            </w:r>
            <w:r>
              <w:rPr>
                <w:rFonts w:hint="eastAsia" w:ascii="仿宋_GB2312" w:hAnsi="仿宋_GB2312" w:eastAsia="仿宋_GB2312" w:cs="仿宋_GB2312"/>
                <w:sz w:val="32"/>
                <w:szCs w:val="32"/>
                <w:highlight w:val="none"/>
                <w:lang w:val="en-US" w:eastAsia="zh-CN"/>
              </w:rPr>
              <w:t>系统</w:t>
            </w:r>
          </w:p>
        </w:tc>
        <w:tc>
          <w:tcPr>
            <w:tcW w:w="2538" w:type="dxa"/>
            <w:noWrap w:val="0"/>
            <w:vAlign w:val="center"/>
          </w:tcPr>
          <w:p w14:paraId="33015221">
            <w:pPr>
              <w:pageBreakBefore w:val="0"/>
              <w:kinsoku/>
              <w:wordWrap/>
              <w:overflowPunct/>
              <w:topLinePunct w:val="0"/>
              <w:bidi w:val="0"/>
              <w:snapToGrid w:val="0"/>
              <w:spacing w:line="300" w:lineRule="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采暖热媒采用50/40℃热水，由小区换热站提供，系统补水定压在换热站内解决，采暖面积3106.9㎡。</w:t>
            </w:r>
          </w:p>
        </w:tc>
        <w:tc>
          <w:tcPr>
            <w:tcW w:w="2669" w:type="dxa"/>
            <w:noWrap w:val="0"/>
            <w:vAlign w:val="center"/>
          </w:tcPr>
          <w:p w14:paraId="5CE07977">
            <w:pPr>
              <w:pageBreakBefore w:val="0"/>
              <w:kinsoku/>
              <w:wordWrap/>
              <w:overflowPunct/>
              <w:topLinePunct w:val="0"/>
              <w:bidi w:val="0"/>
              <w:snapToGrid w:val="0"/>
              <w:spacing w:line="300" w:lineRule="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见“</w:t>
            </w:r>
            <w:r>
              <w:rPr>
                <w:rFonts w:hint="eastAsia" w:ascii="仿宋_GB2312" w:hAnsi="仿宋_GB2312" w:eastAsia="仿宋_GB2312" w:cs="仿宋_GB2312"/>
                <w:color w:val="auto"/>
                <w:sz w:val="32"/>
                <w:szCs w:val="32"/>
                <w:highlight w:val="none"/>
                <w:u w:val="none"/>
                <w:lang w:val="en-US" w:eastAsia="zh-CN"/>
              </w:rPr>
              <w:t>3.6保安服务</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u w:val="none"/>
                <w:lang w:val="en-US" w:eastAsia="zh-CN"/>
              </w:rPr>
              <w:t>3.3共用设施设备维护服务</w:t>
            </w:r>
            <w:r>
              <w:rPr>
                <w:rFonts w:hint="eastAsia" w:ascii="仿宋_GB2312" w:hAnsi="仿宋_GB2312" w:eastAsia="仿宋_GB2312" w:cs="仿宋_GB2312"/>
                <w:color w:val="auto"/>
                <w:sz w:val="32"/>
                <w:szCs w:val="32"/>
                <w:highlight w:val="none"/>
                <w:lang w:val="en-US" w:eastAsia="zh-CN"/>
              </w:rPr>
              <w:t>”</w:t>
            </w:r>
          </w:p>
        </w:tc>
      </w:tr>
      <w:tr w14:paraId="013E0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1932" w:type="dxa"/>
            <w:vMerge w:val="continue"/>
            <w:noWrap w:val="0"/>
            <w:vAlign w:val="center"/>
          </w:tcPr>
          <w:p w14:paraId="53A9610C">
            <w:pPr>
              <w:pageBreakBefore w:val="0"/>
              <w:kinsoku/>
              <w:wordWrap/>
              <w:overflowPunct/>
              <w:topLinePunct w:val="0"/>
              <w:bidi w:val="0"/>
              <w:snapToGrid w:val="0"/>
              <w:spacing w:line="300" w:lineRule="auto"/>
              <w:ind w:left="0" w:firstLine="0" w:firstLineChars="0"/>
              <w:jc w:val="both"/>
              <w:rPr>
                <w:rFonts w:hint="eastAsia" w:ascii="仿宋_GB2312" w:hAnsi="仿宋_GB2312" w:eastAsia="仿宋_GB2312" w:cs="仿宋_GB2312"/>
                <w:color w:val="auto"/>
                <w:sz w:val="32"/>
                <w:szCs w:val="32"/>
                <w:highlight w:val="none"/>
              </w:rPr>
            </w:pPr>
          </w:p>
        </w:tc>
        <w:tc>
          <w:tcPr>
            <w:tcW w:w="2143" w:type="dxa"/>
            <w:noWrap w:val="0"/>
            <w:vAlign w:val="center"/>
          </w:tcPr>
          <w:p w14:paraId="54327E58">
            <w:pPr>
              <w:pageBreakBefore w:val="0"/>
              <w:kinsoku/>
              <w:wordWrap/>
              <w:overflowPunct/>
              <w:topLinePunct w:val="0"/>
              <w:bidi w:val="0"/>
              <w:snapToGrid w:val="0"/>
              <w:spacing w:line="300" w:lineRule="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sz w:val="32"/>
                <w:szCs w:val="32"/>
                <w:highlight w:val="none"/>
              </w:rPr>
              <w:t>给排水</w:t>
            </w:r>
            <w:r>
              <w:rPr>
                <w:rFonts w:hint="eastAsia" w:ascii="仿宋_GB2312" w:hAnsi="仿宋_GB2312" w:eastAsia="仿宋_GB2312" w:cs="仿宋_GB2312"/>
                <w:sz w:val="32"/>
                <w:szCs w:val="32"/>
                <w:highlight w:val="none"/>
                <w:lang w:val="en-US" w:eastAsia="zh-CN"/>
              </w:rPr>
              <w:t>系统</w:t>
            </w:r>
          </w:p>
        </w:tc>
        <w:tc>
          <w:tcPr>
            <w:tcW w:w="2538" w:type="dxa"/>
            <w:noWrap w:val="0"/>
            <w:vAlign w:val="center"/>
          </w:tcPr>
          <w:p w14:paraId="333B8E3C">
            <w:pPr>
              <w:pageBreakBefore w:val="0"/>
              <w:kinsoku/>
              <w:wordWrap/>
              <w:overflowPunct/>
              <w:topLinePunct w:val="0"/>
              <w:bidi w:val="0"/>
              <w:snapToGrid w:val="0"/>
              <w:spacing w:line="300" w:lineRule="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供水水源为大楼土建预留给水立管，热水系统为空气能热水器，室内污水采用合流制，室外地坪污水重力自流入室外污水管。</w:t>
            </w:r>
          </w:p>
        </w:tc>
        <w:tc>
          <w:tcPr>
            <w:tcW w:w="2669" w:type="dxa"/>
            <w:noWrap w:val="0"/>
            <w:vAlign w:val="center"/>
          </w:tcPr>
          <w:p w14:paraId="43A3E0C6">
            <w:pPr>
              <w:pageBreakBefore w:val="0"/>
              <w:kinsoku/>
              <w:wordWrap/>
              <w:overflowPunct/>
              <w:topLinePunct w:val="0"/>
              <w:bidi w:val="0"/>
              <w:snapToGrid w:val="0"/>
              <w:spacing w:line="300" w:lineRule="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见“</w:t>
            </w:r>
            <w:r>
              <w:rPr>
                <w:rFonts w:hint="eastAsia" w:ascii="仿宋_GB2312" w:hAnsi="仿宋_GB2312" w:eastAsia="仿宋_GB2312" w:cs="仿宋_GB2312"/>
                <w:color w:val="auto"/>
                <w:sz w:val="32"/>
                <w:szCs w:val="32"/>
                <w:highlight w:val="none"/>
                <w:u w:val="none"/>
                <w:lang w:val="en-US" w:eastAsia="zh-CN"/>
              </w:rPr>
              <w:t>3.6保安服务</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u w:val="none"/>
                <w:lang w:val="en-US" w:eastAsia="zh-CN"/>
              </w:rPr>
              <w:t>3.3共用设施设备维护服务</w:t>
            </w:r>
            <w:r>
              <w:rPr>
                <w:rFonts w:hint="eastAsia" w:ascii="仿宋_GB2312" w:hAnsi="仿宋_GB2312" w:eastAsia="仿宋_GB2312" w:cs="仿宋_GB2312"/>
                <w:color w:val="auto"/>
                <w:sz w:val="32"/>
                <w:szCs w:val="32"/>
                <w:highlight w:val="none"/>
                <w:lang w:val="en-US" w:eastAsia="zh-CN"/>
              </w:rPr>
              <w:t>”</w:t>
            </w:r>
          </w:p>
        </w:tc>
      </w:tr>
      <w:tr w14:paraId="52387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32" w:type="dxa"/>
            <w:vMerge w:val="continue"/>
            <w:noWrap w:val="0"/>
            <w:vAlign w:val="center"/>
          </w:tcPr>
          <w:p w14:paraId="6D044CF6">
            <w:pPr>
              <w:pageBreakBefore w:val="0"/>
              <w:kinsoku/>
              <w:wordWrap/>
              <w:overflowPunct/>
              <w:topLinePunct w:val="0"/>
              <w:bidi w:val="0"/>
              <w:snapToGrid w:val="0"/>
              <w:spacing w:line="300" w:lineRule="auto"/>
              <w:ind w:left="0" w:firstLine="0" w:firstLineChars="0"/>
              <w:jc w:val="both"/>
              <w:rPr>
                <w:rFonts w:hint="eastAsia" w:ascii="仿宋_GB2312" w:hAnsi="仿宋_GB2312" w:eastAsia="仿宋_GB2312" w:cs="仿宋_GB2312"/>
                <w:color w:val="auto"/>
                <w:sz w:val="32"/>
                <w:szCs w:val="32"/>
                <w:highlight w:val="none"/>
              </w:rPr>
            </w:pPr>
          </w:p>
        </w:tc>
        <w:tc>
          <w:tcPr>
            <w:tcW w:w="2143" w:type="dxa"/>
            <w:noWrap w:val="0"/>
            <w:vAlign w:val="center"/>
          </w:tcPr>
          <w:p w14:paraId="3E18453D">
            <w:pPr>
              <w:pageBreakBefore w:val="0"/>
              <w:kinsoku/>
              <w:wordWrap/>
              <w:overflowPunct/>
              <w:topLinePunct w:val="0"/>
              <w:bidi w:val="0"/>
              <w:snapToGrid w:val="0"/>
              <w:spacing w:line="300" w:lineRule="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sz w:val="32"/>
                <w:szCs w:val="32"/>
                <w:highlight w:val="none"/>
              </w:rPr>
              <w:t>消防</w:t>
            </w:r>
            <w:r>
              <w:rPr>
                <w:rFonts w:hint="eastAsia" w:ascii="仿宋_GB2312" w:hAnsi="仿宋_GB2312" w:eastAsia="仿宋_GB2312" w:cs="仿宋_GB2312"/>
                <w:sz w:val="32"/>
                <w:szCs w:val="32"/>
                <w:highlight w:val="none"/>
                <w:lang w:val="en-US" w:eastAsia="zh-CN"/>
              </w:rPr>
              <w:t>系统</w:t>
            </w:r>
          </w:p>
        </w:tc>
        <w:tc>
          <w:tcPr>
            <w:tcW w:w="2538" w:type="dxa"/>
            <w:noWrap w:val="0"/>
            <w:vAlign w:val="center"/>
          </w:tcPr>
          <w:p w14:paraId="569F158F">
            <w:pPr>
              <w:pageBreakBefore w:val="0"/>
              <w:kinsoku/>
              <w:wordWrap/>
              <w:overflowPunct/>
              <w:topLinePunct w:val="0"/>
              <w:bidi w:val="0"/>
              <w:snapToGrid w:val="0"/>
              <w:spacing w:line="300" w:lineRule="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七氟丙烷气体自动灭火系统。自动报警灭火系统一套。喷水灭火系统、消火栓系统各一套。</w:t>
            </w:r>
          </w:p>
        </w:tc>
        <w:tc>
          <w:tcPr>
            <w:tcW w:w="2669" w:type="dxa"/>
            <w:noWrap w:val="0"/>
            <w:vAlign w:val="center"/>
          </w:tcPr>
          <w:p w14:paraId="64B9F765">
            <w:pPr>
              <w:pageBreakBefore w:val="0"/>
              <w:kinsoku/>
              <w:wordWrap/>
              <w:overflowPunct/>
              <w:topLinePunct w:val="0"/>
              <w:bidi w:val="0"/>
              <w:snapToGrid w:val="0"/>
              <w:spacing w:line="300" w:lineRule="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见“</w:t>
            </w:r>
            <w:r>
              <w:rPr>
                <w:rFonts w:hint="eastAsia" w:ascii="仿宋_GB2312" w:hAnsi="仿宋_GB2312" w:eastAsia="仿宋_GB2312" w:cs="仿宋_GB2312"/>
                <w:color w:val="auto"/>
                <w:sz w:val="32"/>
                <w:szCs w:val="32"/>
                <w:highlight w:val="none"/>
                <w:u w:val="none"/>
                <w:lang w:val="en-US" w:eastAsia="zh-CN"/>
              </w:rPr>
              <w:t>3.6保安服务</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u w:val="none"/>
                <w:lang w:val="en-US" w:eastAsia="zh-CN"/>
              </w:rPr>
              <w:t>3.3共用设施设备维护服务</w:t>
            </w:r>
            <w:r>
              <w:rPr>
                <w:rFonts w:hint="eastAsia" w:ascii="仿宋_GB2312" w:hAnsi="仿宋_GB2312" w:eastAsia="仿宋_GB2312" w:cs="仿宋_GB2312"/>
                <w:color w:val="auto"/>
                <w:sz w:val="32"/>
                <w:szCs w:val="32"/>
                <w:highlight w:val="none"/>
                <w:lang w:val="en-US" w:eastAsia="zh-CN"/>
              </w:rPr>
              <w:t>”</w:t>
            </w:r>
          </w:p>
        </w:tc>
      </w:tr>
      <w:tr w14:paraId="5C840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32" w:type="dxa"/>
            <w:vMerge w:val="continue"/>
            <w:noWrap w:val="0"/>
            <w:vAlign w:val="center"/>
          </w:tcPr>
          <w:p w14:paraId="08001A2E">
            <w:pPr>
              <w:pageBreakBefore w:val="0"/>
              <w:kinsoku/>
              <w:wordWrap/>
              <w:overflowPunct/>
              <w:topLinePunct w:val="0"/>
              <w:bidi w:val="0"/>
              <w:snapToGrid w:val="0"/>
              <w:spacing w:line="300" w:lineRule="auto"/>
              <w:ind w:left="0" w:firstLine="0" w:firstLineChars="0"/>
              <w:jc w:val="both"/>
              <w:rPr>
                <w:rFonts w:hint="eastAsia" w:ascii="仿宋_GB2312" w:hAnsi="仿宋_GB2312" w:eastAsia="仿宋_GB2312" w:cs="仿宋_GB2312"/>
                <w:color w:val="auto"/>
                <w:sz w:val="32"/>
                <w:szCs w:val="32"/>
                <w:highlight w:val="none"/>
              </w:rPr>
            </w:pPr>
          </w:p>
        </w:tc>
        <w:tc>
          <w:tcPr>
            <w:tcW w:w="2143" w:type="dxa"/>
            <w:noWrap w:val="0"/>
            <w:vAlign w:val="center"/>
          </w:tcPr>
          <w:p w14:paraId="67BF0230">
            <w:pPr>
              <w:pageBreakBefore w:val="0"/>
              <w:kinsoku/>
              <w:wordWrap/>
              <w:overflowPunct/>
              <w:topLinePunct w:val="0"/>
              <w:bidi w:val="0"/>
              <w:snapToGrid w:val="0"/>
              <w:spacing w:line="300" w:lineRule="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rPr>
              <w:t>安防系统</w:t>
            </w:r>
          </w:p>
        </w:tc>
        <w:tc>
          <w:tcPr>
            <w:tcW w:w="2538" w:type="dxa"/>
            <w:noWrap w:val="0"/>
            <w:vAlign w:val="center"/>
          </w:tcPr>
          <w:p w14:paraId="1F5E7357">
            <w:pPr>
              <w:pageBreakBefore w:val="0"/>
              <w:kinsoku/>
              <w:wordWrap/>
              <w:overflowPunct/>
              <w:topLinePunct w:val="0"/>
              <w:bidi w:val="0"/>
              <w:snapToGrid w:val="0"/>
              <w:spacing w:line="300" w:lineRule="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小区安防控制系统设备1套，车辆管理系统2套。</w:t>
            </w:r>
          </w:p>
        </w:tc>
        <w:tc>
          <w:tcPr>
            <w:tcW w:w="2669" w:type="dxa"/>
            <w:noWrap w:val="0"/>
            <w:vAlign w:val="center"/>
          </w:tcPr>
          <w:p w14:paraId="29F2A73E">
            <w:pPr>
              <w:pageBreakBefore w:val="0"/>
              <w:kinsoku/>
              <w:wordWrap/>
              <w:overflowPunct/>
              <w:topLinePunct w:val="0"/>
              <w:bidi w:val="0"/>
              <w:snapToGrid w:val="0"/>
              <w:spacing w:line="300" w:lineRule="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见“</w:t>
            </w:r>
            <w:r>
              <w:rPr>
                <w:rFonts w:hint="eastAsia" w:ascii="仿宋_GB2312" w:hAnsi="仿宋_GB2312" w:eastAsia="仿宋_GB2312" w:cs="仿宋_GB2312"/>
                <w:color w:val="auto"/>
                <w:sz w:val="32"/>
                <w:szCs w:val="32"/>
                <w:highlight w:val="none"/>
                <w:u w:val="none"/>
                <w:lang w:val="en-US" w:eastAsia="zh-CN"/>
              </w:rPr>
              <w:t>3.6保安服务</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u w:val="none"/>
                <w:lang w:val="en-US" w:eastAsia="zh-CN"/>
              </w:rPr>
              <w:t>3.3共用设施设备维护服务</w:t>
            </w:r>
            <w:r>
              <w:rPr>
                <w:rFonts w:hint="eastAsia" w:ascii="仿宋_GB2312" w:hAnsi="仿宋_GB2312" w:eastAsia="仿宋_GB2312" w:cs="仿宋_GB2312"/>
                <w:color w:val="auto"/>
                <w:sz w:val="32"/>
                <w:szCs w:val="32"/>
                <w:highlight w:val="none"/>
                <w:lang w:val="en-US" w:eastAsia="zh-CN"/>
              </w:rPr>
              <w:t>”</w:t>
            </w:r>
          </w:p>
        </w:tc>
      </w:tr>
      <w:tr w14:paraId="281E9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32" w:type="dxa"/>
            <w:vMerge w:val="continue"/>
            <w:noWrap w:val="0"/>
            <w:vAlign w:val="center"/>
          </w:tcPr>
          <w:p w14:paraId="1A2E550D">
            <w:pPr>
              <w:pageBreakBefore w:val="0"/>
              <w:kinsoku/>
              <w:wordWrap/>
              <w:overflowPunct/>
              <w:topLinePunct w:val="0"/>
              <w:bidi w:val="0"/>
              <w:snapToGrid w:val="0"/>
              <w:spacing w:line="300" w:lineRule="auto"/>
              <w:ind w:left="0" w:firstLine="0" w:firstLineChars="0"/>
              <w:jc w:val="both"/>
              <w:rPr>
                <w:rFonts w:hint="eastAsia" w:ascii="仿宋_GB2312" w:hAnsi="仿宋_GB2312" w:eastAsia="仿宋_GB2312" w:cs="仿宋_GB2312"/>
                <w:color w:val="auto"/>
                <w:sz w:val="32"/>
                <w:szCs w:val="32"/>
                <w:highlight w:val="none"/>
              </w:rPr>
            </w:pPr>
          </w:p>
        </w:tc>
        <w:tc>
          <w:tcPr>
            <w:tcW w:w="2143" w:type="dxa"/>
            <w:noWrap w:val="0"/>
            <w:vAlign w:val="center"/>
          </w:tcPr>
          <w:p w14:paraId="3DBF09CB">
            <w:pPr>
              <w:pageBreakBefore w:val="0"/>
              <w:kinsoku/>
              <w:wordWrap/>
              <w:overflowPunct/>
              <w:topLinePunct w:val="0"/>
              <w:bidi w:val="0"/>
              <w:snapToGrid w:val="0"/>
              <w:spacing w:line="300" w:lineRule="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rPr>
              <w:t>照明系统</w:t>
            </w:r>
          </w:p>
        </w:tc>
        <w:tc>
          <w:tcPr>
            <w:tcW w:w="2538" w:type="dxa"/>
            <w:noWrap w:val="0"/>
            <w:vAlign w:val="center"/>
          </w:tcPr>
          <w:p w14:paraId="72FF1B01">
            <w:pPr>
              <w:pageBreakBefore w:val="0"/>
              <w:kinsoku/>
              <w:wordWrap/>
              <w:overflowPunct/>
              <w:topLinePunct w:val="0"/>
              <w:bidi w:val="0"/>
              <w:snapToGrid w:val="0"/>
              <w:spacing w:line="300" w:lineRule="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采用放射式的低压配电系统；照明采用就地控制或分区分组控制。</w:t>
            </w:r>
          </w:p>
        </w:tc>
        <w:tc>
          <w:tcPr>
            <w:tcW w:w="2669" w:type="dxa"/>
            <w:noWrap w:val="0"/>
            <w:vAlign w:val="center"/>
          </w:tcPr>
          <w:p w14:paraId="468355A1">
            <w:pPr>
              <w:pageBreakBefore w:val="0"/>
              <w:kinsoku/>
              <w:wordWrap/>
              <w:overflowPunct/>
              <w:topLinePunct w:val="0"/>
              <w:bidi w:val="0"/>
              <w:snapToGrid w:val="0"/>
              <w:spacing w:line="300" w:lineRule="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见“</w:t>
            </w:r>
            <w:r>
              <w:rPr>
                <w:rFonts w:hint="eastAsia" w:ascii="仿宋_GB2312" w:hAnsi="仿宋_GB2312" w:eastAsia="仿宋_GB2312" w:cs="仿宋_GB2312"/>
                <w:color w:val="auto"/>
                <w:sz w:val="32"/>
                <w:szCs w:val="32"/>
                <w:highlight w:val="none"/>
                <w:u w:val="none"/>
                <w:lang w:val="en-US" w:eastAsia="zh-CN"/>
              </w:rPr>
              <w:t>3.6保安服务</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u w:val="none"/>
                <w:lang w:val="en-US" w:eastAsia="zh-CN"/>
              </w:rPr>
              <w:t>3.3共用设施设备维护服务</w:t>
            </w:r>
            <w:r>
              <w:rPr>
                <w:rFonts w:hint="eastAsia" w:ascii="仿宋_GB2312" w:hAnsi="仿宋_GB2312" w:eastAsia="仿宋_GB2312" w:cs="仿宋_GB2312"/>
                <w:color w:val="auto"/>
                <w:sz w:val="32"/>
                <w:szCs w:val="32"/>
                <w:highlight w:val="none"/>
                <w:lang w:val="en-US" w:eastAsia="zh-CN"/>
              </w:rPr>
              <w:t>”</w:t>
            </w:r>
          </w:p>
        </w:tc>
      </w:tr>
    </w:tbl>
    <w:p w14:paraId="786333D5">
      <w:pPr>
        <w:pStyle w:val="4"/>
        <w:numPr>
          <w:ilvl w:val="2"/>
          <w:numId w:val="0"/>
        </w:numPr>
        <w:bidi w:val="0"/>
        <w:ind w:leftChars="0"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（2）物业管理（室外）</w:t>
      </w:r>
    </w:p>
    <w:tbl>
      <w:tblPr>
        <w:tblStyle w:val="2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48"/>
        <w:gridCol w:w="3006"/>
        <w:gridCol w:w="3865"/>
      </w:tblGrid>
      <w:tr w14:paraId="4D4DC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48" w:type="dxa"/>
            <w:noWrap w:val="0"/>
            <w:vAlign w:val="center"/>
          </w:tcPr>
          <w:p w14:paraId="170B09F5">
            <w:pPr>
              <w:pageBreakBefore w:val="0"/>
              <w:kinsoku/>
              <w:wordWrap/>
              <w:overflowPunct/>
              <w:topLinePunct w:val="0"/>
              <w:bidi w:val="0"/>
              <w:snapToGrid w:val="0"/>
              <w:spacing w:line="300" w:lineRule="auto"/>
              <w:jc w:val="center"/>
              <w:rPr>
                <w:rFonts w:hint="eastAsia" w:ascii="仿宋_GB2312" w:hAnsi="仿宋_GB2312" w:eastAsia="仿宋_GB2312" w:cs="仿宋_GB2312"/>
                <w:b/>
                <w:bCs/>
                <w:color w:val="auto"/>
                <w:kern w:val="2"/>
                <w:sz w:val="32"/>
                <w:szCs w:val="32"/>
                <w:highlight w:val="none"/>
                <w:lang w:val="en-US" w:eastAsia="zh-CN" w:bidi="ar-SA"/>
              </w:rPr>
            </w:pPr>
            <w:r>
              <w:rPr>
                <w:rFonts w:hint="eastAsia" w:ascii="仿宋_GB2312" w:hAnsi="仿宋_GB2312" w:eastAsia="仿宋_GB2312" w:cs="仿宋_GB2312"/>
                <w:b/>
                <w:bCs/>
                <w:sz w:val="32"/>
                <w:szCs w:val="32"/>
                <w:highlight w:val="none"/>
                <w:lang w:val="en-US" w:eastAsia="zh-CN"/>
              </w:rPr>
              <w:t>名称</w:t>
            </w:r>
          </w:p>
        </w:tc>
        <w:tc>
          <w:tcPr>
            <w:tcW w:w="3006" w:type="dxa"/>
            <w:noWrap w:val="0"/>
            <w:vAlign w:val="center"/>
          </w:tcPr>
          <w:p w14:paraId="38560E42">
            <w:pPr>
              <w:pageBreakBefore w:val="0"/>
              <w:kinsoku/>
              <w:wordWrap/>
              <w:overflowPunct/>
              <w:topLinePunct w:val="0"/>
              <w:bidi w:val="0"/>
              <w:snapToGrid w:val="0"/>
              <w:spacing w:line="300" w:lineRule="auto"/>
              <w:jc w:val="center"/>
              <w:rPr>
                <w:rFonts w:hint="eastAsia" w:ascii="仿宋_GB2312" w:hAnsi="仿宋_GB2312" w:eastAsia="仿宋_GB2312" w:cs="仿宋_GB2312"/>
                <w:b/>
                <w:bCs/>
                <w:color w:val="auto"/>
                <w:kern w:val="2"/>
                <w:sz w:val="32"/>
                <w:szCs w:val="32"/>
                <w:highlight w:val="none"/>
                <w:lang w:val="en-US" w:eastAsia="zh-CN" w:bidi="ar-SA"/>
              </w:rPr>
            </w:pPr>
            <w:r>
              <w:rPr>
                <w:rFonts w:hint="eastAsia" w:ascii="仿宋_GB2312" w:hAnsi="仿宋_GB2312" w:eastAsia="仿宋_GB2312" w:cs="仿宋_GB2312"/>
                <w:b/>
                <w:bCs/>
                <w:sz w:val="32"/>
                <w:szCs w:val="32"/>
                <w:highlight w:val="none"/>
              </w:rPr>
              <w:t>明细</w:t>
            </w:r>
          </w:p>
        </w:tc>
        <w:tc>
          <w:tcPr>
            <w:tcW w:w="3865" w:type="dxa"/>
            <w:noWrap w:val="0"/>
            <w:vAlign w:val="center"/>
          </w:tcPr>
          <w:p w14:paraId="68E264D1">
            <w:pPr>
              <w:pageBreakBefore w:val="0"/>
              <w:kinsoku/>
              <w:wordWrap/>
              <w:overflowPunct/>
              <w:topLinePunct w:val="0"/>
              <w:bidi w:val="0"/>
              <w:snapToGrid w:val="0"/>
              <w:spacing w:line="300" w:lineRule="auto"/>
              <w:jc w:val="center"/>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val="en-US" w:eastAsia="zh-CN"/>
              </w:rPr>
              <w:t>服务内容及标准</w:t>
            </w:r>
          </w:p>
        </w:tc>
      </w:tr>
      <w:tr w14:paraId="11554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48" w:type="dxa"/>
            <w:noWrap w:val="0"/>
            <w:vAlign w:val="center"/>
          </w:tcPr>
          <w:p w14:paraId="19817766">
            <w:pPr>
              <w:jc w:val="both"/>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室外面积</w:t>
            </w:r>
          </w:p>
        </w:tc>
        <w:tc>
          <w:tcPr>
            <w:tcW w:w="3006" w:type="dxa"/>
            <w:noWrap w:val="0"/>
            <w:vAlign w:val="center"/>
          </w:tcPr>
          <w:p w14:paraId="44E4E6AB">
            <w:pPr>
              <w:pageBreakBefore w:val="0"/>
              <w:kinsoku/>
              <w:wordWrap/>
              <w:overflowPunct/>
              <w:topLinePunct w:val="0"/>
              <w:bidi w:val="0"/>
              <w:snapToGrid w:val="0"/>
              <w:spacing w:line="300" w:lineRule="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11596㎡</w:t>
            </w:r>
          </w:p>
        </w:tc>
        <w:tc>
          <w:tcPr>
            <w:tcW w:w="3865" w:type="dxa"/>
            <w:noWrap w:val="0"/>
            <w:vAlign w:val="center"/>
          </w:tcPr>
          <w:p w14:paraId="0D425E81">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kern w:val="2"/>
                <w:sz w:val="32"/>
                <w:szCs w:val="32"/>
                <w:highlight w:val="none"/>
                <w:lang w:val="en-US" w:eastAsia="zh-CN" w:bidi="ar-SA"/>
              </w:rPr>
              <w:t>见“3.4保洁服务”</w:t>
            </w:r>
            <w:r>
              <w:rPr>
                <w:rFonts w:hint="eastAsia" w:ascii="仿宋_GB2312" w:hAnsi="仿宋_GB2312" w:eastAsia="仿宋_GB2312" w:cs="仿宋_GB2312"/>
                <w:color w:val="auto"/>
                <w:sz w:val="32"/>
                <w:szCs w:val="32"/>
                <w:highlight w:val="none"/>
                <w:lang w:val="en-US" w:eastAsia="zh-CN"/>
              </w:rPr>
              <w:t>“3.6保安服务”</w:t>
            </w:r>
          </w:p>
        </w:tc>
      </w:tr>
      <w:tr w14:paraId="2BF96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48" w:type="dxa"/>
            <w:noWrap w:val="0"/>
            <w:vAlign w:val="center"/>
          </w:tcPr>
          <w:p w14:paraId="0E40E453">
            <w:pPr>
              <w:jc w:val="both"/>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rPr>
              <w:t>绿化</w:t>
            </w:r>
          </w:p>
        </w:tc>
        <w:tc>
          <w:tcPr>
            <w:tcW w:w="3006" w:type="dxa"/>
            <w:noWrap w:val="0"/>
            <w:vAlign w:val="center"/>
          </w:tcPr>
          <w:p w14:paraId="2245A24B">
            <w:pPr>
              <w:pageBreakBefore w:val="0"/>
              <w:kinsoku/>
              <w:wordWrap/>
              <w:overflowPunct/>
              <w:topLinePunct w:val="0"/>
              <w:bidi w:val="0"/>
              <w:snapToGrid w:val="0"/>
              <w:spacing w:line="300" w:lineRule="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1728㎡</w:t>
            </w:r>
          </w:p>
        </w:tc>
        <w:tc>
          <w:tcPr>
            <w:tcW w:w="3865" w:type="dxa"/>
            <w:noWrap w:val="0"/>
            <w:vAlign w:val="center"/>
          </w:tcPr>
          <w:p w14:paraId="5009EDCC">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kern w:val="2"/>
                <w:sz w:val="32"/>
                <w:szCs w:val="32"/>
                <w:highlight w:val="none"/>
                <w:lang w:val="en-US" w:eastAsia="zh-CN" w:bidi="ar-SA"/>
              </w:rPr>
              <w:t>见“3.4保洁服务”“3.5绿化服务”</w:t>
            </w:r>
          </w:p>
        </w:tc>
      </w:tr>
      <w:tr w14:paraId="2CF97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48" w:type="dxa"/>
            <w:noWrap w:val="0"/>
            <w:vAlign w:val="center"/>
          </w:tcPr>
          <w:p w14:paraId="5DDB0E38">
            <w:pPr>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车库</w:t>
            </w:r>
          </w:p>
          <w:p w14:paraId="0D317DD2">
            <w:pPr>
              <w:jc w:val="both"/>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（环氧地坪）</w:t>
            </w:r>
          </w:p>
        </w:tc>
        <w:tc>
          <w:tcPr>
            <w:tcW w:w="3006" w:type="dxa"/>
            <w:noWrap w:val="0"/>
            <w:vAlign w:val="center"/>
          </w:tcPr>
          <w:p w14:paraId="094F7011">
            <w:pPr>
              <w:pageBreakBefore w:val="0"/>
              <w:kinsoku/>
              <w:wordWrap/>
              <w:overflowPunct/>
              <w:topLinePunct w:val="0"/>
              <w:bidi w:val="0"/>
              <w:snapToGrid w:val="0"/>
              <w:spacing w:line="300" w:lineRule="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1056</w:t>
            </w:r>
          </w:p>
        </w:tc>
        <w:tc>
          <w:tcPr>
            <w:tcW w:w="3865" w:type="dxa"/>
            <w:noWrap w:val="0"/>
            <w:vAlign w:val="center"/>
          </w:tcPr>
          <w:p w14:paraId="2FAB0EFA">
            <w:pPr>
              <w:jc w:val="both"/>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见“3.4保洁服务”“3.5绿化服务”</w:t>
            </w:r>
          </w:p>
        </w:tc>
      </w:tr>
      <w:tr w14:paraId="7B584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48" w:type="dxa"/>
            <w:noWrap w:val="0"/>
            <w:vAlign w:val="center"/>
          </w:tcPr>
          <w:p w14:paraId="6EA8B267">
            <w:pPr>
              <w:jc w:val="both"/>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广场</w:t>
            </w:r>
          </w:p>
        </w:tc>
        <w:tc>
          <w:tcPr>
            <w:tcW w:w="3006" w:type="dxa"/>
            <w:noWrap w:val="0"/>
            <w:vAlign w:val="center"/>
          </w:tcPr>
          <w:p w14:paraId="662C8380">
            <w:pPr>
              <w:pageBreakBefore w:val="0"/>
              <w:kinsoku/>
              <w:wordWrap/>
              <w:overflowPunct/>
              <w:topLinePunct w:val="0"/>
              <w:bidi w:val="0"/>
              <w:snapToGrid w:val="0"/>
              <w:spacing w:line="300" w:lineRule="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2832㎡</w:t>
            </w:r>
          </w:p>
        </w:tc>
        <w:tc>
          <w:tcPr>
            <w:tcW w:w="3865" w:type="dxa"/>
            <w:noWrap w:val="0"/>
            <w:vAlign w:val="center"/>
          </w:tcPr>
          <w:p w14:paraId="516A38D1">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kern w:val="2"/>
                <w:sz w:val="32"/>
                <w:szCs w:val="32"/>
                <w:highlight w:val="none"/>
                <w:lang w:val="en-US" w:eastAsia="zh-CN" w:bidi="ar-SA"/>
              </w:rPr>
              <w:t>见“3.4保洁服务”</w:t>
            </w:r>
            <w:r>
              <w:rPr>
                <w:rFonts w:hint="eastAsia" w:ascii="仿宋_GB2312" w:hAnsi="仿宋_GB2312" w:eastAsia="仿宋_GB2312" w:cs="仿宋_GB2312"/>
                <w:color w:val="auto"/>
                <w:sz w:val="32"/>
                <w:szCs w:val="32"/>
                <w:highlight w:val="none"/>
                <w:lang w:val="en-US" w:eastAsia="zh-CN"/>
              </w:rPr>
              <w:t>“3.6保安服务”</w:t>
            </w:r>
          </w:p>
        </w:tc>
      </w:tr>
      <w:tr w14:paraId="4DEF3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48" w:type="dxa"/>
            <w:noWrap w:val="0"/>
            <w:vAlign w:val="center"/>
          </w:tcPr>
          <w:p w14:paraId="243CC912">
            <w:pPr>
              <w:jc w:val="both"/>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露台</w:t>
            </w:r>
          </w:p>
        </w:tc>
        <w:tc>
          <w:tcPr>
            <w:tcW w:w="3006" w:type="dxa"/>
            <w:noWrap w:val="0"/>
            <w:vAlign w:val="center"/>
          </w:tcPr>
          <w:p w14:paraId="74609BBC">
            <w:pPr>
              <w:pageBreakBefore w:val="0"/>
              <w:kinsoku/>
              <w:wordWrap/>
              <w:overflowPunct/>
              <w:topLinePunct w:val="0"/>
              <w:bidi w:val="0"/>
              <w:snapToGrid w:val="0"/>
              <w:spacing w:line="300" w:lineRule="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1904㎡</w:t>
            </w:r>
          </w:p>
        </w:tc>
        <w:tc>
          <w:tcPr>
            <w:tcW w:w="3865" w:type="dxa"/>
            <w:noWrap w:val="0"/>
            <w:vAlign w:val="center"/>
          </w:tcPr>
          <w:p w14:paraId="3FC9B365">
            <w:pPr>
              <w:jc w:val="both"/>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见“3.2房屋维护服务”“3.4保洁服务”</w:t>
            </w:r>
          </w:p>
        </w:tc>
      </w:tr>
      <w:tr w14:paraId="746CE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48" w:type="dxa"/>
            <w:noWrap w:val="0"/>
            <w:vAlign w:val="center"/>
          </w:tcPr>
          <w:p w14:paraId="5ED67EFB">
            <w:pPr>
              <w:jc w:val="both"/>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路灯</w:t>
            </w:r>
          </w:p>
        </w:tc>
        <w:tc>
          <w:tcPr>
            <w:tcW w:w="3006" w:type="dxa"/>
            <w:noWrap w:val="0"/>
            <w:vAlign w:val="center"/>
          </w:tcPr>
          <w:p w14:paraId="646B3F17">
            <w:pPr>
              <w:pageBreakBefore w:val="0"/>
              <w:kinsoku/>
              <w:wordWrap/>
              <w:overflowPunct/>
              <w:topLinePunct w:val="0"/>
              <w:bidi w:val="0"/>
              <w:snapToGrid w:val="0"/>
              <w:spacing w:line="300" w:lineRule="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12个</w:t>
            </w:r>
          </w:p>
        </w:tc>
        <w:tc>
          <w:tcPr>
            <w:tcW w:w="3865" w:type="dxa"/>
            <w:noWrap w:val="0"/>
            <w:vAlign w:val="center"/>
          </w:tcPr>
          <w:p w14:paraId="43837D6A">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kern w:val="2"/>
                <w:sz w:val="32"/>
                <w:szCs w:val="32"/>
                <w:highlight w:val="none"/>
                <w:lang w:val="en-US" w:eastAsia="zh-CN" w:bidi="ar-SA"/>
              </w:rPr>
              <w:t>见“3.4保洁服务”</w:t>
            </w:r>
            <w:r>
              <w:rPr>
                <w:rFonts w:hint="eastAsia" w:ascii="仿宋_GB2312" w:hAnsi="仿宋_GB2312" w:eastAsia="仿宋_GB2312" w:cs="仿宋_GB2312"/>
                <w:color w:val="auto"/>
                <w:sz w:val="32"/>
                <w:szCs w:val="32"/>
                <w:highlight w:val="none"/>
                <w:lang w:val="en-US" w:eastAsia="zh-CN"/>
              </w:rPr>
              <w:t>“3.3共用设施设备维护服务”</w:t>
            </w:r>
          </w:p>
        </w:tc>
      </w:tr>
      <w:tr w14:paraId="6E972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48" w:type="dxa"/>
            <w:noWrap w:val="0"/>
            <w:vAlign w:val="center"/>
          </w:tcPr>
          <w:p w14:paraId="54B21C3D">
            <w:pPr>
              <w:jc w:val="both"/>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垃圾箱</w:t>
            </w:r>
          </w:p>
        </w:tc>
        <w:tc>
          <w:tcPr>
            <w:tcW w:w="3006" w:type="dxa"/>
            <w:noWrap w:val="0"/>
            <w:vAlign w:val="center"/>
          </w:tcPr>
          <w:p w14:paraId="6C7BD8A8">
            <w:pPr>
              <w:pageBreakBefore w:val="0"/>
              <w:kinsoku/>
              <w:wordWrap/>
              <w:overflowPunct/>
              <w:topLinePunct w:val="0"/>
              <w:bidi w:val="0"/>
              <w:snapToGrid w:val="0"/>
              <w:spacing w:line="300" w:lineRule="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16个</w:t>
            </w:r>
          </w:p>
        </w:tc>
        <w:tc>
          <w:tcPr>
            <w:tcW w:w="3865" w:type="dxa"/>
            <w:noWrap w:val="0"/>
            <w:vAlign w:val="center"/>
          </w:tcPr>
          <w:p w14:paraId="74E40FD7">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kern w:val="2"/>
                <w:sz w:val="32"/>
                <w:szCs w:val="32"/>
                <w:highlight w:val="none"/>
                <w:lang w:val="en-US" w:eastAsia="zh-CN" w:bidi="ar-SA"/>
              </w:rPr>
              <w:t>见“3.4保洁服务”</w:t>
            </w:r>
          </w:p>
        </w:tc>
      </w:tr>
      <w:tr w14:paraId="46A68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48" w:type="dxa"/>
            <w:noWrap w:val="0"/>
            <w:vAlign w:val="center"/>
          </w:tcPr>
          <w:p w14:paraId="12C3A222">
            <w:pPr>
              <w:jc w:val="both"/>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监控</w:t>
            </w:r>
          </w:p>
        </w:tc>
        <w:tc>
          <w:tcPr>
            <w:tcW w:w="3006" w:type="dxa"/>
            <w:noWrap w:val="0"/>
            <w:vAlign w:val="center"/>
          </w:tcPr>
          <w:p w14:paraId="08CDE5DC">
            <w:pPr>
              <w:pageBreakBefore w:val="0"/>
              <w:kinsoku/>
              <w:wordWrap/>
              <w:overflowPunct/>
              <w:topLinePunct w:val="0"/>
              <w:bidi w:val="0"/>
              <w:snapToGrid w:val="0"/>
              <w:spacing w:line="300" w:lineRule="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54个</w:t>
            </w:r>
          </w:p>
        </w:tc>
        <w:tc>
          <w:tcPr>
            <w:tcW w:w="3865" w:type="dxa"/>
            <w:noWrap w:val="0"/>
            <w:vAlign w:val="center"/>
          </w:tcPr>
          <w:p w14:paraId="5EEE3788">
            <w:pPr>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kern w:val="2"/>
                <w:sz w:val="32"/>
                <w:szCs w:val="32"/>
                <w:highlight w:val="none"/>
                <w:lang w:val="en-US" w:eastAsia="zh-CN" w:bidi="ar-SA"/>
              </w:rPr>
              <w:t>见“3.4保洁服务”</w:t>
            </w:r>
            <w:r>
              <w:rPr>
                <w:rFonts w:hint="eastAsia" w:ascii="仿宋_GB2312" w:hAnsi="仿宋_GB2312" w:eastAsia="仿宋_GB2312" w:cs="仿宋_GB2312"/>
                <w:color w:val="auto"/>
                <w:sz w:val="32"/>
                <w:szCs w:val="32"/>
                <w:highlight w:val="none"/>
                <w:lang w:val="en-US" w:eastAsia="zh-CN"/>
              </w:rPr>
              <w:t>“3.3共用设施设备维护服务”</w:t>
            </w:r>
          </w:p>
        </w:tc>
      </w:tr>
    </w:tbl>
    <w:p w14:paraId="7522DA4B">
      <w:pPr>
        <w:pStyle w:val="3"/>
        <w:bidi w:val="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3.物业管理服务内容及标准</w:t>
      </w:r>
    </w:p>
    <w:p w14:paraId="2E935065">
      <w:pPr>
        <w:pageBreakBefore w:val="0"/>
        <w:kinsoku/>
        <w:wordWrap/>
        <w:overflowPunct/>
        <w:topLinePunct w:val="0"/>
        <w:bidi w:val="0"/>
        <w:snapToGrid w:val="0"/>
        <w:spacing w:line="300" w:lineRule="auto"/>
        <w:ind w:firstLine="640" w:firstLineChars="200"/>
        <w:outlineLvl w:val="9"/>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kern w:val="2"/>
          <w:sz w:val="32"/>
          <w:szCs w:val="32"/>
          <w:highlight w:val="none"/>
          <w:u w:val="none"/>
          <w:lang w:val="en-US" w:eastAsia="zh-CN" w:bidi="ar-SA"/>
        </w:rPr>
        <w:t>物业管理服务包括基本服务、房屋维护服务、共用设施设备维护服务、保洁服务、绿化服务、保安服务、会议服务等。</w:t>
      </w:r>
    </w:p>
    <w:bookmarkEnd w:id="1"/>
    <w:bookmarkEnd w:id="2"/>
    <w:p w14:paraId="1864DAE9">
      <w:pPr>
        <w:pStyle w:val="4"/>
        <w:numPr>
          <w:ilvl w:val="2"/>
          <w:numId w:val="0"/>
        </w:numPr>
        <w:ind w:leftChars="0" w:firstLine="640" w:firstLineChars="200"/>
        <w:rPr>
          <w:rFonts w:hint="eastAsia" w:ascii="仿宋_GB2312" w:hAnsi="仿宋_GB2312" w:eastAsia="仿宋_GB2312" w:cs="仿宋_GB2312"/>
          <w:kern w:val="2"/>
          <w:sz w:val="32"/>
          <w:szCs w:val="32"/>
          <w:highlight w:val="none"/>
          <w:lang w:val="en-US" w:eastAsia="zh-CN" w:bidi="ar"/>
        </w:rPr>
      </w:pPr>
      <w:bookmarkStart w:id="3" w:name="_Toc26485"/>
      <w:bookmarkStart w:id="4" w:name="_Toc10498"/>
      <w:bookmarkStart w:id="5" w:name="_Toc26156"/>
      <w:r>
        <w:rPr>
          <w:rFonts w:hint="eastAsia" w:ascii="仿宋_GB2312" w:hAnsi="仿宋_GB2312" w:eastAsia="仿宋_GB2312" w:cs="仿宋_GB2312"/>
          <w:sz w:val="32"/>
          <w:szCs w:val="32"/>
          <w:highlight w:val="none"/>
          <w:lang w:val="en-US" w:eastAsia="zh-CN"/>
        </w:rPr>
        <w:t>3.</w:t>
      </w:r>
      <w:bookmarkEnd w:id="3"/>
      <w:bookmarkEnd w:id="4"/>
      <w:bookmarkEnd w:id="5"/>
      <w:r>
        <w:rPr>
          <w:rFonts w:hint="eastAsia" w:ascii="仿宋_GB2312" w:hAnsi="仿宋_GB2312" w:eastAsia="仿宋_GB2312" w:cs="仿宋_GB2312"/>
          <w:kern w:val="2"/>
          <w:sz w:val="32"/>
          <w:szCs w:val="32"/>
          <w:highlight w:val="none"/>
          <w:lang w:val="en-US" w:eastAsia="zh-CN" w:bidi="ar"/>
        </w:rPr>
        <w:t>1基本服务</w:t>
      </w:r>
    </w:p>
    <w:tbl>
      <w:tblPr>
        <w:tblStyle w:val="24"/>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970"/>
        <w:gridCol w:w="5823"/>
      </w:tblGrid>
      <w:tr w14:paraId="0E91A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noWrap w:val="0"/>
            <w:vAlign w:val="center"/>
          </w:tcPr>
          <w:p w14:paraId="154246FD">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序号</w:t>
            </w:r>
          </w:p>
        </w:tc>
        <w:tc>
          <w:tcPr>
            <w:tcW w:w="2173" w:type="dxa"/>
            <w:noWrap w:val="0"/>
            <w:vAlign w:val="center"/>
          </w:tcPr>
          <w:p w14:paraId="353302D4">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color w:val="auto"/>
                <w:kern w:val="0"/>
                <w:sz w:val="32"/>
                <w:szCs w:val="32"/>
                <w:highlight w:val="none"/>
              </w:rPr>
            </w:pPr>
            <w:r>
              <w:rPr>
                <w:rFonts w:hint="eastAsia" w:ascii="仿宋_GB2312" w:hAnsi="仿宋_GB2312" w:eastAsia="仿宋_GB2312" w:cs="仿宋_GB2312"/>
                <w:b/>
                <w:bCs/>
                <w:color w:val="auto"/>
                <w:kern w:val="0"/>
                <w:sz w:val="32"/>
                <w:szCs w:val="32"/>
                <w:highlight w:val="none"/>
              </w:rPr>
              <w:t>服务内容</w:t>
            </w:r>
          </w:p>
        </w:tc>
        <w:tc>
          <w:tcPr>
            <w:tcW w:w="6423" w:type="dxa"/>
            <w:noWrap w:val="0"/>
            <w:vAlign w:val="center"/>
          </w:tcPr>
          <w:p w14:paraId="0FBC52A8">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服务标准</w:t>
            </w:r>
          </w:p>
        </w:tc>
      </w:tr>
      <w:tr w14:paraId="03774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noWrap w:val="0"/>
            <w:vAlign w:val="center"/>
          </w:tcPr>
          <w:p w14:paraId="3B5FB6AC">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w:t>
            </w:r>
          </w:p>
        </w:tc>
        <w:tc>
          <w:tcPr>
            <w:tcW w:w="2173" w:type="dxa"/>
            <w:noWrap w:val="0"/>
            <w:vAlign w:val="center"/>
          </w:tcPr>
          <w:p w14:paraId="47155EDA">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目标与责任</w:t>
            </w:r>
          </w:p>
        </w:tc>
        <w:tc>
          <w:tcPr>
            <w:tcW w:w="6423" w:type="dxa"/>
            <w:noWrap w:val="0"/>
            <w:vAlign w:val="center"/>
          </w:tcPr>
          <w:p w14:paraId="76C2959E">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（1）结合采购人要求及物业服务实际情况，制定年度管理目标，明确责任分工，并制定配套实施方案。</w:t>
            </w:r>
          </w:p>
        </w:tc>
      </w:tr>
      <w:tr w14:paraId="07A01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restart"/>
            <w:noWrap w:val="0"/>
            <w:vAlign w:val="center"/>
          </w:tcPr>
          <w:p w14:paraId="297DD905">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w:t>
            </w:r>
          </w:p>
        </w:tc>
        <w:tc>
          <w:tcPr>
            <w:tcW w:w="2173" w:type="dxa"/>
            <w:vMerge w:val="restart"/>
            <w:noWrap w:val="0"/>
            <w:vAlign w:val="center"/>
          </w:tcPr>
          <w:p w14:paraId="6E72A727">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服务人员要求</w:t>
            </w:r>
          </w:p>
        </w:tc>
        <w:tc>
          <w:tcPr>
            <w:tcW w:w="6423" w:type="dxa"/>
            <w:noWrap w:val="0"/>
            <w:vAlign w:val="center"/>
          </w:tcPr>
          <w:p w14:paraId="3FCFCAD9">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（1）每季度至少开展1次岗位技能、职业素质、服务知识、客户文化、绿色节能环保等教育培训，并进行适当形式的考核。</w:t>
            </w:r>
          </w:p>
        </w:tc>
      </w:tr>
      <w:tr w14:paraId="24F1A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continue"/>
            <w:noWrap w:val="0"/>
            <w:vAlign w:val="center"/>
          </w:tcPr>
          <w:p w14:paraId="4780ADA0">
            <w:pPr>
              <w:bidi w:val="0"/>
              <w:jc w:val="center"/>
              <w:rPr>
                <w:rFonts w:hint="eastAsia" w:ascii="仿宋_GB2312" w:hAnsi="仿宋_GB2312" w:eastAsia="仿宋_GB2312" w:cs="仿宋_GB2312"/>
                <w:sz w:val="32"/>
                <w:szCs w:val="32"/>
                <w:highlight w:val="none"/>
                <w:lang w:val="en-US" w:eastAsia="zh-CN"/>
              </w:rPr>
            </w:pPr>
          </w:p>
        </w:tc>
        <w:tc>
          <w:tcPr>
            <w:tcW w:w="2173" w:type="dxa"/>
            <w:vMerge w:val="continue"/>
            <w:noWrap w:val="0"/>
            <w:vAlign w:val="center"/>
          </w:tcPr>
          <w:p w14:paraId="75FA49F5">
            <w:pPr>
              <w:bidi w:val="0"/>
              <w:rPr>
                <w:rFonts w:hint="eastAsia" w:ascii="仿宋_GB2312" w:hAnsi="仿宋_GB2312" w:eastAsia="仿宋_GB2312" w:cs="仿宋_GB2312"/>
                <w:sz w:val="32"/>
                <w:szCs w:val="32"/>
                <w:highlight w:val="none"/>
                <w:lang w:val="en-US" w:eastAsia="zh-CN"/>
              </w:rPr>
            </w:pPr>
          </w:p>
        </w:tc>
        <w:tc>
          <w:tcPr>
            <w:tcW w:w="6423" w:type="dxa"/>
            <w:noWrap w:val="0"/>
            <w:vAlign w:val="center"/>
          </w:tcPr>
          <w:p w14:paraId="16C0C3E3">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（2）根据采购人要求对服务人员进行从业资格审查，审查结果向采购人报备。</w:t>
            </w:r>
          </w:p>
        </w:tc>
      </w:tr>
      <w:tr w14:paraId="1B4BD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continue"/>
            <w:noWrap w:val="0"/>
            <w:vAlign w:val="center"/>
          </w:tcPr>
          <w:p w14:paraId="4068ED23">
            <w:pPr>
              <w:bidi w:val="0"/>
              <w:jc w:val="center"/>
              <w:rPr>
                <w:rFonts w:hint="eastAsia" w:ascii="仿宋_GB2312" w:hAnsi="仿宋_GB2312" w:eastAsia="仿宋_GB2312" w:cs="仿宋_GB2312"/>
                <w:sz w:val="32"/>
                <w:szCs w:val="32"/>
                <w:highlight w:val="none"/>
                <w:lang w:val="en-US" w:eastAsia="zh-CN"/>
              </w:rPr>
            </w:pPr>
          </w:p>
        </w:tc>
        <w:tc>
          <w:tcPr>
            <w:tcW w:w="2173" w:type="dxa"/>
            <w:vMerge w:val="continue"/>
            <w:noWrap w:val="0"/>
            <w:vAlign w:val="center"/>
          </w:tcPr>
          <w:p w14:paraId="5DA0F4EE">
            <w:pPr>
              <w:bidi w:val="0"/>
              <w:rPr>
                <w:rFonts w:hint="eastAsia" w:ascii="仿宋_GB2312" w:hAnsi="仿宋_GB2312" w:eastAsia="仿宋_GB2312" w:cs="仿宋_GB2312"/>
                <w:sz w:val="32"/>
                <w:szCs w:val="32"/>
                <w:highlight w:val="none"/>
                <w:lang w:val="en-US" w:eastAsia="zh-CN"/>
              </w:rPr>
            </w:pPr>
          </w:p>
        </w:tc>
        <w:tc>
          <w:tcPr>
            <w:tcW w:w="6423" w:type="dxa"/>
            <w:noWrap w:val="0"/>
            <w:vAlign w:val="center"/>
          </w:tcPr>
          <w:p w14:paraId="30B07D10">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w:t>
            </w:r>
            <w:r>
              <w:rPr>
                <w:rFonts w:hint="eastAsia" w:ascii="仿宋_GB2312" w:hAnsi="仿宋_GB2312" w:eastAsia="仿宋_GB2312" w:cs="仿宋_GB2312"/>
                <w:bCs/>
                <w:color w:val="auto"/>
                <w:sz w:val="32"/>
                <w:szCs w:val="32"/>
                <w:highlight w:val="none"/>
                <w:lang w:val="en-US" w:eastAsia="zh-CN"/>
              </w:rPr>
              <w:t>服务人员的年龄、学历、工作经验及资格条件须与所在岗位能力要求相匹配，到岗前须经过必要的岗前培训以达到岗位能力要求，国家、行业规定应取得职业资格证书或特种作业证书的，应按规定持证上岗。</w:t>
            </w:r>
          </w:p>
        </w:tc>
      </w:tr>
      <w:tr w14:paraId="323FF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continue"/>
            <w:noWrap w:val="0"/>
            <w:vAlign w:val="center"/>
          </w:tcPr>
          <w:p w14:paraId="5FBBA214">
            <w:pPr>
              <w:bidi w:val="0"/>
              <w:jc w:val="center"/>
              <w:rPr>
                <w:rFonts w:hint="eastAsia" w:ascii="仿宋_GB2312" w:hAnsi="仿宋_GB2312" w:eastAsia="仿宋_GB2312" w:cs="仿宋_GB2312"/>
                <w:sz w:val="32"/>
                <w:szCs w:val="32"/>
                <w:highlight w:val="none"/>
                <w:lang w:val="en-US" w:eastAsia="zh-CN"/>
              </w:rPr>
            </w:pPr>
          </w:p>
        </w:tc>
        <w:tc>
          <w:tcPr>
            <w:tcW w:w="2173" w:type="dxa"/>
            <w:vMerge w:val="continue"/>
            <w:noWrap w:val="0"/>
            <w:vAlign w:val="center"/>
          </w:tcPr>
          <w:p w14:paraId="63B1973A">
            <w:pPr>
              <w:bidi w:val="0"/>
              <w:rPr>
                <w:rFonts w:hint="eastAsia" w:ascii="仿宋_GB2312" w:hAnsi="仿宋_GB2312" w:eastAsia="仿宋_GB2312" w:cs="仿宋_GB2312"/>
                <w:sz w:val="32"/>
                <w:szCs w:val="32"/>
                <w:highlight w:val="none"/>
                <w:lang w:val="en-US" w:eastAsia="zh-CN"/>
              </w:rPr>
            </w:pPr>
          </w:p>
        </w:tc>
        <w:tc>
          <w:tcPr>
            <w:tcW w:w="6423" w:type="dxa"/>
            <w:noWrap w:val="0"/>
            <w:vAlign w:val="center"/>
          </w:tcPr>
          <w:p w14:paraId="6652C9A1">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（4）</w:t>
            </w:r>
            <w:r>
              <w:rPr>
                <w:rFonts w:hint="eastAsia" w:ascii="仿宋_GB2312" w:hAnsi="仿宋_GB2312" w:eastAsia="仿宋_GB2312" w:cs="仿宋_GB2312"/>
                <w:bCs/>
                <w:color w:val="auto"/>
                <w:sz w:val="32"/>
                <w:szCs w:val="32"/>
                <w:highlight w:val="none"/>
                <w:lang w:val="en-US" w:eastAsia="zh-CN"/>
              </w:rPr>
              <w:t>如采购人认为服务人员不适应岗位要求或存在其他影响工作的，可要求供应商进行调换。如因供应商原因对服务人员进行调换，须经采购人同意，更换比例不得超过本项目服务人员总数的20%。本项目服务人员不得在其他项目兼职。</w:t>
            </w:r>
          </w:p>
        </w:tc>
      </w:tr>
      <w:tr w14:paraId="549BC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continue"/>
            <w:noWrap w:val="0"/>
            <w:vAlign w:val="center"/>
          </w:tcPr>
          <w:p w14:paraId="2BD605A6">
            <w:pPr>
              <w:bidi w:val="0"/>
              <w:jc w:val="center"/>
              <w:rPr>
                <w:rFonts w:hint="eastAsia" w:ascii="仿宋_GB2312" w:hAnsi="仿宋_GB2312" w:eastAsia="仿宋_GB2312" w:cs="仿宋_GB2312"/>
                <w:sz w:val="32"/>
                <w:szCs w:val="32"/>
                <w:highlight w:val="none"/>
                <w:lang w:val="en-US" w:eastAsia="zh-CN"/>
              </w:rPr>
            </w:pPr>
          </w:p>
        </w:tc>
        <w:tc>
          <w:tcPr>
            <w:tcW w:w="2173" w:type="dxa"/>
            <w:vMerge w:val="continue"/>
            <w:noWrap w:val="0"/>
            <w:vAlign w:val="center"/>
          </w:tcPr>
          <w:p w14:paraId="316C0C31">
            <w:pPr>
              <w:bidi w:val="0"/>
              <w:rPr>
                <w:rFonts w:hint="eastAsia" w:ascii="仿宋_GB2312" w:hAnsi="仿宋_GB2312" w:eastAsia="仿宋_GB2312" w:cs="仿宋_GB2312"/>
                <w:sz w:val="32"/>
                <w:szCs w:val="32"/>
                <w:highlight w:val="none"/>
                <w:lang w:val="en-US" w:eastAsia="zh-CN"/>
              </w:rPr>
            </w:pPr>
          </w:p>
        </w:tc>
        <w:tc>
          <w:tcPr>
            <w:tcW w:w="6423" w:type="dxa"/>
            <w:noWrap w:val="0"/>
            <w:vAlign w:val="center"/>
          </w:tcPr>
          <w:p w14:paraId="19CACC08">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（5）着装分类统一，佩戴标识。仪容整洁、姿态端正、举止文明。用语文明礼貌，态度温和耐心。</w:t>
            </w:r>
          </w:p>
        </w:tc>
      </w:tr>
      <w:tr w14:paraId="36A33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restart"/>
            <w:noWrap w:val="0"/>
            <w:vAlign w:val="center"/>
          </w:tcPr>
          <w:p w14:paraId="75218007">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w:t>
            </w:r>
          </w:p>
        </w:tc>
        <w:tc>
          <w:tcPr>
            <w:tcW w:w="2173" w:type="dxa"/>
            <w:vMerge w:val="restart"/>
            <w:noWrap w:val="0"/>
            <w:vAlign w:val="center"/>
          </w:tcPr>
          <w:p w14:paraId="60D71794">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保密和思想政治教育</w:t>
            </w:r>
          </w:p>
        </w:tc>
        <w:tc>
          <w:tcPr>
            <w:tcW w:w="6423" w:type="dxa"/>
            <w:noWrap w:val="0"/>
            <w:vAlign w:val="center"/>
          </w:tcPr>
          <w:p w14:paraId="609C4ABA">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（1）建立保密管理制度。制度内容应包括但不限于：①明确重点要害岗位保密职责。②对涉密工作岗位的保密要求。</w:t>
            </w:r>
          </w:p>
        </w:tc>
      </w:tr>
      <w:tr w14:paraId="194F0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continue"/>
            <w:noWrap w:val="0"/>
            <w:vAlign w:val="center"/>
          </w:tcPr>
          <w:p w14:paraId="5EFC9252">
            <w:pPr>
              <w:bidi w:val="0"/>
              <w:rPr>
                <w:rFonts w:hint="eastAsia" w:ascii="仿宋_GB2312" w:hAnsi="仿宋_GB2312" w:eastAsia="仿宋_GB2312" w:cs="仿宋_GB2312"/>
                <w:sz w:val="32"/>
                <w:szCs w:val="32"/>
                <w:highlight w:val="none"/>
                <w:lang w:val="en-US" w:eastAsia="zh-CN"/>
              </w:rPr>
            </w:pPr>
          </w:p>
        </w:tc>
        <w:tc>
          <w:tcPr>
            <w:tcW w:w="2173" w:type="dxa"/>
            <w:vMerge w:val="continue"/>
            <w:noWrap w:val="0"/>
            <w:vAlign w:val="center"/>
          </w:tcPr>
          <w:p w14:paraId="6B91090C">
            <w:pPr>
              <w:bidi w:val="0"/>
              <w:rPr>
                <w:rFonts w:hint="eastAsia" w:ascii="仿宋_GB2312" w:hAnsi="仿宋_GB2312" w:eastAsia="仿宋_GB2312" w:cs="仿宋_GB2312"/>
                <w:sz w:val="32"/>
                <w:szCs w:val="32"/>
                <w:highlight w:val="none"/>
                <w:lang w:val="en-US" w:eastAsia="zh-CN"/>
              </w:rPr>
            </w:pPr>
          </w:p>
        </w:tc>
        <w:tc>
          <w:tcPr>
            <w:tcW w:w="6423" w:type="dxa"/>
            <w:noWrap w:val="0"/>
            <w:vAlign w:val="center"/>
          </w:tcPr>
          <w:p w14:paraId="3C85463D">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（2）根据采购人要求与涉密工作岗位的服务人员签订保密协议。保密协议应向采购人报备。</w:t>
            </w:r>
          </w:p>
        </w:tc>
      </w:tr>
      <w:tr w14:paraId="201F0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continue"/>
            <w:noWrap w:val="0"/>
            <w:vAlign w:val="center"/>
          </w:tcPr>
          <w:p w14:paraId="40EE5EDF">
            <w:pPr>
              <w:bidi w:val="0"/>
              <w:rPr>
                <w:rFonts w:hint="eastAsia" w:ascii="仿宋_GB2312" w:hAnsi="仿宋_GB2312" w:eastAsia="仿宋_GB2312" w:cs="仿宋_GB2312"/>
                <w:sz w:val="32"/>
                <w:szCs w:val="32"/>
                <w:highlight w:val="none"/>
                <w:lang w:val="en-US" w:eastAsia="zh-CN"/>
              </w:rPr>
            </w:pPr>
          </w:p>
        </w:tc>
        <w:tc>
          <w:tcPr>
            <w:tcW w:w="2173" w:type="dxa"/>
            <w:vMerge w:val="continue"/>
            <w:noWrap w:val="0"/>
            <w:vAlign w:val="center"/>
          </w:tcPr>
          <w:p w14:paraId="0E234EE7">
            <w:pPr>
              <w:bidi w:val="0"/>
              <w:rPr>
                <w:rFonts w:hint="eastAsia" w:ascii="仿宋_GB2312" w:hAnsi="仿宋_GB2312" w:eastAsia="仿宋_GB2312" w:cs="仿宋_GB2312"/>
                <w:sz w:val="32"/>
                <w:szCs w:val="32"/>
                <w:highlight w:val="none"/>
                <w:lang w:val="en-US" w:eastAsia="zh-CN"/>
              </w:rPr>
            </w:pPr>
          </w:p>
        </w:tc>
        <w:tc>
          <w:tcPr>
            <w:tcW w:w="6423" w:type="dxa"/>
            <w:noWrap w:val="0"/>
            <w:vAlign w:val="center"/>
          </w:tcPr>
          <w:p w14:paraId="38E7FBCD">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每季度至少开展1次对服务人员进行保密、思想政治教育的培训，提高服务人员保密意识和思想政治意识。新入职员工应接受保密、思想政治教育培训，进行必要的人员经历审查，合格后签订保密协议方可上岗。</w:t>
            </w:r>
          </w:p>
        </w:tc>
      </w:tr>
      <w:tr w14:paraId="3FB9C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continue"/>
            <w:noWrap w:val="0"/>
            <w:vAlign w:val="center"/>
          </w:tcPr>
          <w:p w14:paraId="3E02157A">
            <w:pPr>
              <w:bidi w:val="0"/>
              <w:rPr>
                <w:rFonts w:hint="eastAsia" w:ascii="仿宋_GB2312" w:hAnsi="仿宋_GB2312" w:eastAsia="仿宋_GB2312" w:cs="仿宋_GB2312"/>
                <w:sz w:val="32"/>
                <w:szCs w:val="32"/>
                <w:highlight w:val="none"/>
                <w:lang w:val="en-US" w:eastAsia="zh-CN"/>
              </w:rPr>
            </w:pPr>
          </w:p>
        </w:tc>
        <w:tc>
          <w:tcPr>
            <w:tcW w:w="2173" w:type="dxa"/>
            <w:vMerge w:val="continue"/>
            <w:noWrap w:val="0"/>
            <w:vAlign w:val="center"/>
          </w:tcPr>
          <w:p w14:paraId="78394834">
            <w:pPr>
              <w:bidi w:val="0"/>
              <w:rPr>
                <w:rFonts w:hint="eastAsia" w:ascii="仿宋_GB2312" w:hAnsi="仿宋_GB2312" w:eastAsia="仿宋_GB2312" w:cs="仿宋_GB2312"/>
                <w:sz w:val="32"/>
                <w:szCs w:val="32"/>
                <w:highlight w:val="none"/>
                <w:lang w:val="en-US" w:eastAsia="zh-CN"/>
              </w:rPr>
            </w:pPr>
          </w:p>
        </w:tc>
        <w:tc>
          <w:tcPr>
            <w:tcW w:w="6423" w:type="dxa"/>
            <w:noWrap w:val="0"/>
            <w:vAlign w:val="center"/>
          </w:tcPr>
          <w:p w14:paraId="32D9EF68">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（4）发现服务人员违法违规或重大过失，及时报告采购人，并采取必要补救措施。</w:t>
            </w:r>
          </w:p>
        </w:tc>
      </w:tr>
      <w:tr w14:paraId="7861A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restart"/>
            <w:noWrap w:val="0"/>
            <w:vAlign w:val="center"/>
          </w:tcPr>
          <w:p w14:paraId="4E077665">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w:t>
            </w:r>
          </w:p>
        </w:tc>
        <w:tc>
          <w:tcPr>
            <w:tcW w:w="2173" w:type="dxa"/>
            <w:vMerge w:val="restart"/>
            <w:noWrap w:val="0"/>
            <w:vAlign w:val="center"/>
          </w:tcPr>
          <w:p w14:paraId="07C35B5C">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档案管理</w:t>
            </w:r>
          </w:p>
        </w:tc>
        <w:tc>
          <w:tcPr>
            <w:tcW w:w="6423" w:type="dxa"/>
            <w:noWrap w:val="0"/>
            <w:vAlign w:val="center"/>
          </w:tcPr>
          <w:p w14:paraId="7FF80A88">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（1）建立物业信息，准确、及时地对文件资料和服务记录进行归档保存，并确保其物理安全。</w:t>
            </w:r>
          </w:p>
        </w:tc>
      </w:tr>
      <w:tr w14:paraId="3DD33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continue"/>
            <w:noWrap w:val="0"/>
            <w:vAlign w:val="center"/>
          </w:tcPr>
          <w:p w14:paraId="01402C29">
            <w:pPr>
              <w:keepNext w:val="0"/>
              <w:keepLines w:val="0"/>
              <w:pageBreakBefore w:val="0"/>
              <w:widowControl/>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3" w:type="dxa"/>
            <w:vMerge w:val="continue"/>
            <w:noWrap w:val="0"/>
            <w:vAlign w:val="center"/>
          </w:tcPr>
          <w:p w14:paraId="0B9ABD2E">
            <w:pPr>
              <w:keepNext w:val="0"/>
              <w:keepLines w:val="0"/>
              <w:pageBreakBefore w:val="0"/>
              <w:widowControl/>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423" w:type="dxa"/>
            <w:noWrap w:val="0"/>
            <w:vAlign w:val="center"/>
          </w:tcPr>
          <w:p w14:paraId="402155AD">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档案和记录齐全，包括但不限于：①采购人建议与投诉等。教育培训和考核记录。保密、思想政治教育培训记录。②房屋维护服务：房屋台账、使用说明、房屋装修、维保记录等。③共用设施设备维护服务：设备台账、设备卡、使用说明、维保记录、巡查记录、</w:t>
            </w:r>
            <w:r>
              <w:rPr>
                <w:rFonts w:hint="eastAsia" w:ascii="仿宋_GB2312" w:hAnsi="仿宋_GB2312" w:eastAsia="仿宋_GB2312" w:cs="仿宋_GB2312"/>
                <w:color w:val="auto"/>
                <w:kern w:val="0"/>
                <w:sz w:val="32"/>
                <w:szCs w:val="32"/>
                <w:highlight w:val="none"/>
              </w:rPr>
              <w:t>设施设备安全运行、设施设备定期巡检、维护保养、维修档案</w:t>
            </w:r>
            <w:r>
              <w:rPr>
                <w:rFonts w:hint="eastAsia" w:ascii="仿宋_GB2312" w:hAnsi="仿宋_GB2312" w:eastAsia="仿宋_GB2312" w:cs="仿宋_GB2312"/>
                <w:b w:val="0"/>
                <w:bCs w:val="0"/>
                <w:color w:val="auto"/>
                <w:kern w:val="0"/>
                <w:sz w:val="32"/>
                <w:szCs w:val="32"/>
                <w:highlight w:val="none"/>
                <w:lang w:val="en-US" w:eastAsia="zh-CN"/>
              </w:rPr>
              <w:t>等。④保安服务：监控记录、突发事件演习与处置记录等。⑤保洁服务：工作日志、清洁检查表、用品清单、客户反馈表等。⑥绿化服务：绿化总平面图、清洁整改记录、消杀记录等。⑦其他：客户信息、财务明细、合同协议、信报信息登记、大件物品进出登记等。</w:t>
            </w:r>
          </w:p>
        </w:tc>
      </w:tr>
      <w:tr w14:paraId="02C0C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continue"/>
            <w:noWrap w:val="0"/>
            <w:vAlign w:val="center"/>
          </w:tcPr>
          <w:p w14:paraId="1ADDF073">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Chars="0"/>
              <w:textAlignment w:val="auto"/>
              <w:rPr>
                <w:rFonts w:hint="eastAsia" w:ascii="仿宋_GB2312" w:hAnsi="仿宋_GB2312" w:eastAsia="仿宋_GB2312" w:cs="仿宋_GB2312"/>
                <w:sz w:val="32"/>
                <w:szCs w:val="32"/>
                <w:highlight w:val="none"/>
                <w:lang w:val="en-US" w:eastAsia="zh-CN"/>
              </w:rPr>
            </w:pPr>
          </w:p>
        </w:tc>
        <w:tc>
          <w:tcPr>
            <w:tcW w:w="2173" w:type="dxa"/>
            <w:vMerge w:val="continue"/>
            <w:noWrap w:val="0"/>
            <w:vAlign w:val="center"/>
          </w:tcPr>
          <w:p w14:paraId="2A89F6CD">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Chars="0"/>
              <w:textAlignment w:val="auto"/>
              <w:rPr>
                <w:rFonts w:hint="eastAsia" w:ascii="仿宋_GB2312" w:hAnsi="仿宋_GB2312" w:eastAsia="仿宋_GB2312" w:cs="仿宋_GB2312"/>
                <w:sz w:val="32"/>
                <w:szCs w:val="32"/>
                <w:highlight w:val="none"/>
                <w:lang w:val="en-US" w:eastAsia="zh-CN"/>
              </w:rPr>
            </w:pPr>
          </w:p>
        </w:tc>
        <w:tc>
          <w:tcPr>
            <w:tcW w:w="6423" w:type="dxa"/>
            <w:noWrap w:val="0"/>
            <w:vAlign w:val="center"/>
          </w:tcPr>
          <w:p w14:paraId="06DA0204">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（3）遵守采购人的信息、档案资料保密要求，未经许可，不得将建筑物平面图等资料转作其他用途或向其他单位、个人提供。</w:t>
            </w:r>
          </w:p>
        </w:tc>
      </w:tr>
      <w:tr w14:paraId="57CFB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continue"/>
            <w:noWrap w:val="0"/>
            <w:vAlign w:val="center"/>
          </w:tcPr>
          <w:p w14:paraId="0D058793">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Chars="0"/>
              <w:textAlignment w:val="auto"/>
              <w:rPr>
                <w:rFonts w:hint="eastAsia" w:ascii="仿宋_GB2312" w:hAnsi="仿宋_GB2312" w:eastAsia="仿宋_GB2312" w:cs="仿宋_GB2312"/>
                <w:sz w:val="32"/>
                <w:szCs w:val="32"/>
                <w:highlight w:val="none"/>
                <w:lang w:val="en-US" w:eastAsia="zh-CN"/>
              </w:rPr>
            </w:pPr>
          </w:p>
        </w:tc>
        <w:tc>
          <w:tcPr>
            <w:tcW w:w="2173" w:type="dxa"/>
            <w:vMerge w:val="continue"/>
            <w:noWrap w:val="0"/>
            <w:vAlign w:val="center"/>
          </w:tcPr>
          <w:p w14:paraId="1C40A53D">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Chars="0"/>
              <w:textAlignment w:val="auto"/>
              <w:rPr>
                <w:rFonts w:hint="eastAsia" w:ascii="仿宋_GB2312" w:hAnsi="仿宋_GB2312" w:eastAsia="仿宋_GB2312" w:cs="仿宋_GB2312"/>
                <w:sz w:val="32"/>
                <w:szCs w:val="32"/>
                <w:highlight w:val="none"/>
                <w:lang w:val="en-US" w:eastAsia="zh-CN"/>
              </w:rPr>
            </w:pPr>
          </w:p>
        </w:tc>
        <w:tc>
          <w:tcPr>
            <w:tcW w:w="6423" w:type="dxa"/>
            <w:noWrap w:val="0"/>
            <w:vAlign w:val="center"/>
          </w:tcPr>
          <w:p w14:paraId="24F8A748">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（4）履约结束后，相关资料交还采购人，采购人按政府采购相关规定存档。</w:t>
            </w:r>
          </w:p>
        </w:tc>
      </w:tr>
      <w:tr w14:paraId="4491F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restart"/>
            <w:noWrap w:val="0"/>
            <w:vAlign w:val="center"/>
          </w:tcPr>
          <w:p w14:paraId="306BD69C">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5</w:t>
            </w:r>
          </w:p>
        </w:tc>
        <w:tc>
          <w:tcPr>
            <w:tcW w:w="2173" w:type="dxa"/>
            <w:vMerge w:val="restart"/>
            <w:noWrap w:val="0"/>
            <w:vAlign w:val="center"/>
          </w:tcPr>
          <w:p w14:paraId="41B58F4F">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服务改进</w:t>
            </w:r>
          </w:p>
          <w:p w14:paraId="18ACEC82">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423" w:type="dxa"/>
            <w:noWrap w:val="0"/>
            <w:vAlign w:val="center"/>
          </w:tcPr>
          <w:p w14:paraId="42BA7426">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rPr>
              <w:t>（1）明确负责人，定期对物业服务过程进行自查，结合反馈意见与评价结果采取改进措施，持续提升管理与服务水平。</w:t>
            </w:r>
          </w:p>
        </w:tc>
      </w:tr>
      <w:tr w14:paraId="4DDAF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continue"/>
            <w:noWrap w:val="0"/>
            <w:vAlign w:val="center"/>
          </w:tcPr>
          <w:p w14:paraId="21F9C74E">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Chars="0"/>
              <w:jc w:val="center"/>
              <w:textAlignment w:val="auto"/>
              <w:rPr>
                <w:rFonts w:hint="eastAsia" w:ascii="仿宋_GB2312" w:hAnsi="仿宋_GB2312" w:eastAsia="仿宋_GB2312" w:cs="仿宋_GB2312"/>
                <w:sz w:val="32"/>
                <w:szCs w:val="32"/>
                <w:highlight w:val="none"/>
                <w:lang w:val="en-US" w:eastAsia="zh-CN"/>
              </w:rPr>
            </w:pPr>
          </w:p>
        </w:tc>
        <w:tc>
          <w:tcPr>
            <w:tcW w:w="2173" w:type="dxa"/>
            <w:vMerge w:val="continue"/>
            <w:noWrap w:val="0"/>
            <w:vAlign w:val="center"/>
          </w:tcPr>
          <w:p w14:paraId="01179389">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Chars="0"/>
              <w:textAlignment w:val="auto"/>
              <w:rPr>
                <w:rFonts w:hint="eastAsia" w:ascii="仿宋_GB2312" w:hAnsi="仿宋_GB2312" w:eastAsia="仿宋_GB2312" w:cs="仿宋_GB2312"/>
                <w:sz w:val="32"/>
                <w:szCs w:val="32"/>
                <w:highlight w:val="none"/>
                <w:lang w:val="en-US" w:eastAsia="zh-CN"/>
              </w:rPr>
            </w:pPr>
          </w:p>
        </w:tc>
        <w:tc>
          <w:tcPr>
            <w:tcW w:w="6423" w:type="dxa"/>
            <w:noWrap w:val="0"/>
            <w:vAlign w:val="center"/>
          </w:tcPr>
          <w:p w14:paraId="6FD4411B">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（2）对不合格服务进行控制，对不合格服务的原因进行识别和分析，及时采取纠正措施，消除不合格的原因，防止不合格再发生。</w:t>
            </w:r>
          </w:p>
        </w:tc>
      </w:tr>
      <w:tr w14:paraId="77180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continue"/>
            <w:noWrap w:val="0"/>
            <w:vAlign w:val="center"/>
          </w:tcPr>
          <w:p w14:paraId="18662BA4">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2173" w:type="dxa"/>
            <w:vMerge w:val="continue"/>
            <w:noWrap w:val="0"/>
            <w:vAlign w:val="center"/>
          </w:tcPr>
          <w:p w14:paraId="4881975A">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423" w:type="dxa"/>
            <w:noWrap w:val="0"/>
            <w:vAlign w:val="center"/>
          </w:tcPr>
          <w:p w14:paraId="7A76829D">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（3）需整改问题及时整改完成。</w:t>
            </w:r>
          </w:p>
        </w:tc>
      </w:tr>
      <w:tr w14:paraId="19663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restart"/>
            <w:noWrap w:val="0"/>
            <w:vAlign w:val="center"/>
          </w:tcPr>
          <w:p w14:paraId="4141F65F">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6</w:t>
            </w:r>
          </w:p>
        </w:tc>
        <w:tc>
          <w:tcPr>
            <w:tcW w:w="2173" w:type="dxa"/>
            <w:vMerge w:val="restart"/>
            <w:noWrap w:val="0"/>
            <w:vAlign w:val="center"/>
          </w:tcPr>
          <w:p w14:paraId="57286C1A">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重大活动后勤保障</w:t>
            </w:r>
          </w:p>
        </w:tc>
        <w:tc>
          <w:tcPr>
            <w:tcW w:w="6423" w:type="dxa"/>
            <w:noWrap w:val="0"/>
            <w:vAlign w:val="center"/>
          </w:tcPr>
          <w:p w14:paraId="7D7367B6">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（1）制订流程。配合采购人制订重大活动后勤保障工作流程，需对任务进行详细了解，并根据工作安排制定详细的后勤保障计划。</w:t>
            </w:r>
          </w:p>
        </w:tc>
      </w:tr>
      <w:tr w14:paraId="17C6A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continue"/>
            <w:noWrap w:val="0"/>
            <w:vAlign w:val="center"/>
          </w:tcPr>
          <w:p w14:paraId="0B33405A">
            <w:pPr>
              <w:keepNext w:val="0"/>
              <w:keepLines w:val="0"/>
              <w:pageBreakBefore w:val="0"/>
              <w:widowControl/>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2173" w:type="dxa"/>
            <w:vMerge w:val="continue"/>
            <w:noWrap w:val="0"/>
            <w:vAlign w:val="center"/>
          </w:tcPr>
          <w:p w14:paraId="5E54EFF4">
            <w:pPr>
              <w:keepNext w:val="0"/>
              <w:keepLines w:val="0"/>
              <w:pageBreakBefore w:val="0"/>
              <w:widowControl/>
              <w:kinsoku/>
              <w:wordWrap/>
              <w:overflowPunct/>
              <w:topLinePunct w:val="0"/>
              <w:autoSpaceDE/>
              <w:autoSpaceDN/>
              <w:bidi w:val="0"/>
              <w:adjustRightInd/>
              <w:snapToGrid w:val="0"/>
              <w:spacing w:line="300" w:lineRule="auto"/>
              <w:ind w:left="0" w:leftChars="0" w:firstLine="0" w:firstLineChars="0"/>
              <w:jc w:val="both"/>
              <w:textAlignment w:val="auto"/>
              <w:rPr>
                <w:rFonts w:hint="eastAsia" w:ascii="仿宋_GB2312" w:hAnsi="仿宋_GB2312" w:eastAsia="仿宋_GB2312" w:cs="仿宋_GB2312"/>
                <w:sz w:val="32"/>
                <w:szCs w:val="32"/>
                <w:highlight w:val="none"/>
                <w:lang w:val="en-US" w:eastAsia="zh-CN"/>
              </w:rPr>
            </w:pPr>
          </w:p>
        </w:tc>
        <w:tc>
          <w:tcPr>
            <w:tcW w:w="6423" w:type="dxa"/>
            <w:noWrap w:val="0"/>
            <w:vAlign w:val="center"/>
          </w:tcPr>
          <w:p w14:paraId="28595A09">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实施保障。按计划在关键区域和重点部位进行部署，确保任务顺利进行，对活动区域进行全面安全检查，发现并排除安全隐患，对车辆进行有序引导和管理，确保交通安全畅通，以礼貌、专业的态度对待来宾，展现良好形象。</w:t>
            </w:r>
          </w:p>
        </w:tc>
      </w:tr>
      <w:tr w14:paraId="7A96C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continue"/>
            <w:noWrap w:val="0"/>
            <w:vAlign w:val="center"/>
          </w:tcPr>
          <w:p w14:paraId="7F98AF85">
            <w:pPr>
              <w:keepNext w:val="0"/>
              <w:keepLines w:val="0"/>
              <w:pageBreakBefore w:val="0"/>
              <w:widowControl/>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2173" w:type="dxa"/>
            <w:vMerge w:val="continue"/>
            <w:noWrap w:val="0"/>
            <w:vAlign w:val="center"/>
          </w:tcPr>
          <w:p w14:paraId="74AD9C76">
            <w:pPr>
              <w:keepNext w:val="0"/>
              <w:keepLines w:val="0"/>
              <w:pageBreakBefore w:val="0"/>
              <w:widowControl/>
              <w:kinsoku/>
              <w:wordWrap/>
              <w:overflowPunct/>
              <w:topLinePunct w:val="0"/>
              <w:autoSpaceDE/>
              <w:autoSpaceDN/>
              <w:bidi w:val="0"/>
              <w:adjustRightInd/>
              <w:snapToGrid w:val="0"/>
              <w:spacing w:line="300" w:lineRule="auto"/>
              <w:ind w:left="0" w:leftChars="0" w:firstLine="0" w:firstLineChars="0"/>
              <w:jc w:val="both"/>
              <w:textAlignment w:val="auto"/>
              <w:rPr>
                <w:rFonts w:hint="eastAsia" w:ascii="仿宋_GB2312" w:hAnsi="仿宋_GB2312" w:eastAsia="仿宋_GB2312" w:cs="仿宋_GB2312"/>
                <w:sz w:val="32"/>
                <w:szCs w:val="32"/>
                <w:highlight w:val="none"/>
                <w:lang w:val="en-US" w:eastAsia="zh-CN"/>
              </w:rPr>
            </w:pPr>
          </w:p>
        </w:tc>
        <w:tc>
          <w:tcPr>
            <w:tcW w:w="6423" w:type="dxa"/>
            <w:noWrap w:val="0"/>
            <w:vAlign w:val="center"/>
          </w:tcPr>
          <w:p w14:paraId="4CBFA868">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（3）收尾工作。对现场进行检查，做好清理工作。</w:t>
            </w:r>
          </w:p>
        </w:tc>
      </w:tr>
      <w:tr w14:paraId="398B3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restart"/>
            <w:noWrap w:val="0"/>
            <w:vAlign w:val="center"/>
          </w:tcPr>
          <w:p w14:paraId="1C4A7DA7">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7</w:t>
            </w:r>
          </w:p>
        </w:tc>
        <w:tc>
          <w:tcPr>
            <w:tcW w:w="2173" w:type="dxa"/>
            <w:vMerge w:val="restart"/>
            <w:noWrap w:val="0"/>
            <w:vAlign w:val="center"/>
          </w:tcPr>
          <w:p w14:paraId="4A9F7B40">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应急保障预案</w:t>
            </w:r>
          </w:p>
        </w:tc>
        <w:tc>
          <w:tcPr>
            <w:tcW w:w="6423" w:type="dxa"/>
            <w:noWrap w:val="0"/>
            <w:vAlign w:val="center"/>
          </w:tcPr>
          <w:p w14:paraId="0A115DAC">
            <w:pPr>
              <w:keepNext w:val="0"/>
              <w:keepLines w:val="0"/>
              <w:pageBreakBefore w:val="0"/>
              <w:widowControl/>
              <w:numPr>
                <w:ilvl w:val="0"/>
                <w:numId w:val="0"/>
              </w:numPr>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w:t>
            </w:r>
            <w:r>
              <w:rPr>
                <w:rFonts w:hint="eastAsia" w:ascii="仿宋_GB2312" w:hAnsi="仿宋_GB2312" w:eastAsia="仿宋_GB2312" w:cs="仿宋_GB2312"/>
                <w:color w:val="auto"/>
                <w:sz w:val="32"/>
                <w:szCs w:val="32"/>
                <w:highlight w:val="none"/>
                <w:u w:val="none"/>
                <w:lang w:val="en-US" w:eastAsia="zh-CN"/>
              </w:rPr>
              <w:t>重点区域及安全隐患排查。结合项目的实际情况，对重点部位及危险隐患进行排查，并建立清单/台账；应对危险隐患进行风险分析，制定相应措施进行控制或整改并定期监控；随着设施设备、服务内容的变化，及时更新清单/台账，使风险隐患始终处于受控状态。</w:t>
            </w:r>
          </w:p>
        </w:tc>
      </w:tr>
      <w:tr w14:paraId="3B980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continue"/>
            <w:noWrap w:val="0"/>
            <w:vAlign w:val="center"/>
          </w:tcPr>
          <w:p w14:paraId="1CA5DB8C">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eastAsia" w:ascii="仿宋_GB2312" w:hAnsi="仿宋_GB2312" w:eastAsia="仿宋_GB2312" w:cs="仿宋_GB2312"/>
                <w:color w:val="auto"/>
                <w:kern w:val="0"/>
                <w:sz w:val="32"/>
                <w:szCs w:val="32"/>
                <w:highlight w:val="none"/>
                <w:lang w:val="en-US" w:eastAsia="zh-CN"/>
              </w:rPr>
            </w:pPr>
          </w:p>
        </w:tc>
        <w:tc>
          <w:tcPr>
            <w:tcW w:w="2173" w:type="dxa"/>
            <w:vMerge w:val="continue"/>
            <w:noWrap w:val="0"/>
            <w:vAlign w:val="center"/>
          </w:tcPr>
          <w:p w14:paraId="5B2BAE27">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eastAsia" w:ascii="仿宋_GB2312" w:hAnsi="仿宋_GB2312" w:eastAsia="仿宋_GB2312" w:cs="仿宋_GB2312"/>
                <w:color w:val="auto"/>
                <w:kern w:val="0"/>
                <w:sz w:val="32"/>
                <w:szCs w:val="32"/>
                <w:highlight w:val="none"/>
                <w:lang w:val="en-US" w:eastAsia="zh-CN"/>
              </w:rPr>
            </w:pPr>
          </w:p>
        </w:tc>
        <w:tc>
          <w:tcPr>
            <w:tcW w:w="6423" w:type="dxa"/>
            <w:noWrap w:val="0"/>
            <w:vAlign w:val="center"/>
          </w:tcPr>
          <w:p w14:paraId="40FB86D9">
            <w:pPr>
              <w:keepNext w:val="0"/>
              <w:keepLines w:val="0"/>
              <w:pageBreakBefore w:val="0"/>
              <w:widowControl/>
              <w:numPr>
                <w:ilvl w:val="0"/>
                <w:numId w:val="0"/>
              </w:numPr>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w:t>
            </w:r>
            <w:r>
              <w:rPr>
                <w:rFonts w:hint="eastAsia" w:ascii="仿宋_GB2312" w:hAnsi="仿宋_GB2312" w:eastAsia="仿宋_GB2312" w:cs="仿宋_GB2312"/>
                <w:color w:val="auto"/>
                <w:sz w:val="32"/>
                <w:szCs w:val="32"/>
                <w:highlight w:val="none"/>
                <w:u w:val="none"/>
                <w:lang w:val="en-US" w:eastAsia="zh-CN"/>
              </w:rPr>
              <w:t>应急预案的建立。根据办公楼隐患排查的结果和实际情况，制定专项预案，包括但不限于：火情火警紧急处理应急预案、紧急疏散应急预案、停水停电应急预案、有限空间救援应急预案、高空作业救援应急预案、恶劣天气应对应急预案等。</w:t>
            </w:r>
          </w:p>
        </w:tc>
      </w:tr>
      <w:tr w14:paraId="15046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continue"/>
            <w:noWrap w:val="0"/>
            <w:vAlign w:val="center"/>
          </w:tcPr>
          <w:p w14:paraId="5033CF00">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eastAsia" w:ascii="仿宋_GB2312" w:hAnsi="仿宋_GB2312" w:eastAsia="仿宋_GB2312" w:cs="仿宋_GB2312"/>
                <w:color w:val="auto"/>
                <w:kern w:val="0"/>
                <w:sz w:val="32"/>
                <w:szCs w:val="32"/>
                <w:highlight w:val="none"/>
                <w:lang w:val="en-US" w:eastAsia="zh-CN"/>
              </w:rPr>
            </w:pPr>
          </w:p>
        </w:tc>
        <w:tc>
          <w:tcPr>
            <w:tcW w:w="2173" w:type="dxa"/>
            <w:vMerge w:val="continue"/>
            <w:noWrap w:val="0"/>
            <w:vAlign w:val="center"/>
          </w:tcPr>
          <w:p w14:paraId="19EF57DD">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eastAsia" w:ascii="仿宋_GB2312" w:hAnsi="仿宋_GB2312" w:eastAsia="仿宋_GB2312" w:cs="仿宋_GB2312"/>
                <w:color w:val="auto"/>
                <w:kern w:val="0"/>
                <w:sz w:val="32"/>
                <w:szCs w:val="32"/>
                <w:highlight w:val="none"/>
                <w:lang w:val="en-US" w:eastAsia="zh-CN"/>
              </w:rPr>
            </w:pPr>
          </w:p>
        </w:tc>
        <w:tc>
          <w:tcPr>
            <w:tcW w:w="6423" w:type="dxa"/>
            <w:noWrap w:val="0"/>
            <w:vAlign w:val="center"/>
          </w:tcPr>
          <w:p w14:paraId="630F4F61">
            <w:pPr>
              <w:keepNext w:val="0"/>
              <w:keepLines w:val="0"/>
              <w:pageBreakBefore w:val="0"/>
              <w:widowControl/>
              <w:numPr>
                <w:ilvl w:val="0"/>
                <w:numId w:val="0"/>
              </w:numPr>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w:t>
            </w:r>
            <w:r>
              <w:rPr>
                <w:rFonts w:hint="eastAsia" w:ascii="仿宋_GB2312" w:hAnsi="仿宋_GB2312" w:eastAsia="仿宋_GB2312" w:cs="仿宋_GB2312"/>
                <w:color w:val="auto"/>
                <w:sz w:val="32"/>
                <w:szCs w:val="32"/>
                <w:highlight w:val="none"/>
                <w:u w:val="none"/>
                <w:lang w:val="en-US" w:eastAsia="zh-CN"/>
              </w:rPr>
              <w:t>应急预案的培训和演练。应急预案定期培训和演练，组织相关岗位每半年至少开展一次专项应急预案演练；留存培训及演练记录和影像资料，并对预案进行评价，确保与实际情况相结合。</w:t>
            </w:r>
          </w:p>
        </w:tc>
      </w:tr>
      <w:tr w14:paraId="405AE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continue"/>
            <w:noWrap w:val="0"/>
            <w:vAlign w:val="center"/>
          </w:tcPr>
          <w:p w14:paraId="3E1A36F5">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eastAsia" w:ascii="仿宋_GB2312" w:hAnsi="仿宋_GB2312" w:eastAsia="仿宋_GB2312" w:cs="仿宋_GB2312"/>
                <w:color w:val="auto"/>
                <w:kern w:val="0"/>
                <w:sz w:val="32"/>
                <w:szCs w:val="32"/>
                <w:highlight w:val="none"/>
                <w:lang w:val="en-US" w:eastAsia="zh-CN"/>
              </w:rPr>
            </w:pPr>
          </w:p>
        </w:tc>
        <w:tc>
          <w:tcPr>
            <w:tcW w:w="2173" w:type="dxa"/>
            <w:vMerge w:val="continue"/>
            <w:noWrap w:val="0"/>
            <w:vAlign w:val="center"/>
          </w:tcPr>
          <w:p w14:paraId="3650B8F5">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eastAsia" w:ascii="仿宋_GB2312" w:hAnsi="仿宋_GB2312" w:eastAsia="仿宋_GB2312" w:cs="仿宋_GB2312"/>
                <w:sz w:val="32"/>
                <w:szCs w:val="32"/>
                <w:highlight w:val="none"/>
                <w:lang w:val="en-US" w:eastAsia="zh-CN"/>
              </w:rPr>
            </w:pPr>
          </w:p>
        </w:tc>
        <w:tc>
          <w:tcPr>
            <w:tcW w:w="6423" w:type="dxa"/>
            <w:noWrap w:val="0"/>
            <w:vAlign w:val="center"/>
          </w:tcPr>
          <w:p w14:paraId="46DD1EA0">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（4）</w:t>
            </w:r>
            <w:r>
              <w:rPr>
                <w:rFonts w:hint="eastAsia" w:ascii="仿宋_GB2312" w:hAnsi="仿宋_GB2312" w:eastAsia="仿宋_GB2312" w:cs="仿宋_GB2312"/>
                <w:color w:val="auto"/>
                <w:sz w:val="32"/>
                <w:szCs w:val="32"/>
                <w:highlight w:val="none"/>
                <w:u w:val="none"/>
                <w:lang w:val="en-US" w:eastAsia="zh-CN"/>
              </w:rPr>
              <w:t>应急物资的管理。根据专项预案中的应对需要、必要的应急物资，建立清单或台账，并由专人定期对应急物资进行检查，如有应急物资不足，及时通知采购人购置齐全，确保能够随时正常使用。</w:t>
            </w:r>
          </w:p>
        </w:tc>
      </w:tr>
      <w:tr w14:paraId="691EC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restart"/>
            <w:noWrap w:val="0"/>
            <w:vAlign w:val="center"/>
          </w:tcPr>
          <w:p w14:paraId="0F3D36CC">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8</w:t>
            </w:r>
          </w:p>
        </w:tc>
        <w:tc>
          <w:tcPr>
            <w:tcW w:w="2173" w:type="dxa"/>
            <w:vMerge w:val="restart"/>
            <w:noWrap w:val="0"/>
            <w:vAlign w:val="center"/>
          </w:tcPr>
          <w:p w14:paraId="1E729E7D">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服务方案及工作制度</w:t>
            </w:r>
          </w:p>
        </w:tc>
        <w:tc>
          <w:tcPr>
            <w:tcW w:w="6423" w:type="dxa"/>
            <w:noWrap w:val="0"/>
            <w:vAlign w:val="center"/>
          </w:tcPr>
          <w:p w14:paraId="36E2B53A">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 w:val="0"/>
                <w:bCs w:val="0"/>
                <w:color w:val="auto"/>
                <w:kern w:val="0"/>
                <w:sz w:val="32"/>
                <w:szCs w:val="32"/>
                <w:highlight w:val="none"/>
                <w:lang w:val="en-US" w:eastAsia="zh-CN"/>
              </w:rPr>
              <w:t>（1）制定工作制度，</w:t>
            </w:r>
            <w:r>
              <w:rPr>
                <w:rFonts w:hint="eastAsia" w:ascii="仿宋_GB2312" w:hAnsi="仿宋_GB2312" w:eastAsia="仿宋_GB2312" w:cs="仿宋_GB2312"/>
                <w:bCs/>
                <w:color w:val="auto"/>
                <w:sz w:val="32"/>
                <w:szCs w:val="32"/>
                <w:highlight w:val="none"/>
                <w:lang w:eastAsia="zh-CN"/>
              </w:rPr>
              <w:t>主要</w:t>
            </w:r>
            <w:r>
              <w:rPr>
                <w:rFonts w:hint="eastAsia" w:ascii="仿宋_GB2312" w:hAnsi="仿宋_GB2312" w:eastAsia="仿宋_GB2312" w:cs="仿宋_GB2312"/>
                <w:bCs/>
                <w:color w:val="auto"/>
                <w:sz w:val="32"/>
                <w:szCs w:val="32"/>
                <w:highlight w:val="none"/>
              </w:rPr>
              <w:t>包括：</w:t>
            </w:r>
            <w:r>
              <w:rPr>
                <w:rFonts w:hint="eastAsia" w:ascii="仿宋_GB2312" w:hAnsi="仿宋_GB2312" w:eastAsia="仿宋_GB2312" w:cs="仿宋_GB2312"/>
                <w:bCs/>
                <w:color w:val="auto"/>
                <w:sz w:val="32"/>
                <w:szCs w:val="32"/>
                <w:highlight w:val="none"/>
                <w:lang w:val="en-US" w:eastAsia="zh-CN"/>
              </w:rPr>
              <w:t>人员录用制度、</w:t>
            </w:r>
            <w:r>
              <w:rPr>
                <w:rFonts w:hint="eastAsia" w:ascii="仿宋_GB2312" w:hAnsi="仿宋_GB2312" w:eastAsia="仿宋_GB2312" w:cs="仿宋_GB2312"/>
                <w:b w:val="0"/>
                <w:bCs w:val="0"/>
                <w:color w:val="auto"/>
                <w:kern w:val="0"/>
                <w:sz w:val="32"/>
                <w:szCs w:val="32"/>
                <w:highlight w:val="none"/>
                <w:lang w:val="en-US" w:eastAsia="zh-CN"/>
              </w:rPr>
              <w:t>档案管理制度、</w:t>
            </w:r>
            <w:r>
              <w:rPr>
                <w:rFonts w:hint="eastAsia" w:ascii="仿宋_GB2312" w:hAnsi="仿宋_GB2312" w:eastAsia="仿宋_GB2312" w:cs="仿宋_GB2312"/>
                <w:bCs/>
                <w:color w:val="auto"/>
                <w:sz w:val="32"/>
                <w:szCs w:val="32"/>
                <w:highlight w:val="none"/>
              </w:rPr>
              <w:t>物业服务管理制度</w:t>
            </w:r>
            <w:r>
              <w:rPr>
                <w:rFonts w:hint="eastAsia" w:ascii="仿宋_GB2312" w:hAnsi="仿宋_GB2312" w:eastAsia="仿宋_GB2312" w:cs="仿宋_GB2312"/>
                <w:bCs/>
                <w:color w:val="auto"/>
                <w:sz w:val="32"/>
                <w:szCs w:val="32"/>
                <w:highlight w:val="none"/>
                <w:lang w:eastAsia="zh-CN"/>
              </w:rPr>
              <w:t>、</w:t>
            </w:r>
            <w:r>
              <w:rPr>
                <w:rFonts w:hint="eastAsia" w:ascii="仿宋_GB2312" w:hAnsi="仿宋_GB2312" w:eastAsia="仿宋_GB2312" w:cs="仿宋_GB2312"/>
                <w:b w:val="0"/>
                <w:bCs w:val="0"/>
                <w:color w:val="auto"/>
                <w:kern w:val="0"/>
                <w:sz w:val="32"/>
                <w:szCs w:val="32"/>
                <w:highlight w:val="none"/>
                <w:lang w:val="en-US" w:eastAsia="zh-CN"/>
              </w:rPr>
              <w:t>共用设施设备相关管理制度等</w:t>
            </w:r>
            <w:r>
              <w:rPr>
                <w:rFonts w:hint="eastAsia" w:ascii="仿宋_GB2312" w:hAnsi="仿宋_GB2312" w:eastAsia="仿宋_GB2312" w:cs="仿宋_GB2312"/>
                <w:bCs/>
                <w:color w:val="auto"/>
                <w:sz w:val="32"/>
                <w:szCs w:val="32"/>
                <w:highlight w:val="none"/>
                <w:lang w:eastAsia="zh-CN"/>
              </w:rPr>
              <w:t>。</w:t>
            </w:r>
          </w:p>
        </w:tc>
      </w:tr>
      <w:tr w14:paraId="34E34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continue"/>
            <w:noWrap w:val="0"/>
            <w:vAlign w:val="center"/>
          </w:tcPr>
          <w:p w14:paraId="7D276E93">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2173" w:type="dxa"/>
            <w:vMerge w:val="continue"/>
            <w:noWrap w:val="0"/>
            <w:vAlign w:val="center"/>
          </w:tcPr>
          <w:p w14:paraId="44ACF5C4">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eastAsia" w:ascii="仿宋_GB2312" w:hAnsi="仿宋_GB2312" w:eastAsia="仿宋_GB2312" w:cs="仿宋_GB2312"/>
                <w:sz w:val="32"/>
                <w:szCs w:val="32"/>
                <w:highlight w:val="none"/>
                <w:lang w:val="en-US" w:eastAsia="zh-CN"/>
              </w:rPr>
            </w:pPr>
          </w:p>
        </w:tc>
        <w:tc>
          <w:tcPr>
            <w:tcW w:w="6423" w:type="dxa"/>
            <w:noWrap w:val="0"/>
            <w:vAlign w:val="center"/>
          </w:tcPr>
          <w:p w14:paraId="532D6ADF">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（2）制定</w:t>
            </w:r>
            <w:r>
              <w:rPr>
                <w:rFonts w:hint="eastAsia" w:ascii="仿宋_GB2312" w:hAnsi="仿宋_GB2312" w:eastAsia="仿宋_GB2312" w:cs="仿宋_GB2312"/>
                <w:bCs/>
                <w:color w:val="auto"/>
                <w:sz w:val="32"/>
                <w:szCs w:val="32"/>
                <w:highlight w:val="none"/>
              </w:rPr>
              <w:t>项目实施方案</w:t>
            </w:r>
            <w:r>
              <w:rPr>
                <w:rFonts w:hint="eastAsia" w:ascii="仿宋_GB2312" w:hAnsi="仿宋_GB2312" w:eastAsia="仿宋_GB2312" w:cs="仿宋_GB2312"/>
                <w:bCs/>
                <w:color w:val="auto"/>
                <w:sz w:val="32"/>
                <w:szCs w:val="32"/>
                <w:highlight w:val="none"/>
                <w:lang w:eastAsia="zh-CN"/>
              </w:rPr>
              <w:t>，主要</w:t>
            </w:r>
            <w:r>
              <w:rPr>
                <w:rFonts w:hint="eastAsia" w:ascii="仿宋_GB2312" w:hAnsi="仿宋_GB2312" w:eastAsia="仿宋_GB2312" w:cs="仿宋_GB2312"/>
                <w:bCs/>
                <w:color w:val="auto"/>
                <w:sz w:val="32"/>
                <w:szCs w:val="32"/>
                <w:highlight w:val="none"/>
              </w:rPr>
              <w:t>包括：</w:t>
            </w:r>
            <w:r>
              <w:rPr>
                <w:rFonts w:hint="eastAsia" w:ascii="仿宋_GB2312" w:hAnsi="仿宋_GB2312" w:eastAsia="仿宋_GB2312" w:cs="仿宋_GB2312"/>
                <w:bCs/>
                <w:color w:val="auto"/>
                <w:sz w:val="32"/>
                <w:szCs w:val="32"/>
                <w:highlight w:val="none"/>
                <w:lang w:val="en-US" w:eastAsia="zh-CN"/>
              </w:rPr>
              <w:t>交接</w:t>
            </w:r>
            <w:r>
              <w:rPr>
                <w:rFonts w:hint="eastAsia" w:ascii="仿宋_GB2312" w:hAnsi="仿宋_GB2312" w:eastAsia="仿宋_GB2312" w:cs="仿宋_GB2312"/>
                <w:bCs/>
                <w:color w:val="auto"/>
                <w:sz w:val="32"/>
                <w:szCs w:val="32"/>
                <w:highlight w:val="none"/>
              </w:rPr>
              <w:t>方案、人员培训方案、人员稳定性方案、保密方案</w:t>
            </w:r>
            <w:r>
              <w:rPr>
                <w:rFonts w:hint="eastAsia" w:ascii="仿宋_GB2312" w:hAnsi="仿宋_GB2312" w:eastAsia="仿宋_GB2312" w:cs="仿宋_GB2312"/>
                <w:bCs/>
                <w:color w:val="auto"/>
                <w:sz w:val="32"/>
                <w:szCs w:val="32"/>
                <w:highlight w:val="none"/>
                <w:lang w:eastAsia="zh-CN"/>
              </w:rPr>
              <w:t>等</w:t>
            </w:r>
            <w:r>
              <w:rPr>
                <w:rFonts w:hint="eastAsia" w:ascii="仿宋_GB2312" w:hAnsi="仿宋_GB2312" w:eastAsia="仿宋_GB2312" w:cs="仿宋_GB2312"/>
                <w:bCs/>
                <w:color w:val="auto"/>
                <w:sz w:val="32"/>
                <w:szCs w:val="32"/>
                <w:highlight w:val="none"/>
              </w:rPr>
              <w:t>。</w:t>
            </w:r>
          </w:p>
        </w:tc>
      </w:tr>
      <w:tr w14:paraId="74F95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continue"/>
            <w:noWrap w:val="0"/>
            <w:vAlign w:val="center"/>
          </w:tcPr>
          <w:p w14:paraId="65849EFC">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2173" w:type="dxa"/>
            <w:vMerge w:val="continue"/>
            <w:noWrap w:val="0"/>
            <w:vAlign w:val="center"/>
          </w:tcPr>
          <w:p w14:paraId="24779AFD">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eastAsia" w:ascii="仿宋_GB2312" w:hAnsi="仿宋_GB2312" w:eastAsia="仿宋_GB2312" w:cs="仿宋_GB2312"/>
                <w:sz w:val="32"/>
                <w:szCs w:val="32"/>
                <w:highlight w:val="none"/>
                <w:lang w:val="en-US" w:eastAsia="zh-CN"/>
              </w:rPr>
            </w:pPr>
          </w:p>
        </w:tc>
        <w:tc>
          <w:tcPr>
            <w:tcW w:w="6423" w:type="dxa"/>
            <w:noWrap w:val="0"/>
            <w:vAlign w:val="center"/>
          </w:tcPr>
          <w:p w14:paraId="4D757B12">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（3）制定</w:t>
            </w:r>
            <w:r>
              <w:rPr>
                <w:rFonts w:hint="eastAsia" w:ascii="仿宋_GB2312" w:hAnsi="仿宋_GB2312" w:eastAsia="仿宋_GB2312" w:cs="仿宋_GB2312"/>
                <w:bCs/>
                <w:color w:val="auto"/>
                <w:sz w:val="32"/>
                <w:szCs w:val="32"/>
                <w:highlight w:val="none"/>
              </w:rPr>
              <w:t>物业服务方案</w:t>
            </w:r>
            <w:r>
              <w:rPr>
                <w:rFonts w:hint="eastAsia" w:ascii="仿宋_GB2312" w:hAnsi="仿宋_GB2312" w:eastAsia="仿宋_GB2312" w:cs="仿宋_GB2312"/>
                <w:bCs/>
                <w:color w:val="auto"/>
                <w:sz w:val="32"/>
                <w:szCs w:val="32"/>
                <w:highlight w:val="none"/>
                <w:lang w:eastAsia="zh-CN"/>
              </w:rPr>
              <w:t>，主要</w:t>
            </w:r>
            <w:r>
              <w:rPr>
                <w:rFonts w:hint="eastAsia" w:ascii="仿宋_GB2312" w:hAnsi="仿宋_GB2312" w:eastAsia="仿宋_GB2312" w:cs="仿宋_GB2312"/>
                <w:bCs/>
                <w:color w:val="auto"/>
                <w:sz w:val="32"/>
                <w:szCs w:val="32"/>
                <w:highlight w:val="none"/>
              </w:rPr>
              <w:t>包括：</w:t>
            </w:r>
            <w:r>
              <w:rPr>
                <w:rFonts w:hint="eastAsia" w:ascii="仿宋_GB2312" w:hAnsi="仿宋_GB2312" w:eastAsia="仿宋_GB2312" w:cs="仿宋_GB2312"/>
                <w:bCs/>
                <w:color w:val="auto"/>
                <w:sz w:val="32"/>
                <w:szCs w:val="32"/>
                <w:highlight w:val="none"/>
                <w:lang w:val="en-US" w:eastAsia="zh-CN"/>
              </w:rPr>
              <w:t>房屋维护服务方案、共用设施设备维护服务方案、</w:t>
            </w:r>
            <w:r>
              <w:rPr>
                <w:rFonts w:hint="eastAsia" w:ascii="仿宋_GB2312" w:hAnsi="仿宋_GB2312" w:eastAsia="仿宋_GB2312" w:cs="仿宋_GB2312"/>
                <w:bCs/>
                <w:color w:val="auto"/>
                <w:sz w:val="32"/>
                <w:szCs w:val="32"/>
                <w:highlight w:val="none"/>
              </w:rPr>
              <w:t>绿化</w:t>
            </w:r>
            <w:r>
              <w:rPr>
                <w:rFonts w:hint="eastAsia" w:ascii="仿宋_GB2312" w:hAnsi="仿宋_GB2312" w:eastAsia="仿宋_GB2312" w:cs="仿宋_GB2312"/>
                <w:bCs/>
                <w:color w:val="auto"/>
                <w:sz w:val="32"/>
                <w:szCs w:val="32"/>
                <w:highlight w:val="none"/>
                <w:lang w:val="en-US" w:eastAsia="zh-CN"/>
              </w:rPr>
              <w:t>服务</w:t>
            </w:r>
            <w:r>
              <w:rPr>
                <w:rFonts w:hint="eastAsia" w:ascii="仿宋_GB2312" w:hAnsi="仿宋_GB2312" w:eastAsia="仿宋_GB2312" w:cs="仿宋_GB2312"/>
                <w:bCs/>
                <w:color w:val="auto"/>
                <w:sz w:val="32"/>
                <w:szCs w:val="32"/>
                <w:highlight w:val="none"/>
              </w:rPr>
              <w:t>方案</w:t>
            </w:r>
            <w:r>
              <w:rPr>
                <w:rFonts w:hint="eastAsia" w:ascii="仿宋_GB2312" w:hAnsi="仿宋_GB2312" w:eastAsia="仿宋_GB2312" w:cs="仿宋_GB2312"/>
                <w:bCs/>
                <w:color w:val="auto"/>
                <w:sz w:val="32"/>
                <w:szCs w:val="32"/>
                <w:highlight w:val="none"/>
                <w:lang w:eastAsia="zh-CN"/>
              </w:rPr>
              <w:t>、</w:t>
            </w:r>
            <w:r>
              <w:rPr>
                <w:rFonts w:hint="eastAsia" w:ascii="仿宋_GB2312" w:hAnsi="仿宋_GB2312" w:eastAsia="仿宋_GB2312" w:cs="仿宋_GB2312"/>
                <w:bCs/>
                <w:color w:val="auto"/>
                <w:sz w:val="32"/>
                <w:szCs w:val="32"/>
                <w:highlight w:val="none"/>
              </w:rPr>
              <w:t>保洁服务方案、</w:t>
            </w:r>
            <w:r>
              <w:rPr>
                <w:rFonts w:hint="eastAsia" w:ascii="仿宋_GB2312" w:hAnsi="仿宋_GB2312" w:eastAsia="仿宋_GB2312" w:cs="仿宋_GB2312"/>
                <w:bCs/>
                <w:color w:val="auto"/>
                <w:sz w:val="32"/>
                <w:szCs w:val="32"/>
                <w:highlight w:val="none"/>
                <w:lang w:val="en-US" w:eastAsia="zh-CN"/>
              </w:rPr>
              <w:t>保安</w:t>
            </w:r>
            <w:r>
              <w:rPr>
                <w:rFonts w:hint="eastAsia" w:ascii="仿宋_GB2312" w:hAnsi="仿宋_GB2312" w:eastAsia="仿宋_GB2312" w:cs="仿宋_GB2312"/>
                <w:bCs/>
                <w:color w:val="auto"/>
                <w:sz w:val="32"/>
                <w:szCs w:val="32"/>
                <w:highlight w:val="none"/>
              </w:rPr>
              <w:t>服务方案、会议服务方案</w:t>
            </w:r>
            <w:r>
              <w:rPr>
                <w:rFonts w:hint="eastAsia" w:ascii="仿宋_GB2312" w:hAnsi="仿宋_GB2312" w:eastAsia="仿宋_GB2312" w:cs="仿宋_GB2312"/>
                <w:bCs/>
                <w:color w:val="auto"/>
                <w:sz w:val="32"/>
                <w:szCs w:val="32"/>
                <w:highlight w:val="none"/>
                <w:lang w:val="en-US" w:eastAsia="zh-CN"/>
              </w:rPr>
              <w:t>等</w:t>
            </w:r>
            <w:r>
              <w:rPr>
                <w:rFonts w:hint="eastAsia" w:ascii="仿宋_GB2312" w:hAnsi="仿宋_GB2312" w:eastAsia="仿宋_GB2312" w:cs="仿宋_GB2312"/>
                <w:bCs/>
                <w:color w:val="auto"/>
                <w:sz w:val="32"/>
                <w:szCs w:val="32"/>
                <w:highlight w:val="none"/>
              </w:rPr>
              <w:t>。</w:t>
            </w:r>
          </w:p>
        </w:tc>
      </w:tr>
      <w:tr w14:paraId="59AD5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restart"/>
            <w:noWrap w:val="0"/>
            <w:vAlign w:val="center"/>
          </w:tcPr>
          <w:p w14:paraId="06942F13">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9</w:t>
            </w:r>
          </w:p>
        </w:tc>
        <w:tc>
          <w:tcPr>
            <w:tcW w:w="2173" w:type="dxa"/>
            <w:vMerge w:val="restart"/>
            <w:noWrap w:val="0"/>
            <w:vAlign w:val="center"/>
          </w:tcPr>
          <w:p w14:paraId="66EEF2FD">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信报服务</w:t>
            </w:r>
          </w:p>
        </w:tc>
        <w:tc>
          <w:tcPr>
            <w:tcW w:w="6423" w:type="dxa"/>
            <w:noWrap w:val="0"/>
            <w:vAlign w:val="center"/>
          </w:tcPr>
          <w:p w14:paraId="188AB6A0">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rPr>
              <w:t>（1）对邮件、包裹和挂号信等进行正确分类、安全检查和防疫卫生检查。</w:t>
            </w:r>
          </w:p>
        </w:tc>
      </w:tr>
      <w:tr w14:paraId="65D49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continue"/>
            <w:noWrap w:val="0"/>
            <w:vAlign w:val="center"/>
          </w:tcPr>
          <w:p w14:paraId="6601F858">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2173" w:type="dxa"/>
            <w:vMerge w:val="continue"/>
            <w:noWrap w:val="0"/>
            <w:vAlign w:val="center"/>
          </w:tcPr>
          <w:p w14:paraId="3DD537E6">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eastAsia" w:ascii="仿宋_GB2312" w:hAnsi="仿宋_GB2312" w:eastAsia="仿宋_GB2312" w:cs="仿宋_GB2312"/>
                <w:sz w:val="32"/>
                <w:szCs w:val="32"/>
                <w:highlight w:val="none"/>
                <w:lang w:val="en-US" w:eastAsia="zh-CN"/>
              </w:rPr>
            </w:pPr>
          </w:p>
        </w:tc>
        <w:tc>
          <w:tcPr>
            <w:tcW w:w="6423" w:type="dxa"/>
            <w:noWrap w:val="0"/>
            <w:vAlign w:val="center"/>
          </w:tcPr>
          <w:p w14:paraId="192775F4">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rPr>
              <w:t>（2）及时投送或通知收件人领取。</w:t>
            </w:r>
          </w:p>
        </w:tc>
      </w:tr>
      <w:tr w14:paraId="1EBEC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continue"/>
            <w:noWrap w:val="0"/>
            <w:vAlign w:val="center"/>
          </w:tcPr>
          <w:p w14:paraId="61D3D104">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2173" w:type="dxa"/>
            <w:vMerge w:val="continue"/>
            <w:noWrap w:val="0"/>
            <w:vAlign w:val="center"/>
          </w:tcPr>
          <w:p w14:paraId="6F104546">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eastAsia" w:ascii="仿宋_GB2312" w:hAnsi="仿宋_GB2312" w:eastAsia="仿宋_GB2312" w:cs="仿宋_GB2312"/>
                <w:sz w:val="32"/>
                <w:szCs w:val="32"/>
                <w:highlight w:val="none"/>
                <w:lang w:val="en-US" w:eastAsia="zh-CN"/>
              </w:rPr>
            </w:pPr>
          </w:p>
        </w:tc>
        <w:tc>
          <w:tcPr>
            <w:tcW w:w="6423" w:type="dxa"/>
            <w:noWrap w:val="0"/>
            <w:vAlign w:val="center"/>
          </w:tcPr>
          <w:p w14:paraId="7D141EBF">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rPr>
              <w:t>（3）</w:t>
            </w:r>
            <w:r>
              <w:rPr>
                <w:rFonts w:hint="eastAsia" w:ascii="仿宋_GB2312" w:hAnsi="仿宋_GB2312" w:eastAsia="仿宋_GB2312" w:cs="仿宋_GB2312"/>
                <w:color w:val="auto"/>
                <w:sz w:val="32"/>
                <w:szCs w:val="32"/>
                <w:highlight w:val="none"/>
                <w:u w:val="none"/>
              </w:rPr>
              <w:t>大件物品出入</w:t>
            </w:r>
            <w:r>
              <w:rPr>
                <w:rFonts w:hint="eastAsia" w:ascii="仿宋_GB2312" w:hAnsi="仿宋_GB2312" w:eastAsia="仿宋_GB2312" w:cs="仿宋_GB2312"/>
                <w:color w:val="auto"/>
                <w:sz w:val="32"/>
                <w:szCs w:val="32"/>
                <w:highlight w:val="none"/>
                <w:u w:val="none"/>
                <w:lang w:val="en-US" w:eastAsia="zh-CN"/>
              </w:rPr>
              <w:t>向采购人报告，待采购人确认无误后放行</w:t>
            </w:r>
            <w:r>
              <w:rPr>
                <w:rFonts w:hint="eastAsia" w:ascii="仿宋_GB2312" w:hAnsi="仿宋_GB2312" w:eastAsia="仿宋_GB2312" w:cs="仿宋_GB2312"/>
                <w:color w:val="auto"/>
                <w:sz w:val="32"/>
                <w:szCs w:val="32"/>
                <w:highlight w:val="none"/>
                <w:u w:val="none"/>
                <w:lang w:eastAsia="zh-CN"/>
              </w:rPr>
              <w:t>。</w:t>
            </w:r>
          </w:p>
        </w:tc>
      </w:tr>
      <w:tr w14:paraId="3A9F2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restart"/>
            <w:noWrap w:val="0"/>
            <w:vAlign w:val="center"/>
          </w:tcPr>
          <w:p w14:paraId="420FDABD">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10</w:t>
            </w:r>
          </w:p>
        </w:tc>
        <w:tc>
          <w:tcPr>
            <w:tcW w:w="2173" w:type="dxa"/>
            <w:vMerge w:val="restart"/>
            <w:noWrap w:val="0"/>
            <w:vAlign w:val="center"/>
          </w:tcPr>
          <w:p w14:paraId="5AC35CDD">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服务热线及紧急维修</w:t>
            </w:r>
          </w:p>
        </w:tc>
        <w:tc>
          <w:tcPr>
            <w:tcW w:w="6423" w:type="dxa"/>
            <w:noWrap w:val="0"/>
            <w:vAlign w:val="center"/>
          </w:tcPr>
          <w:p w14:paraId="3AE7B16D">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（1）设置24小时报修服务热线。</w:t>
            </w:r>
          </w:p>
        </w:tc>
      </w:tr>
      <w:tr w14:paraId="737FC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4" w:type="dxa"/>
            <w:vMerge w:val="continue"/>
            <w:noWrap w:val="0"/>
            <w:vAlign w:val="center"/>
          </w:tcPr>
          <w:p w14:paraId="6F19181A">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eastAsia" w:ascii="仿宋_GB2312" w:hAnsi="仿宋_GB2312" w:eastAsia="仿宋_GB2312" w:cs="仿宋_GB2312"/>
                <w:sz w:val="32"/>
                <w:szCs w:val="32"/>
                <w:highlight w:val="none"/>
                <w:lang w:val="en-US" w:eastAsia="zh-CN"/>
              </w:rPr>
            </w:pPr>
          </w:p>
        </w:tc>
        <w:tc>
          <w:tcPr>
            <w:tcW w:w="2173" w:type="dxa"/>
            <w:vMerge w:val="continue"/>
            <w:noWrap w:val="0"/>
            <w:vAlign w:val="center"/>
          </w:tcPr>
          <w:p w14:paraId="03BF0110">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eastAsia" w:ascii="仿宋_GB2312" w:hAnsi="仿宋_GB2312" w:eastAsia="仿宋_GB2312" w:cs="仿宋_GB2312"/>
                <w:sz w:val="32"/>
                <w:szCs w:val="32"/>
                <w:highlight w:val="none"/>
                <w:lang w:val="en-US" w:eastAsia="zh-CN"/>
              </w:rPr>
            </w:pPr>
          </w:p>
        </w:tc>
        <w:tc>
          <w:tcPr>
            <w:tcW w:w="6423" w:type="dxa"/>
            <w:noWrap w:val="0"/>
            <w:vAlign w:val="center"/>
          </w:tcPr>
          <w:p w14:paraId="3AE1CD25">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w:t>
            </w:r>
            <w:r>
              <w:rPr>
                <w:rFonts w:hint="eastAsia" w:ascii="仿宋_GB2312" w:hAnsi="仿宋_GB2312" w:eastAsia="仿宋_GB2312" w:cs="仿宋_GB2312"/>
                <w:color w:val="auto"/>
                <w:sz w:val="32"/>
                <w:szCs w:val="32"/>
                <w:highlight w:val="none"/>
                <w:u w:val="none"/>
                <w:lang w:val="en-US" w:eastAsia="zh-CN"/>
              </w:rPr>
              <w:t>紧急维修须15分钟内到达现场，不间断维修直至修复。</w:t>
            </w:r>
          </w:p>
        </w:tc>
      </w:tr>
    </w:tbl>
    <w:p w14:paraId="1770B332">
      <w:pPr>
        <w:pStyle w:val="4"/>
        <w:numPr>
          <w:ilvl w:val="2"/>
          <w:numId w:val="0"/>
        </w:numPr>
        <w:bidi w:val="0"/>
        <w:ind w:leftChars="0" w:firstLine="640" w:firstLineChars="200"/>
        <w:rPr>
          <w:rFonts w:hint="eastAsia" w:ascii="仿宋_GB2312" w:hAnsi="仿宋_GB2312" w:eastAsia="仿宋_GB2312" w:cs="仿宋_GB2312"/>
          <w:sz w:val="32"/>
          <w:szCs w:val="32"/>
          <w:highlight w:val="none"/>
          <w:lang w:val="en-US" w:eastAsia="zh-CN"/>
        </w:rPr>
      </w:pPr>
      <w:bookmarkStart w:id="6" w:name="_3.2房屋维护服务"/>
      <w:r>
        <w:rPr>
          <w:rFonts w:hint="eastAsia" w:ascii="仿宋_GB2312" w:hAnsi="仿宋_GB2312" w:eastAsia="仿宋_GB2312" w:cs="仿宋_GB2312"/>
          <w:sz w:val="32"/>
          <w:szCs w:val="32"/>
          <w:highlight w:val="none"/>
          <w:lang w:val="en-US" w:eastAsia="zh-CN"/>
        </w:rPr>
        <w:t>3.2房屋维护服务</w:t>
      </w:r>
    </w:p>
    <w:bookmarkEnd w:id="6"/>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1943"/>
        <w:gridCol w:w="5853"/>
      </w:tblGrid>
      <w:tr w14:paraId="339DA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1" w:type="dxa"/>
            <w:noWrap w:val="0"/>
            <w:vAlign w:val="center"/>
          </w:tcPr>
          <w:p w14:paraId="27D36E11">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序号</w:t>
            </w:r>
          </w:p>
        </w:tc>
        <w:tc>
          <w:tcPr>
            <w:tcW w:w="2143" w:type="dxa"/>
            <w:noWrap w:val="0"/>
            <w:vAlign w:val="center"/>
          </w:tcPr>
          <w:p w14:paraId="38EA93C3">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color w:val="auto"/>
                <w:kern w:val="0"/>
                <w:sz w:val="32"/>
                <w:szCs w:val="32"/>
                <w:highlight w:val="none"/>
              </w:rPr>
            </w:pPr>
            <w:r>
              <w:rPr>
                <w:rFonts w:hint="eastAsia" w:ascii="仿宋_GB2312" w:hAnsi="仿宋_GB2312" w:eastAsia="仿宋_GB2312" w:cs="仿宋_GB2312"/>
                <w:b/>
                <w:bCs/>
                <w:color w:val="auto"/>
                <w:kern w:val="0"/>
                <w:sz w:val="32"/>
                <w:szCs w:val="32"/>
                <w:highlight w:val="none"/>
              </w:rPr>
              <w:t>服务内容</w:t>
            </w:r>
          </w:p>
        </w:tc>
        <w:tc>
          <w:tcPr>
            <w:tcW w:w="6457" w:type="dxa"/>
            <w:noWrap w:val="0"/>
            <w:vAlign w:val="center"/>
          </w:tcPr>
          <w:p w14:paraId="046A23B2">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服务标准</w:t>
            </w:r>
          </w:p>
        </w:tc>
      </w:tr>
      <w:tr w14:paraId="49AC4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1" w:type="dxa"/>
            <w:vMerge w:val="restart"/>
            <w:noWrap w:val="0"/>
            <w:vAlign w:val="center"/>
          </w:tcPr>
          <w:p w14:paraId="52AF1FE7">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w:t>
            </w:r>
          </w:p>
        </w:tc>
        <w:tc>
          <w:tcPr>
            <w:tcW w:w="2143" w:type="dxa"/>
            <w:vMerge w:val="restart"/>
            <w:noWrap w:val="0"/>
            <w:vAlign w:val="center"/>
          </w:tcPr>
          <w:p w14:paraId="005C1FA3">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建筑部件、房屋</w:t>
            </w:r>
            <w:r>
              <w:rPr>
                <w:rFonts w:hint="eastAsia" w:ascii="仿宋_GB2312" w:hAnsi="仿宋_GB2312" w:eastAsia="仿宋_GB2312" w:cs="仿宋_GB2312"/>
                <w:sz w:val="32"/>
                <w:szCs w:val="32"/>
                <w:highlight w:val="none"/>
              </w:rPr>
              <w:t>结构</w:t>
            </w:r>
          </w:p>
        </w:tc>
        <w:tc>
          <w:tcPr>
            <w:tcW w:w="6457" w:type="dxa"/>
            <w:noWrap w:val="0"/>
            <w:vAlign w:val="center"/>
          </w:tcPr>
          <w:p w14:paraId="2072AE98">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 xml:space="preserve"> （1）每季度至少开展1次房屋结构安全巡视，发现外观有变形、开裂等现象，及时建议采购人申请房屋安全鉴定，并采取必要的避险和防护措施。</w:t>
            </w:r>
          </w:p>
        </w:tc>
      </w:tr>
      <w:tr w14:paraId="6886A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1" w:type="dxa"/>
            <w:vMerge w:val="continue"/>
            <w:noWrap w:val="0"/>
            <w:vAlign w:val="center"/>
          </w:tcPr>
          <w:p w14:paraId="6D86064A">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2143" w:type="dxa"/>
            <w:vMerge w:val="continue"/>
            <w:noWrap w:val="0"/>
            <w:vAlign w:val="center"/>
          </w:tcPr>
          <w:p w14:paraId="7A5EAC47">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457" w:type="dxa"/>
            <w:noWrap w:val="0"/>
            <w:vAlign w:val="center"/>
          </w:tcPr>
          <w:p w14:paraId="5B07CF49">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（2）每季度至少开展1次外墙贴饰面、幕墙玻璃、雨棚、散水、空调室外机支撑构件等检查，发现破损，及时向采购人报告，按采购人要求出具维修方案，待采购人同意后按维修方案实施维修。</w:t>
            </w:r>
          </w:p>
        </w:tc>
      </w:tr>
      <w:tr w14:paraId="6E41D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1" w:type="dxa"/>
            <w:vMerge w:val="continue"/>
            <w:noWrap w:val="0"/>
            <w:vAlign w:val="center"/>
          </w:tcPr>
          <w:p w14:paraId="5FCEE0F3">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2143" w:type="dxa"/>
            <w:vMerge w:val="continue"/>
            <w:noWrap w:val="0"/>
            <w:vAlign w:val="center"/>
          </w:tcPr>
          <w:p w14:paraId="6B56B84E">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457" w:type="dxa"/>
            <w:noWrap w:val="0"/>
            <w:vAlign w:val="center"/>
          </w:tcPr>
          <w:p w14:paraId="54670972">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（3）每半月至少开展1次公用部位的门、窗、楼梯、通风道、室内地面、墙面、吊顶和室外屋面等巡查，发现破损，及时向采购人报告，按采购人要求出具维修方案，待采购人同意后按维修方案实施维修。</w:t>
            </w:r>
          </w:p>
        </w:tc>
      </w:tr>
      <w:tr w14:paraId="43265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1" w:type="dxa"/>
            <w:vMerge w:val="continue"/>
            <w:noWrap w:val="0"/>
            <w:vAlign w:val="center"/>
          </w:tcPr>
          <w:p w14:paraId="16FD8D7E">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2143" w:type="dxa"/>
            <w:vMerge w:val="continue"/>
            <w:noWrap w:val="0"/>
            <w:vAlign w:val="center"/>
          </w:tcPr>
          <w:p w14:paraId="1C75EE55">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457" w:type="dxa"/>
            <w:noWrap w:val="0"/>
            <w:vAlign w:val="center"/>
          </w:tcPr>
          <w:p w14:paraId="3C7531DB">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rPr>
              <w:t>（4）每年强降雨天气前后、雨雪季节检查屋面防水和雨落管等，发现破损，及时向采购人报告，按采购人要求出具维修方案，待采购人同意后按维修方案实施维修。</w:t>
            </w:r>
          </w:p>
        </w:tc>
      </w:tr>
      <w:tr w14:paraId="60A7B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1" w:type="dxa"/>
            <w:vMerge w:val="continue"/>
            <w:noWrap w:val="0"/>
            <w:vAlign w:val="center"/>
          </w:tcPr>
          <w:p w14:paraId="6BAB72F2">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2143" w:type="dxa"/>
            <w:vMerge w:val="continue"/>
            <w:noWrap w:val="0"/>
            <w:vAlign w:val="center"/>
          </w:tcPr>
          <w:p w14:paraId="3CCE2577">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457" w:type="dxa"/>
            <w:noWrap w:val="0"/>
            <w:vAlign w:val="center"/>
          </w:tcPr>
          <w:p w14:paraId="2D498709">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rPr>
              <w:t>（5）</w:t>
            </w:r>
            <w:r>
              <w:rPr>
                <w:rFonts w:hint="eastAsia" w:ascii="仿宋_GB2312" w:hAnsi="仿宋_GB2312" w:eastAsia="仿宋_GB2312" w:cs="仿宋_GB2312"/>
                <w:color w:val="auto"/>
                <w:sz w:val="32"/>
                <w:szCs w:val="32"/>
                <w:highlight w:val="none"/>
                <w:u w:val="none"/>
                <w:lang w:val="en-US" w:eastAsia="zh-CN"/>
              </w:rPr>
              <w:t>办公楼外观完好，建筑装饰面无脱落、无破损、无污渍，玻璃幕墙清洁明亮、无破损。</w:t>
            </w:r>
          </w:p>
        </w:tc>
      </w:tr>
      <w:tr w14:paraId="0C5C8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1" w:type="dxa"/>
            <w:vMerge w:val="continue"/>
            <w:noWrap w:val="0"/>
            <w:vAlign w:val="center"/>
          </w:tcPr>
          <w:p w14:paraId="2851BCC6">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2143" w:type="dxa"/>
            <w:vMerge w:val="continue"/>
            <w:noWrap w:val="0"/>
            <w:vAlign w:val="center"/>
          </w:tcPr>
          <w:p w14:paraId="57D6642F">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457" w:type="dxa"/>
            <w:noWrap w:val="0"/>
            <w:vAlign w:val="center"/>
          </w:tcPr>
          <w:p w14:paraId="011DEFF6">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rPr>
              <w:t>（6）</w:t>
            </w:r>
            <w:r>
              <w:rPr>
                <w:rFonts w:hint="eastAsia" w:ascii="仿宋_GB2312" w:hAnsi="仿宋_GB2312" w:eastAsia="仿宋_GB2312" w:cs="仿宋_GB2312"/>
                <w:color w:val="auto"/>
                <w:sz w:val="32"/>
                <w:szCs w:val="32"/>
                <w:highlight w:val="none"/>
                <w:u w:val="none"/>
                <w:lang w:val="en-US" w:eastAsia="zh-CN"/>
              </w:rPr>
              <w:t>通道、楼梯、门窗等设施的完好和正常使用。</w:t>
            </w:r>
          </w:p>
        </w:tc>
      </w:tr>
      <w:tr w14:paraId="2EB00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1" w:type="dxa"/>
            <w:vMerge w:val="restart"/>
            <w:noWrap w:val="0"/>
            <w:vAlign w:val="center"/>
          </w:tcPr>
          <w:p w14:paraId="34601A33">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w:t>
            </w:r>
          </w:p>
        </w:tc>
        <w:tc>
          <w:tcPr>
            <w:tcW w:w="2143" w:type="dxa"/>
            <w:vMerge w:val="restart"/>
            <w:noWrap w:val="0"/>
            <w:vAlign w:val="center"/>
          </w:tcPr>
          <w:p w14:paraId="241D770C">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rPr>
            </w:pPr>
            <w:r>
              <w:rPr>
                <w:rFonts w:hint="eastAsia" w:ascii="仿宋_GB2312" w:hAnsi="仿宋_GB2312" w:eastAsia="仿宋_GB2312" w:cs="仿宋_GB2312"/>
                <w:sz w:val="32"/>
                <w:szCs w:val="32"/>
                <w:highlight w:val="none"/>
                <w:lang w:val="en-US" w:eastAsia="zh-CN"/>
              </w:rPr>
              <w:t>附属设施</w:t>
            </w:r>
          </w:p>
        </w:tc>
        <w:tc>
          <w:tcPr>
            <w:tcW w:w="6457" w:type="dxa"/>
            <w:noWrap w:val="0"/>
            <w:vAlign w:val="center"/>
          </w:tcPr>
          <w:p w14:paraId="788380FE">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rPr>
              <w:t>（1）每半月至少开展1次大门、围墙、道路、场地、管井、沟渠等巡查，每半月至少检查1次雨污水管井、化粪池等巡查，发现破损，及时向采购人报告，按采购人要求出具维修方案，待采购人同意后按维修方案实施维修。</w:t>
            </w:r>
          </w:p>
        </w:tc>
      </w:tr>
      <w:tr w14:paraId="77FCE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1" w:type="dxa"/>
            <w:vMerge w:val="continue"/>
            <w:noWrap w:val="0"/>
            <w:vAlign w:val="center"/>
          </w:tcPr>
          <w:p w14:paraId="42DACE39">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2143" w:type="dxa"/>
            <w:vMerge w:val="continue"/>
            <w:noWrap w:val="0"/>
            <w:vAlign w:val="center"/>
          </w:tcPr>
          <w:p w14:paraId="7578C7F2">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457" w:type="dxa"/>
            <w:noWrap w:val="0"/>
            <w:vAlign w:val="center"/>
          </w:tcPr>
          <w:p w14:paraId="2DA2CD09">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rPr>
              <w:t>（2）</w:t>
            </w:r>
            <w:r>
              <w:rPr>
                <w:rFonts w:hint="eastAsia" w:ascii="仿宋_GB2312" w:hAnsi="仿宋_GB2312" w:eastAsia="仿宋_GB2312" w:cs="仿宋_GB2312"/>
                <w:color w:val="auto"/>
                <w:sz w:val="32"/>
                <w:szCs w:val="32"/>
                <w:highlight w:val="none"/>
                <w:u w:val="none"/>
                <w:lang w:val="en-US" w:eastAsia="zh-CN"/>
              </w:rPr>
              <w:t>路面状态良好，地漏通畅不堵塞。</w:t>
            </w:r>
          </w:p>
        </w:tc>
      </w:tr>
      <w:tr w14:paraId="5F343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1" w:type="dxa"/>
            <w:vMerge w:val="continue"/>
            <w:noWrap w:val="0"/>
            <w:vAlign w:val="center"/>
          </w:tcPr>
          <w:p w14:paraId="53C68DE5">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2143" w:type="dxa"/>
            <w:vMerge w:val="continue"/>
            <w:noWrap w:val="0"/>
            <w:vAlign w:val="center"/>
          </w:tcPr>
          <w:p w14:paraId="231A9AC0">
            <w:pPr>
              <w:keepNext w:val="0"/>
              <w:keepLines w:val="0"/>
              <w:pageBreakBefore w:val="0"/>
              <w:widowControl/>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457" w:type="dxa"/>
            <w:noWrap w:val="0"/>
            <w:vAlign w:val="center"/>
          </w:tcPr>
          <w:p w14:paraId="21B05154">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rPr>
              <w:t>（3）接到采购人家具报修服务后，及时通知家具供货商对保修期内的家具进行维修，及时对保修期外的家具进行维修。</w:t>
            </w:r>
          </w:p>
        </w:tc>
      </w:tr>
      <w:tr w14:paraId="790F9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1" w:type="dxa"/>
            <w:vMerge w:val="continue"/>
            <w:noWrap w:val="0"/>
            <w:vAlign w:val="center"/>
          </w:tcPr>
          <w:p w14:paraId="6B0AF913">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2143" w:type="dxa"/>
            <w:vMerge w:val="continue"/>
            <w:noWrap w:val="0"/>
            <w:vAlign w:val="center"/>
          </w:tcPr>
          <w:p w14:paraId="3F47C393">
            <w:pPr>
              <w:keepNext w:val="0"/>
              <w:keepLines w:val="0"/>
              <w:pageBreakBefore w:val="0"/>
              <w:widowControl/>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457" w:type="dxa"/>
            <w:noWrap w:val="0"/>
            <w:vAlign w:val="center"/>
          </w:tcPr>
          <w:p w14:paraId="7BB7E630">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（4）接到采购人家具报修服务后，及时通知家具供货商对保修期内的家具进行维修，及时对保修期外的家具进行维修。</w:t>
            </w:r>
          </w:p>
        </w:tc>
      </w:tr>
      <w:tr w14:paraId="2C88D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1" w:type="dxa"/>
            <w:vMerge w:val="restart"/>
            <w:noWrap w:val="0"/>
            <w:vAlign w:val="center"/>
          </w:tcPr>
          <w:p w14:paraId="7EF4F51A">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w:t>
            </w:r>
          </w:p>
        </w:tc>
        <w:tc>
          <w:tcPr>
            <w:tcW w:w="2143" w:type="dxa"/>
            <w:vMerge w:val="restart"/>
            <w:noWrap w:val="0"/>
            <w:vAlign w:val="center"/>
          </w:tcPr>
          <w:p w14:paraId="115874BF">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装饰装修</w:t>
            </w:r>
            <w:r>
              <w:rPr>
                <w:rFonts w:hint="eastAsia" w:ascii="仿宋_GB2312" w:hAnsi="仿宋_GB2312" w:eastAsia="仿宋_GB2312" w:cs="仿宋_GB2312"/>
                <w:sz w:val="32"/>
                <w:szCs w:val="32"/>
                <w:highlight w:val="none"/>
                <w:lang w:val="en-US" w:eastAsia="zh-CN"/>
              </w:rPr>
              <w:t>监督</w:t>
            </w:r>
            <w:r>
              <w:rPr>
                <w:rFonts w:hint="eastAsia" w:ascii="仿宋_GB2312" w:hAnsi="仿宋_GB2312" w:eastAsia="仿宋_GB2312" w:cs="仿宋_GB2312"/>
                <w:sz w:val="32"/>
                <w:szCs w:val="32"/>
                <w:highlight w:val="none"/>
              </w:rPr>
              <w:t>管理</w:t>
            </w:r>
          </w:p>
        </w:tc>
        <w:tc>
          <w:tcPr>
            <w:tcW w:w="6457" w:type="dxa"/>
            <w:noWrap w:val="0"/>
            <w:vAlign w:val="center"/>
          </w:tcPr>
          <w:p w14:paraId="31E9FD1F">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rPr>
              <w:t>（1）装饰装修前，供应商应与采购人或采购人委托的装修企业签订装饰装修管理服务协议，告知装饰装修须知，并对装饰装修过程进行管理服务。</w:t>
            </w:r>
          </w:p>
        </w:tc>
      </w:tr>
      <w:tr w14:paraId="7C6F6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1" w:type="dxa"/>
            <w:vMerge w:val="continue"/>
            <w:noWrap w:val="0"/>
            <w:vAlign w:val="center"/>
          </w:tcPr>
          <w:p w14:paraId="02830387">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43" w:type="dxa"/>
            <w:vMerge w:val="continue"/>
            <w:noWrap w:val="0"/>
            <w:vAlign w:val="center"/>
          </w:tcPr>
          <w:p w14:paraId="3BCA9C5A">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457" w:type="dxa"/>
            <w:noWrap w:val="0"/>
            <w:vAlign w:val="center"/>
          </w:tcPr>
          <w:p w14:paraId="43C3654E">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rPr>
              <w:t>（2）根据协议内容，做好装修垃圾临时堆放、清运等</w:t>
            </w:r>
            <w:r>
              <w:rPr>
                <w:rFonts w:hint="eastAsia" w:ascii="仿宋_GB2312" w:hAnsi="仿宋_GB2312" w:eastAsia="仿宋_GB2312" w:cs="仿宋_GB2312"/>
                <w:sz w:val="32"/>
                <w:szCs w:val="32"/>
                <w:highlight w:val="none"/>
                <w:lang w:eastAsia="zh-CN"/>
              </w:rPr>
              <w:t>。</w:t>
            </w:r>
          </w:p>
        </w:tc>
      </w:tr>
      <w:tr w14:paraId="79223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1" w:type="dxa"/>
            <w:vMerge w:val="continue"/>
            <w:noWrap w:val="0"/>
            <w:vAlign w:val="center"/>
          </w:tcPr>
          <w:p w14:paraId="3EC7D9A8">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43" w:type="dxa"/>
            <w:vMerge w:val="continue"/>
            <w:noWrap w:val="0"/>
            <w:vAlign w:val="center"/>
          </w:tcPr>
          <w:p w14:paraId="694585AA">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457" w:type="dxa"/>
            <w:noWrap w:val="0"/>
            <w:vAlign w:val="center"/>
          </w:tcPr>
          <w:p w14:paraId="1AF47A21">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rPr>
              <w:t>（3）</w:t>
            </w:r>
            <w:r>
              <w:rPr>
                <w:rFonts w:hint="eastAsia" w:ascii="仿宋_GB2312" w:hAnsi="仿宋_GB2312" w:eastAsia="仿宋_GB2312" w:cs="仿宋_GB2312"/>
                <w:color w:val="auto"/>
                <w:sz w:val="32"/>
                <w:szCs w:val="32"/>
                <w:highlight w:val="none"/>
                <w:u w:val="none"/>
                <w:lang w:val="en-US" w:eastAsia="zh-CN"/>
              </w:rPr>
              <w:t>受</w:t>
            </w:r>
            <w:r>
              <w:rPr>
                <w:rFonts w:hint="eastAsia" w:ascii="仿宋_GB2312" w:hAnsi="仿宋_GB2312" w:eastAsia="仿宋_GB2312" w:cs="仿宋_GB2312"/>
                <w:b w:val="0"/>
                <w:bCs w:val="0"/>
                <w:color w:val="auto"/>
                <w:kern w:val="0"/>
                <w:sz w:val="32"/>
                <w:szCs w:val="32"/>
                <w:highlight w:val="none"/>
                <w:lang w:val="en-US" w:eastAsia="zh-CN"/>
              </w:rPr>
              <w:t>采购人</w:t>
            </w:r>
            <w:r>
              <w:rPr>
                <w:rFonts w:hint="eastAsia" w:ascii="仿宋_GB2312" w:hAnsi="仿宋_GB2312" w:eastAsia="仿宋_GB2312" w:cs="仿宋_GB2312"/>
                <w:color w:val="auto"/>
                <w:sz w:val="32"/>
                <w:szCs w:val="32"/>
                <w:highlight w:val="none"/>
                <w:u w:val="none"/>
                <w:lang w:val="en-US" w:eastAsia="zh-CN"/>
              </w:rPr>
              <w:t>委托对房屋内装修进行严格的监督管理，发现问题及时上报，确保不因装修而危及大楼结构安全、人身安全和影响正常办公秩序。</w:t>
            </w:r>
          </w:p>
        </w:tc>
      </w:tr>
    </w:tbl>
    <w:p w14:paraId="1EA8E36B">
      <w:pPr>
        <w:pStyle w:val="4"/>
        <w:numPr>
          <w:ilvl w:val="2"/>
          <w:numId w:val="0"/>
        </w:numPr>
        <w:bidi w:val="0"/>
        <w:ind w:leftChars="0" w:firstLine="640" w:firstLineChars="200"/>
        <w:rPr>
          <w:rFonts w:hint="eastAsia" w:ascii="仿宋_GB2312" w:hAnsi="仿宋_GB2312" w:eastAsia="仿宋_GB2312" w:cs="仿宋_GB2312"/>
          <w:sz w:val="32"/>
          <w:szCs w:val="32"/>
          <w:highlight w:val="none"/>
          <w:lang w:val="en-US" w:eastAsia="zh-CN"/>
        </w:rPr>
      </w:pPr>
      <w:bookmarkStart w:id="7" w:name="_3.3共用设施设备维护服务"/>
      <w:r>
        <w:rPr>
          <w:rFonts w:hint="eastAsia" w:ascii="仿宋_GB2312" w:hAnsi="仿宋_GB2312" w:eastAsia="仿宋_GB2312" w:cs="仿宋_GB2312"/>
          <w:sz w:val="32"/>
          <w:szCs w:val="32"/>
          <w:highlight w:val="none"/>
          <w:lang w:val="en-US" w:eastAsia="zh-CN"/>
        </w:rPr>
        <w:t>3.3共用设施设备维护服务</w:t>
      </w:r>
    </w:p>
    <w:bookmarkEnd w:id="7"/>
    <w:tbl>
      <w:tblPr>
        <w:tblStyle w:val="24"/>
        <w:tblW w:w="501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7"/>
        <w:gridCol w:w="1661"/>
        <w:gridCol w:w="6163"/>
      </w:tblGrid>
      <w:tr w14:paraId="2D28C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noWrap w:val="0"/>
            <w:vAlign w:val="center"/>
          </w:tcPr>
          <w:p w14:paraId="4343AFB8">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序号</w:t>
            </w:r>
          </w:p>
        </w:tc>
        <w:tc>
          <w:tcPr>
            <w:tcW w:w="1810" w:type="dxa"/>
            <w:noWrap w:val="0"/>
            <w:vAlign w:val="center"/>
          </w:tcPr>
          <w:p w14:paraId="3FB39484">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color w:val="auto"/>
                <w:kern w:val="0"/>
                <w:sz w:val="32"/>
                <w:szCs w:val="32"/>
                <w:highlight w:val="none"/>
              </w:rPr>
            </w:pPr>
            <w:r>
              <w:rPr>
                <w:rFonts w:hint="eastAsia" w:ascii="仿宋_GB2312" w:hAnsi="仿宋_GB2312" w:eastAsia="仿宋_GB2312" w:cs="仿宋_GB2312"/>
                <w:b/>
                <w:bCs/>
                <w:color w:val="auto"/>
                <w:kern w:val="0"/>
                <w:sz w:val="32"/>
                <w:szCs w:val="32"/>
                <w:highlight w:val="none"/>
              </w:rPr>
              <w:t>服务内容</w:t>
            </w:r>
          </w:p>
        </w:tc>
        <w:tc>
          <w:tcPr>
            <w:tcW w:w="6717" w:type="dxa"/>
            <w:noWrap w:val="0"/>
            <w:vAlign w:val="center"/>
          </w:tcPr>
          <w:p w14:paraId="7248EFA3">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服务标准</w:t>
            </w:r>
          </w:p>
        </w:tc>
      </w:tr>
      <w:tr w14:paraId="40BE3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restart"/>
            <w:noWrap w:val="0"/>
            <w:vAlign w:val="center"/>
          </w:tcPr>
          <w:p w14:paraId="3F393B49">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w:t>
            </w:r>
          </w:p>
        </w:tc>
        <w:tc>
          <w:tcPr>
            <w:tcW w:w="1810" w:type="dxa"/>
            <w:vMerge w:val="restart"/>
            <w:noWrap w:val="0"/>
            <w:vAlign w:val="center"/>
          </w:tcPr>
          <w:p w14:paraId="5A6AF7A9">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基本要求</w:t>
            </w:r>
          </w:p>
        </w:tc>
        <w:tc>
          <w:tcPr>
            <w:tcW w:w="6717" w:type="dxa"/>
            <w:noWrap w:val="0"/>
            <w:vAlign w:val="center"/>
          </w:tcPr>
          <w:p w14:paraId="2D1F879B">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（1）重大节假日及恶劣天气前后，组织系统巡检1次。</w:t>
            </w:r>
          </w:p>
        </w:tc>
      </w:tr>
      <w:tr w14:paraId="06C41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55E0DA87">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1810" w:type="dxa"/>
            <w:vMerge w:val="continue"/>
            <w:noWrap w:val="0"/>
            <w:vAlign w:val="center"/>
          </w:tcPr>
          <w:p w14:paraId="1AC8E6FF">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717" w:type="dxa"/>
            <w:noWrap w:val="0"/>
            <w:vAlign w:val="center"/>
          </w:tcPr>
          <w:p w14:paraId="1D6B8307">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（2）具备设施设备安全、稳定运行的环境和场所，温湿度、照度、粉尘和烟雾浓度等符合相关安全规范。</w:t>
            </w:r>
          </w:p>
        </w:tc>
      </w:tr>
      <w:tr w14:paraId="75C23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2" w:type="dxa"/>
            <w:vMerge w:val="restart"/>
            <w:noWrap w:val="0"/>
            <w:vAlign w:val="center"/>
          </w:tcPr>
          <w:p w14:paraId="21A9D2E0">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w:t>
            </w:r>
          </w:p>
        </w:tc>
        <w:tc>
          <w:tcPr>
            <w:tcW w:w="1810" w:type="dxa"/>
            <w:vMerge w:val="restart"/>
            <w:noWrap w:val="0"/>
            <w:vAlign w:val="center"/>
          </w:tcPr>
          <w:p w14:paraId="7C08716C">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设备机房</w:t>
            </w:r>
          </w:p>
        </w:tc>
        <w:tc>
          <w:tcPr>
            <w:tcW w:w="6717" w:type="dxa"/>
            <w:noWrap w:val="0"/>
            <w:vAlign w:val="center"/>
          </w:tcPr>
          <w:p w14:paraId="04E8E997">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设备机房门口有机房类别及安全标志。落实各类机房责任人、督查人，且设备系统图、应急预案流程图、管理制度、特种作业人员资格证书等上墙文件或证书符合各设备机房国家标准规范要求，机房巡视及外来人员记录清晰完整，标识统一。</w:t>
            </w:r>
          </w:p>
        </w:tc>
      </w:tr>
      <w:tr w14:paraId="239AC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792" w:type="dxa"/>
            <w:vMerge w:val="continue"/>
            <w:noWrap w:val="0"/>
            <w:vAlign w:val="center"/>
          </w:tcPr>
          <w:p w14:paraId="491E875A">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1810" w:type="dxa"/>
            <w:vMerge w:val="continue"/>
            <w:noWrap w:val="0"/>
            <w:vAlign w:val="center"/>
          </w:tcPr>
          <w:p w14:paraId="26A0703E">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717" w:type="dxa"/>
            <w:noWrap w:val="0"/>
            <w:vAlign w:val="center"/>
          </w:tcPr>
          <w:p w14:paraId="00A281B6">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（2）设备机房门窗、锁具应完好、有效。</w:t>
            </w:r>
          </w:p>
        </w:tc>
      </w:tr>
      <w:tr w14:paraId="42853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792" w:type="dxa"/>
            <w:vMerge w:val="continue"/>
            <w:noWrap w:val="0"/>
            <w:vAlign w:val="center"/>
          </w:tcPr>
          <w:p w14:paraId="04040118">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1810" w:type="dxa"/>
            <w:vMerge w:val="continue"/>
            <w:noWrap w:val="0"/>
            <w:vAlign w:val="center"/>
          </w:tcPr>
          <w:p w14:paraId="5FCA3EC4">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717" w:type="dxa"/>
            <w:noWrap w:val="0"/>
            <w:vAlign w:val="center"/>
          </w:tcPr>
          <w:p w14:paraId="4AB84BCC">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（3）每半月至少开展1次清洁，整洁有序、无杂物、无积尘、无鼠、无虫害，温湿度符合设备运行要求。</w:t>
            </w:r>
          </w:p>
        </w:tc>
      </w:tr>
      <w:tr w14:paraId="25DCD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792" w:type="dxa"/>
            <w:vMerge w:val="continue"/>
            <w:noWrap w:val="0"/>
            <w:vAlign w:val="center"/>
          </w:tcPr>
          <w:p w14:paraId="6F7FF020">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1810" w:type="dxa"/>
            <w:vMerge w:val="continue"/>
            <w:noWrap w:val="0"/>
            <w:vAlign w:val="center"/>
          </w:tcPr>
          <w:p w14:paraId="42AA5624">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717" w:type="dxa"/>
            <w:noWrap w:val="0"/>
            <w:vAlign w:val="center"/>
          </w:tcPr>
          <w:p w14:paraId="4CB85995">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（4）按各设备机房国家标准规范规定维护/保管消防、通风、应急照明、防止小动物进入等附属设施。</w:t>
            </w:r>
          </w:p>
        </w:tc>
      </w:tr>
      <w:tr w14:paraId="777C3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792" w:type="dxa"/>
            <w:vMerge w:val="continue"/>
            <w:noWrap w:val="0"/>
            <w:vAlign w:val="center"/>
          </w:tcPr>
          <w:p w14:paraId="5A6A6A59">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1810" w:type="dxa"/>
            <w:vMerge w:val="continue"/>
            <w:noWrap w:val="0"/>
            <w:vAlign w:val="center"/>
          </w:tcPr>
          <w:p w14:paraId="48E4CB28">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717" w:type="dxa"/>
            <w:noWrap w:val="0"/>
            <w:vAlign w:val="center"/>
          </w:tcPr>
          <w:p w14:paraId="04A994BC">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（5）安全防护用具配置齐全，检验合格。</w:t>
            </w:r>
          </w:p>
        </w:tc>
      </w:tr>
      <w:tr w14:paraId="2BB0B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792" w:type="dxa"/>
            <w:vMerge w:val="continue"/>
            <w:noWrap w:val="0"/>
            <w:vAlign w:val="center"/>
          </w:tcPr>
          <w:p w14:paraId="0ADE4DEF">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1810" w:type="dxa"/>
            <w:vMerge w:val="continue"/>
            <w:noWrap w:val="0"/>
            <w:vAlign w:val="center"/>
          </w:tcPr>
          <w:p w14:paraId="18CB7136">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717" w:type="dxa"/>
            <w:noWrap w:val="0"/>
            <w:vAlign w:val="center"/>
          </w:tcPr>
          <w:p w14:paraId="45720B7D">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（6）应急设施设备用品应齐全、完备，可随时启用。</w:t>
            </w:r>
          </w:p>
        </w:tc>
      </w:tr>
      <w:tr w14:paraId="4001B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restart"/>
            <w:noWrap w:val="0"/>
            <w:vAlign w:val="center"/>
          </w:tcPr>
          <w:p w14:paraId="48A2456E">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w:t>
            </w:r>
          </w:p>
        </w:tc>
        <w:tc>
          <w:tcPr>
            <w:tcW w:w="1810" w:type="dxa"/>
            <w:vMerge w:val="restart"/>
            <w:noWrap w:val="0"/>
            <w:vAlign w:val="center"/>
          </w:tcPr>
          <w:p w14:paraId="788B80CE">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给排水系统</w:t>
            </w:r>
          </w:p>
        </w:tc>
        <w:tc>
          <w:tcPr>
            <w:tcW w:w="6717" w:type="dxa"/>
            <w:noWrap w:val="0"/>
            <w:vAlign w:val="center"/>
          </w:tcPr>
          <w:p w14:paraId="25393B9B">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（1）生活饮用水卫生符合《</w:t>
            </w:r>
            <w:r>
              <w:rPr>
                <w:rFonts w:hint="eastAsia" w:ascii="仿宋_GB2312" w:hAnsi="仿宋_GB2312" w:eastAsia="仿宋_GB2312" w:cs="仿宋_GB2312"/>
                <w:color w:val="auto"/>
                <w:kern w:val="0"/>
                <w:sz w:val="32"/>
                <w:szCs w:val="32"/>
                <w:highlight w:val="none"/>
              </w:rPr>
              <w:t>生活饮用水卫生标准</w:t>
            </w:r>
            <w:r>
              <w:rPr>
                <w:rFonts w:hint="eastAsia" w:ascii="仿宋_GB2312" w:hAnsi="仿宋_GB2312" w:eastAsia="仿宋_GB2312" w:cs="仿宋_GB2312"/>
                <w:b w:val="0"/>
                <w:bCs w:val="0"/>
                <w:color w:val="auto"/>
                <w:kern w:val="0"/>
                <w:sz w:val="32"/>
                <w:szCs w:val="32"/>
                <w:highlight w:val="none"/>
                <w:lang w:val="en-US" w:eastAsia="zh-CN"/>
              </w:rPr>
              <w:t>》（GB5749）的相关要求。</w:t>
            </w:r>
          </w:p>
        </w:tc>
      </w:tr>
      <w:tr w14:paraId="1894F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1F95B0CA">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1810" w:type="dxa"/>
            <w:vMerge w:val="continue"/>
            <w:noWrap w:val="0"/>
            <w:vAlign w:val="center"/>
          </w:tcPr>
          <w:p w14:paraId="69C33B75">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717" w:type="dxa"/>
            <w:noWrap w:val="0"/>
            <w:vAlign w:val="center"/>
          </w:tcPr>
          <w:p w14:paraId="3D6F9E8F">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（2）二次供水卫生符合《二次供水设施卫生规范》（GB17051）的相关要求。</w:t>
            </w:r>
          </w:p>
        </w:tc>
      </w:tr>
      <w:tr w14:paraId="1E1B8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46EEFF20">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1810" w:type="dxa"/>
            <w:vMerge w:val="continue"/>
            <w:noWrap w:val="0"/>
            <w:vAlign w:val="center"/>
          </w:tcPr>
          <w:p w14:paraId="2DCE0DB0">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717" w:type="dxa"/>
            <w:noWrap w:val="0"/>
            <w:vAlign w:val="center"/>
          </w:tcPr>
          <w:p w14:paraId="6083D9CD">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（3）设施设备、阀门、管道等运行正常，无跑、冒、滴、漏现象。</w:t>
            </w:r>
          </w:p>
        </w:tc>
      </w:tr>
      <w:tr w14:paraId="6FE23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587355BF">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1810" w:type="dxa"/>
            <w:vMerge w:val="continue"/>
            <w:noWrap w:val="0"/>
            <w:vAlign w:val="center"/>
          </w:tcPr>
          <w:p w14:paraId="17D63DE5">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717" w:type="dxa"/>
            <w:noWrap w:val="0"/>
            <w:vAlign w:val="center"/>
          </w:tcPr>
          <w:p w14:paraId="08227B5C">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（4）有水泵房、水箱间的，每日至少巡视1次。每年至少养护1次水泵。</w:t>
            </w:r>
          </w:p>
        </w:tc>
      </w:tr>
      <w:tr w14:paraId="1A00C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1D4BDED4">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1810" w:type="dxa"/>
            <w:vMerge w:val="continue"/>
            <w:noWrap w:val="0"/>
            <w:vAlign w:val="center"/>
          </w:tcPr>
          <w:p w14:paraId="3A0B881A">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717" w:type="dxa"/>
            <w:noWrap w:val="0"/>
            <w:vAlign w:val="center"/>
          </w:tcPr>
          <w:p w14:paraId="3297FCA4">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（5）遇供水单位限水、停水，按规定时间通知采购人。</w:t>
            </w:r>
          </w:p>
        </w:tc>
      </w:tr>
      <w:tr w14:paraId="09D13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41C13445">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1810" w:type="dxa"/>
            <w:vMerge w:val="continue"/>
            <w:noWrap w:val="0"/>
            <w:vAlign w:val="center"/>
          </w:tcPr>
          <w:p w14:paraId="69B42598">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717" w:type="dxa"/>
            <w:noWrap w:val="0"/>
            <w:vAlign w:val="center"/>
          </w:tcPr>
          <w:p w14:paraId="5858ADA0">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（6）每季度至少开展1次对排水管进行疏通、清污，保证室内外排水系统通畅。</w:t>
            </w:r>
          </w:p>
        </w:tc>
      </w:tr>
      <w:tr w14:paraId="788F2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restart"/>
            <w:noWrap w:val="0"/>
            <w:vAlign w:val="center"/>
          </w:tcPr>
          <w:p w14:paraId="08B10ACA">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yellow"/>
                <w:lang w:val="en-US" w:eastAsia="zh-CN"/>
              </w:rPr>
            </w:pPr>
            <w:r>
              <w:rPr>
                <w:rFonts w:hint="eastAsia" w:ascii="仿宋_GB2312" w:hAnsi="仿宋_GB2312" w:eastAsia="仿宋_GB2312" w:cs="仿宋_GB2312"/>
                <w:sz w:val="32"/>
                <w:szCs w:val="32"/>
                <w:highlight w:val="none"/>
                <w:lang w:val="en-US" w:eastAsia="zh-CN"/>
              </w:rPr>
              <w:t>4</w:t>
            </w:r>
          </w:p>
        </w:tc>
        <w:tc>
          <w:tcPr>
            <w:tcW w:w="1810" w:type="dxa"/>
            <w:vMerge w:val="restart"/>
            <w:noWrap w:val="0"/>
            <w:vAlign w:val="center"/>
          </w:tcPr>
          <w:p w14:paraId="4B84EC6D">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空调</w:t>
            </w:r>
            <w:r>
              <w:rPr>
                <w:rFonts w:hint="eastAsia" w:ascii="仿宋_GB2312" w:hAnsi="仿宋_GB2312" w:eastAsia="仿宋_GB2312" w:cs="仿宋_GB2312"/>
                <w:sz w:val="32"/>
                <w:szCs w:val="32"/>
                <w:highlight w:val="none"/>
              </w:rPr>
              <w:t>系统</w:t>
            </w:r>
          </w:p>
        </w:tc>
        <w:tc>
          <w:tcPr>
            <w:tcW w:w="6717" w:type="dxa"/>
            <w:noWrap w:val="0"/>
            <w:vAlign w:val="center"/>
          </w:tcPr>
          <w:p w14:paraId="55D4E159">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（1）空调通风系统运行管理符合《空调通风系统运行管理标准》（GB50365）的相关要求。</w:t>
            </w:r>
          </w:p>
        </w:tc>
      </w:tr>
      <w:tr w14:paraId="46570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4BEDA196">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yellow"/>
                <w:lang w:val="en-US" w:eastAsia="zh-CN"/>
              </w:rPr>
            </w:pPr>
          </w:p>
        </w:tc>
        <w:tc>
          <w:tcPr>
            <w:tcW w:w="1810" w:type="dxa"/>
            <w:vMerge w:val="continue"/>
            <w:noWrap w:val="0"/>
            <w:vAlign w:val="center"/>
          </w:tcPr>
          <w:p w14:paraId="52E4AA7B">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717" w:type="dxa"/>
            <w:noWrap w:val="0"/>
            <w:vAlign w:val="center"/>
          </w:tcPr>
          <w:p w14:paraId="70771D84">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（2）办公楼内温湿度、空气质量等符合《室内空气质量标准》（GB/T18883）的相关要求。</w:t>
            </w:r>
          </w:p>
        </w:tc>
      </w:tr>
      <w:tr w14:paraId="6333D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12F68AC8">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yellow"/>
                <w:lang w:val="en-US" w:eastAsia="zh-CN"/>
              </w:rPr>
            </w:pPr>
          </w:p>
        </w:tc>
        <w:tc>
          <w:tcPr>
            <w:tcW w:w="1810" w:type="dxa"/>
            <w:vMerge w:val="continue"/>
            <w:noWrap w:val="0"/>
            <w:vAlign w:val="center"/>
          </w:tcPr>
          <w:p w14:paraId="2A3D4058">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717" w:type="dxa"/>
            <w:noWrap w:val="0"/>
            <w:vAlign w:val="center"/>
          </w:tcPr>
          <w:p w14:paraId="697BB91B">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（3）定期维保并做好记录，保证空调设施设备处于良好状态。</w:t>
            </w:r>
          </w:p>
        </w:tc>
      </w:tr>
      <w:tr w14:paraId="4C7AC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11F4C29A">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yellow"/>
                <w:lang w:val="en-US" w:eastAsia="zh-CN"/>
              </w:rPr>
            </w:pPr>
          </w:p>
        </w:tc>
        <w:tc>
          <w:tcPr>
            <w:tcW w:w="1810" w:type="dxa"/>
            <w:vMerge w:val="continue"/>
            <w:noWrap w:val="0"/>
            <w:vAlign w:val="center"/>
          </w:tcPr>
          <w:p w14:paraId="47D8AF23">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717" w:type="dxa"/>
            <w:noWrap w:val="0"/>
            <w:vAlign w:val="center"/>
          </w:tcPr>
          <w:p w14:paraId="57982C4A">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（4）中央空调运行前对冷水机组、循环水泵、冷却塔、风机等设施设备进行系统检查，运行期间每日至少开展1次运行情况巡查。</w:t>
            </w:r>
          </w:p>
        </w:tc>
      </w:tr>
      <w:tr w14:paraId="6C7F7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29DB5C3A">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yellow"/>
                <w:lang w:val="en-US" w:eastAsia="zh-CN"/>
              </w:rPr>
            </w:pPr>
          </w:p>
        </w:tc>
        <w:tc>
          <w:tcPr>
            <w:tcW w:w="1810" w:type="dxa"/>
            <w:vMerge w:val="continue"/>
            <w:noWrap w:val="0"/>
            <w:vAlign w:val="center"/>
          </w:tcPr>
          <w:p w14:paraId="7BFC7921">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717" w:type="dxa"/>
            <w:noWrap w:val="0"/>
            <w:vAlign w:val="center"/>
          </w:tcPr>
          <w:p w14:paraId="22F283D2">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（5）每半年至少开展1次管道、阀门检查并除锈。</w:t>
            </w:r>
          </w:p>
        </w:tc>
      </w:tr>
      <w:tr w14:paraId="229CD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7488FDDC">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yellow"/>
                <w:lang w:val="en-US" w:eastAsia="zh-CN"/>
              </w:rPr>
            </w:pPr>
          </w:p>
        </w:tc>
        <w:tc>
          <w:tcPr>
            <w:tcW w:w="1810" w:type="dxa"/>
            <w:vMerge w:val="continue"/>
            <w:noWrap w:val="0"/>
            <w:vAlign w:val="center"/>
          </w:tcPr>
          <w:p w14:paraId="47B160E0">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717" w:type="dxa"/>
            <w:noWrap w:val="0"/>
            <w:vAlign w:val="center"/>
          </w:tcPr>
          <w:p w14:paraId="2F53F91C">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（6）每年至少开展1次系统整体性维修养护，检验1次压力容器、仪表及冷却塔噪声。</w:t>
            </w:r>
          </w:p>
        </w:tc>
      </w:tr>
      <w:tr w14:paraId="271AB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3A172308">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yellow"/>
                <w:lang w:val="en-US" w:eastAsia="zh-CN"/>
              </w:rPr>
            </w:pPr>
          </w:p>
        </w:tc>
        <w:tc>
          <w:tcPr>
            <w:tcW w:w="1810" w:type="dxa"/>
            <w:vMerge w:val="continue"/>
            <w:noWrap w:val="0"/>
            <w:vAlign w:val="center"/>
          </w:tcPr>
          <w:p w14:paraId="66FAD137">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717" w:type="dxa"/>
            <w:noWrap w:val="0"/>
            <w:vAlign w:val="center"/>
          </w:tcPr>
          <w:p w14:paraId="16CC4797">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（7）每年至少开展1次新风机、空气处理机滤网等清洗消毒；每2年至少开展1次风管清洗消毒。</w:t>
            </w:r>
          </w:p>
        </w:tc>
      </w:tr>
      <w:tr w14:paraId="05397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4A8F6007">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yellow"/>
                <w:lang w:val="en-US" w:eastAsia="zh-CN"/>
              </w:rPr>
            </w:pPr>
          </w:p>
        </w:tc>
        <w:tc>
          <w:tcPr>
            <w:tcW w:w="1810" w:type="dxa"/>
            <w:vMerge w:val="continue"/>
            <w:noWrap w:val="0"/>
            <w:vAlign w:val="center"/>
          </w:tcPr>
          <w:p w14:paraId="6795F4F8">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717" w:type="dxa"/>
            <w:noWrap w:val="0"/>
            <w:vAlign w:val="center"/>
          </w:tcPr>
          <w:p w14:paraId="5732039D">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（8）每年至少开展1次分体式空调主机和室外机清洁。每月至少开展1次挂机和室外支架稳固性巡查。</w:t>
            </w:r>
          </w:p>
        </w:tc>
      </w:tr>
      <w:tr w14:paraId="5AA57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03E269C9">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yellow"/>
                <w:lang w:val="en-US" w:eastAsia="zh-CN"/>
              </w:rPr>
            </w:pPr>
          </w:p>
        </w:tc>
        <w:tc>
          <w:tcPr>
            <w:tcW w:w="1810" w:type="dxa"/>
            <w:vMerge w:val="continue"/>
            <w:noWrap w:val="0"/>
            <w:vAlign w:val="center"/>
          </w:tcPr>
          <w:p w14:paraId="46094350">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717" w:type="dxa"/>
            <w:noWrap w:val="0"/>
            <w:vAlign w:val="center"/>
          </w:tcPr>
          <w:p w14:paraId="16187D88">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（9）制冷、供暖系统温度设定及启用时间符合节能要求。</w:t>
            </w:r>
          </w:p>
        </w:tc>
      </w:tr>
      <w:tr w14:paraId="2E5E9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132D3A44">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yellow"/>
                <w:lang w:val="en-US" w:eastAsia="zh-CN"/>
              </w:rPr>
            </w:pPr>
          </w:p>
        </w:tc>
        <w:tc>
          <w:tcPr>
            <w:tcW w:w="1810" w:type="dxa"/>
            <w:vMerge w:val="continue"/>
            <w:noWrap w:val="0"/>
            <w:vAlign w:val="center"/>
          </w:tcPr>
          <w:p w14:paraId="6963AC59">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717" w:type="dxa"/>
            <w:noWrap w:val="0"/>
            <w:vAlign w:val="center"/>
          </w:tcPr>
          <w:p w14:paraId="2092A347">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（10）</w:t>
            </w:r>
            <w:r>
              <w:rPr>
                <w:rFonts w:hint="eastAsia" w:ascii="仿宋_GB2312" w:hAnsi="仿宋_GB2312" w:eastAsia="仿宋_GB2312" w:cs="仿宋_GB2312"/>
                <w:color w:val="auto"/>
                <w:sz w:val="32"/>
                <w:szCs w:val="32"/>
                <w:highlight w:val="none"/>
                <w:u w:val="none"/>
                <w:lang w:val="en-US" w:eastAsia="zh-CN"/>
              </w:rPr>
              <w:t>发现故障或损坏应在30分钟内到场，紧急维修须15分钟内到达现场，12小时内维修完毕。</w:t>
            </w:r>
          </w:p>
        </w:tc>
      </w:tr>
      <w:tr w14:paraId="54482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restart"/>
            <w:noWrap w:val="0"/>
            <w:vAlign w:val="center"/>
          </w:tcPr>
          <w:p w14:paraId="6BD18B4E">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5</w:t>
            </w:r>
          </w:p>
        </w:tc>
        <w:tc>
          <w:tcPr>
            <w:tcW w:w="1810" w:type="dxa"/>
            <w:vMerge w:val="restart"/>
            <w:noWrap w:val="0"/>
            <w:vAlign w:val="center"/>
          </w:tcPr>
          <w:p w14:paraId="74F4F5C4">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消防</w:t>
            </w:r>
            <w:r>
              <w:rPr>
                <w:rFonts w:hint="eastAsia" w:ascii="仿宋_GB2312" w:hAnsi="仿宋_GB2312" w:eastAsia="仿宋_GB2312" w:cs="仿宋_GB2312"/>
                <w:color w:val="auto"/>
                <w:sz w:val="32"/>
                <w:szCs w:val="32"/>
                <w:highlight w:val="none"/>
              </w:rPr>
              <w:t>系统</w:t>
            </w:r>
          </w:p>
        </w:tc>
        <w:tc>
          <w:tcPr>
            <w:tcW w:w="6717" w:type="dxa"/>
            <w:noWrap w:val="0"/>
            <w:vAlign w:val="center"/>
          </w:tcPr>
          <w:p w14:paraId="17370972">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（1）消防设施的维护管理符合《建筑消防设施的维护管理》（GB25201）的相关要求。</w:t>
            </w:r>
          </w:p>
        </w:tc>
      </w:tr>
      <w:tr w14:paraId="727BA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4EB64EA7">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1810" w:type="dxa"/>
            <w:vMerge w:val="continue"/>
            <w:noWrap w:val="0"/>
            <w:vAlign w:val="center"/>
          </w:tcPr>
          <w:p w14:paraId="1C727191">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color w:val="auto"/>
                <w:sz w:val="32"/>
                <w:szCs w:val="32"/>
                <w:highlight w:val="none"/>
                <w:lang w:val="en-US" w:eastAsia="zh-CN"/>
              </w:rPr>
            </w:pPr>
          </w:p>
        </w:tc>
        <w:tc>
          <w:tcPr>
            <w:tcW w:w="6717" w:type="dxa"/>
            <w:noWrap w:val="0"/>
            <w:vAlign w:val="center"/>
          </w:tcPr>
          <w:p w14:paraId="47114AF0">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（2）消防设备检测符合《建筑消防设施检测技术规程》（GA503）的相关要求。</w:t>
            </w:r>
          </w:p>
        </w:tc>
      </w:tr>
      <w:tr w14:paraId="4235C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3C192B47">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1810" w:type="dxa"/>
            <w:vMerge w:val="continue"/>
            <w:noWrap w:val="0"/>
            <w:vAlign w:val="center"/>
          </w:tcPr>
          <w:p w14:paraId="4767B665">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color w:val="auto"/>
                <w:sz w:val="32"/>
                <w:szCs w:val="32"/>
                <w:highlight w:val="none"/>
                <w:lang w:val="en-US" w:eastAsia="zh-CN"/>
              </w:rPr>
            </w:pPr>
          </w:p>
        </w:tc>
        <w:tc>
          <w:tcPr>
            <w:tcW w:w="6717" w:type="dxa"/>
            <w:noWrap w:val="0"/>
            <w:vAlign w:val="center"/>
          </w:tcPr>
          <w:p w14:paraId="1F42128E">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（3）消防设施平面图、火警疏散示意图、防火分区图等按幢设置在楼层醒目位置。</w:t>
            </w:r>
          </w:p>
        </w:tc>
      </w:tr>
      <w:tr w14:paraId="72398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0F4D1E40">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1810" w:type="dxa"/>
            <w:vMerge w:val="continue"/>
            <w:noWrap w:val="0"/>
            <w:vAlign w:val="center"/>
          </w:tcPr>
          <w:p w14:paraId="4BD7908C">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color w:val="auto"/>
                <w:sz w:val="32"/>
                <w:szCs w:val="32"/>
                <w:highlight w:val="none"/>
                <w:lang w:val="en-US" w:eastAsia="zh-CN"/>
              </w:rPr>
            </w:pPr>
          </w:p>
        </w:tc>
        <w:tc>
          <w:tcPr>
            <w:tcW w:w="6717" w:type="dxa"/>
            <w:noWrap w:val="0"/>
            <w:vAlign w:val="center"/>
          </w:tcPr>
          <w:p w14:paraId="65F7173E">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（4）消防系统各设施设备使用说明清晰，宜图文结合。</w:t>
            </w:r>
          </w:p>
        </w:tc>
      </w:tr>
      <w:tr w14:paraId="0B43E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545C6CD2">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1810" w:type="dxa"/>
            <w:vMerge w:val="continue"/>
            <w:noWrap w:val="0"/>
            <w:vAlign w:val="center"/>
          </w:tcPr>
          <w:p w14:paraId="0A174E47">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color w:val="auto"/>
                <w:sz w:val="32"/>
                <w:szCs w:val="32"/>
                <w:highlight w:val="none"/>
                <w:lang w:val="en-US" w:eastAsia="zh-CN"/>
              </w:rPr>
            </w:pPr>
          </w:p>
        </w:tc>
        <w:tc>
          <w:tcPr>
            <w:tcW w:w="6717" w:type="dxa"/>
            <w:noWrap w:val="0"/>
            <w:vAlign w:val="center"/>
          </w:tcPr>
          <w:p w14:paraId="7B6603BD">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（5）自动喷水灭火系统启动正常。</w:t>
            </w:r>
          </w:p>
        </w:tc>
      </w:tr>
      <w:tr w14:paraId="284B9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2B8D96E5">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1810" w:type="dxa"/>
            <w:vMerge w:val="continue"/>
            <w:noWrap w:val="0"/>
            <w:vAlign w:val="center"/>
          </w:tcPr>
          <w:p w14:paraId="3A9AC6ED">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color w:val="auto"/>
                <w:sz w:val="32"/>
                <w:szCs w:val="32"/>
                <w:highlight w:val="none"/>
                <w:lang w:val="en-US" w:eastAsia="zh-CN"/>
              </w:rPr>
            </w:pPr>
          </w:p>
        </w:tc>
        <w:tc>
          <w:tcPr>
            <w:tcW w:w="6717" w:type="dxa"/>
            <w:noWrap w:val="0"/>
            <w:vAlign w:val="center"/>
          </w:tcPr>
          <w:p w14:paraId="427FEF97">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（6）消火栓箱、防火门、灭火器、消防水泵、红外线报警器、应急照明、安全疏散等系统运行正常。</w:t>
            </w:r>
          </w:p>
        </w:tc>
      </w:tr>
      <w:tr w14:paraId="120C7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35D0D121">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1810" w:type="dxa"/>
            <w:vMerge w:val="continue"/>
            <w:noWrap w:val="0"/>
            <w:vAlign w:val="center"/>
          </w:tcPr>
          <w:p w14:paraId="6E31FE07">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color w:val="auto"/>
                <w:sz w:val="32"/>
                <w:szCs w:val="32"/>
                <w:highlight w:val="none"/>
                <w:lang w:val="en-US" w:eastAsia="zh-CN"/>
              </w:rPr>
            </w:pPr>
          </w:p>
        </w:tc>
        <w:tc>
          <w:tcPr>
            <w:tcW w:w="6717" w:type="dxa"/>
            <w:noWrap w:val="0"/>
            <w:vAlign w:val="center"/>
          </w:tcPr>
          <w:p w14:paraId="01928FD9">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（7）消防监控系统运行良好，自动和手动报警设施启动正常。</w:t>
            </w:r>
          </w:p>
        </w:tc>
      </w:tr>
      <w:tr w14:paraId="2D39A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47E4A26B">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1810" w:type="dxa"/>
            <w:vMerge w:val="continue"/>
            <w:noWrap w:val="0"/>
            <w:vAlign w:val="center"/>
          </w:tcPr>
          <w:p w14:paraId="25EF7132">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color w:val="auto"/>
                <w:sz w:val="32"/>
                <w:szCs w:val="32"/>
                <w:highlight w:val="none"/>
              </w:rPr>
            </w:pPr>
          </w:p>
        </w:tc>
        <w:tc>
          <w:tcPr>
            <w:tcW w:w="6717" w:type="dxa"/>
            <w:noWrap w:val="0"/>
            <w:vAlign w:val="center"/>
          </w:tcPr>
          <w:p w14:paraId="4D8876A9">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（8）正压送风、防排烟系统运行正常。</w:t>
            </w:r>
          </w:p>
        </w:tc>
      </w:tr>
      <w:tr w14:paraId="44E67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restart"/>
            <w:noWrap w:val="0"/>
            <w:vAlign w:val="center"/>
          </w:tcPr>
          <w:p w14:paraId="04FDCA77">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6</w:t>
            </w:r>
          </w:p>
        </w:tc>
        <w:tc>
          <w:tcPr>
            <w:tcW w:w="1810" w:type="dxa"/>
            <w:vMerge w:val="restart"/>
            <w:noWrap w:val="0"/>
            <w:vAlign w:val="center"/>
          </w:tcPr>
          <w:p w14:paraId="5C2E7C8F">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供</w:t>
            </w:r>
            <w:r>
              <w:rPr>
                <w:rFonts w:hint="eastAsia" w:ascii="仿宋_GB2312" w:hAnsi="仿宋_GB2312" w:eastAsia="仿宋_GB2312" w:cs="仿宋_GB2312"/>
                <w:sz w:val="32"/>
                <w:szCs w:val="32"/>
                <w:highlight w:val="none"/>
                <w:lang w:val="en-US" w:eastAsia="zh-CN"/>
              </w:rPr>
              <w:t>配电</w:t>
            </w:r>
            <w:r>
              <w:rPr>
                <w:rFonts w:hint="eastAsia" w:ascii="仿宋_GB2312" w:hAnsi="仿宋_GB2312" w:eastAsia="仿宋_GB2312" w:cs="仿宋_GB2312"/>
                <w:sz w:val="32"/>
                <w:szCs w:val="32"/>
                <w:highlight w:val="none"/>
              </w:rPr>
              <w:t>系统</w:t>
            </w:r>
          </w:p>
        </w:tc>
        <w:tc>
          <w:tcPr>
            <w:tcW w:w="6717" w:type="dxa"/>
            <w:noWrap w:val="0"/>
            <w:vAlign w:val="center"/>
          </w:tcPr>
          <w:p w14:paraId="756743F6">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（1）建立24小时运行值班监控制度。</w:t>
            </w:r>
          </w:p>
        </w:tc>
      </w:tr>
      <w:tr w14:paraId="21BCC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28B5A61B">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1810" w:type="dxa"/>
            <w:vMerge w:val="continue"/>
            <w:noWrap w:val="0"/>
            <w:vAlign w:val="center"/>
          </w:tcPr>
          <w:p w14:paraId="0BFE30E3">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717" w:type="dxa"/>
            <w:noWrap w:val="0"/>
            <w:vAlign w:val="center"/>
          </w:tcPr>
          <w:p w14:paraId="51B2BE7C">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（2）对供电范围内的电气设备定期巡视维护，加强高低压配电柜、配电箱、控制柜及线路等重点部位监测。</w:t>
            </w:r>
          </w:p>
        </w:tc>
      </w:tr>
      <w:tr w14:paraId="41E71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1818D762">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1810" w:type="dxa"/>
            <w:vMerge w:val="continue"/>
            <w:noWrap w:val="0"/>
            <w:vAlign w:val="center"/>
          </w:tcPr>
          <w:p w14:paraId="5806DD8A">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717" w:type="dxa"/>
            <w:noWrap w:val="0"/>
            <w:vAlign w:val="center"/>
          </w:tcPr>
          <w:p w14:paraId="190DB1ED">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（3）公共使用的照明、指示灯具线路、开关、接地等保持完好，确保用电安全。</w:t>
            </w:r>
          </w:p>
        </w:tc>
      </w:tr>
      <w:tr w14:paraId="58586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65EEFE6B">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1810" w:type="dxa"/>
            <w:vMerge w:val="continue"/>
            <w:noWrap w:val="0"/>
            <w:vAlign w:val="center"/>
          </w:tcPr>
          <w:p w14:paraId="396483BC">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717" w:type="dxa"/>
            <w:noWrap w:val="0"/>
            <w:vAlign w:val="center"/>
          </w:tcPr>
          <w:p w14:paraId="26A9438F">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（4）非计划性停电应在事件发生后及时通知采购人，快速恢复或启用应急电源，并做好应急事件上报及处理工作。</w:t>
            </w:r>
          </w:p>
        </w:tc>
      </w:tr>
      <w:tr w14:paraId="654D9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1CD0DD1B">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1810" w:type="dxa"/>
            <w:vMerge w:val="continue"/>
            <w:noWrap w:val="0"/>
            <w:vAlign w:val="center"/>
          </w:tcPr>
          <w:p w14:paraId="05404C37">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717" w:type="dxa"/>
            <w:noWrap w:val="0"/>
            <w:vAlign w:val="center"/>
          </w:tcPr>
          <w:p w14:paraId="42130A5F">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（5）复杂故障涉及供电部门维修处置的及时与供电部门联系，并向采购人报告。</w:t>
            </w:r>
          </w:p>
        </w:tc>
      </w:tr>
      <w:tr w14:paraId="0A43D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restart"/>
            <w:noWrap w:val="0"/>
            <w:vAlign w:val="center"/>
          </w:tcPr>
          <w:p w14:paraId="0D4EC6B0">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7</w:t>
            </w:r>
          </w:p>
        </w:tc>
        <w:tc>
          <w:tcPr>
            <w:tcW w:w="1810" w:type="dxa"/>
            <w:vMerge w:val="restart"/>
            <w:noWrap w:val="0"/>
            <w:vAlign w:val="center"/>
          </w:tcPr>
          <w:p w14:paraId="50B081A6">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弱电系统</w:t>
            </w:r>
          </w:p>
        </w:tc>
        <w:tc>
          <w:tcPr>
            <w:tcW w:w="6717" w:type="dxa"/>
            <w:noWrap w:val="0"/>
            <w:vAlign w:val="center"/>
          </w:tcPr>
          <w:p w14:paraId="67F87621">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（1）安全防范系统维护保养符合《安全防范系统维护保养规范》（</w:t>
            </w:r>
            <w:r>
              <w:rPr>
                <w:rFonts w:hint="eastAsia" w:ascii="仿宋_GB2312" w:hAnsi="仿宋_GB2312" w:eastAsia="仿宋_GB2312" w:cs="仿宋_GB2312"/>
                <w:color w:val="auto"/>
                <w:kern w:val="0"/>
                <w:sz w:val="32"/>
                <w:szCs w:val="32"/>
                <w:highlight w:val="none"/>
              </w:rPr>
              <w:t>GA/T 1081</w:t>
            </w:r>
            <w:r>
              <w:rPr>
                <w:rFonts w:hint="eastAsia" w:ascii="仿宋_GB2312" w:hAnsi="仿宋_GB2312" w:eastAsia="仿宋_GB2312" w:cs="仿宋_GB2312"/>
                <w:b w:val="0"/>
                <w:bCs w:val="0"/>
                <w:color w:val="auto"/>
                <w:kern w:val="0"/>
                <w:sz w:val="32"/>
                <w:szCs w:val="32"/>
                <w:highlight w:val="none"/>
                <w:lang w:val="en-US" w:eastAsia="zh-CN"/>
              </w:rPr>
              <w:t>）的相关要求。</w:t>
            </w:r>
          </w:p>
        </w:tc>
      </w:tr>
      <w:tr w14:paraId="33FE9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73DEFC4D">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1810" w:type="dxa"/>
            <w:vMerge w:val="continue"/>
            <w:noWrap w:val="0"/>
            <w:vAlign w:val="center"/>
          </w:tcPr>
          <w:p w14:paraId="0A6A2E73">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717" w:type="dxa"/>
            <w:noWrap w:val="0"/>
            <w:vAlign w:val="center"/>
          </w:tcPr>
          <w:p w14:paraId="4D200AE9">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（2）保持监控系统、门禁系统、安全防范系统等运行正常，有故障及时排除。</w:t>
            </w:r>
          </w:p>
        </w:tc>
      </w:tr>
      <w:tr w14:paraId="074ED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restart"/>
            <w:noWrap w:val="0"/>
            <w:vAlign w:val="center"/>
          </w:tcPr>
          <w:p w14:paraId="07E060F9">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8</w:t>
            </w:r>
          </w:p>
        </w:tc>
        <w:tc>
          <w:tcPr>
            <w:tcW w:w="1810" w:type="dxa"/>
            <w:vMerge w:val="restart"/>
            <w:noWrap w:val="0"/>
            <w:vAlign w:val="center"/>
          </w:tcPr>
          <w:p w14:paraId="2331415E">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照明</w:t>
            </w:r>
            <w:r>
              <w:rPr>
                <w:rFonts w:hint="eastAsia" w:ascii="仿宋_GB2312" w:hAnsi="仿宋_GB2312" w:eastAsia="仿宋_GB2312" w:cs="仿宋_GB2312"/>
                <w:sz w:val="32"/>
                <w:szCs w:val="32"/>
                <w:highlight w:val="none"/>
              </w:rPr>
              <w:t>系统</w:t>
            </w:r>
          </w:p>
        </w:tc>
        <w:tc>
          <w:tcPr>
            <w:tcW w:w="6717" w:type="dxa"/>
            <w:noWrap w:val="0"/>
            <w:vAlign w:val="center"/>
          </w:tcPr>
          <w:p w14:paraId="1C1F8736">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（1）外观整洁无缺损、无松落。</w:t>
            </w:r>
          </w:p>
        </w:tc>
      </w:tr>
      <w:tr w14:paraId="0A156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4ACBE864">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1810" w:type="dxa"/>
            <w:vMerge w:val="continue"/>
            <w:noWrap w:val="0"/>
            <w:vAlign w:val="center"/>
          </w:tcPr>
          <w:p w14:paraId="0A3FA963">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717" w:type="dxa"/>
            <w:noWrap w:val="0"/>
            <w:vAlign w:val="center"/>
          </w:tcPr>
          <w:p w14:paraId="4F35F0B1">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（2）更换的照明灯具应选用节能环保产品，亮度与更换前保持一致。</w:t>
            </w:r>
          </w:p>
        </w:tc>
      </w:tr>
      <w:tr w14:paraId="1AC88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2" w:type="dxa"/>
            <w:vMerge w:val="continue"/>
            <w:noWrap w:val="0"/>
            <w:vAlign w:val="center"/>
          </w:tcPr>
          <w:p w14:paraId="4A067210">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1810" w:type="dxa"/>
            <w:vMerge w:val="continue"/>
            <w:noWrap w:val="0"/>
            <w:vAlign w:val="center"/>
          </w:tcPr>
          <w:p w14:paraId="434A1E30">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717" w:type="dxa"/>
            <w:noWrap w:val="0"/>
            <w:vAlign w:val="center"/>
          </w:tcPr>
          <w:p w14:paraId="3A9EB9DB">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（3）每周至少开展1次公共区域照明设备巡视。</w:t>
            </w:r>
          </w:p>
        </w:tc>
      </w:tr>
    </w:tbl>
    <w:p w14:paraId="2188DCD4">
      <w:pPr>
        <w:pStyle w:val="4"/>
        <w:numPr>
          <w:ilvl w:val="2"/>
          <w:numId w:val="0"/>
        </w:numPr>
        <w:bidi w:val="0"/>
        <w:ind w:leftChars="0" w:firstLine="640" w:firstLineChars="200"/>
        <w:rPr>
          <w:rFonts w:hint="eastAsia" w:ascii="仿宋_GB2312" w:hAnsi="仿宋_GB2312" w:eastAsia="仿宋_GB2312" w:cs="仿宋_GB2312"/>
          <w:sz w:val="32"/>
          <w:szCs w:val="32"/>
          <w:highlight w:val="none"/>
          <w:lang w:val="en-US" w:eastAsia="zh-CN"/>
        </w:rPr>
      </w:pPr>
      <w:bookmarkStart w:id="8" w:name="_3.4保洁服务"/>
      <w:r>
        <w:rPr>
          <w:rFonts w:hint="eastAsia" w:ascii="仿宋_GB2312" w:hAnsi="仿宋_GB2312" w:eastAsia="仿宋_GB2312" w:cs="仿宋_GB2312"/>
          <w:sz w:val="32"/>
          <w:szCs w:val="32"/>
          <w:highlight w:val="none"/>
          <w:lang w:val="en-US" w:eastAsia="zh-CN"/>
        </w:rPr>
        <w:t>3.4保洁服务</w:t>
      </w:r>
    </w:p>
    <w:bookmarkEnd w:id="8"/>
    <w:tbl>
      <w:tblPr>
        <w:tblStyle w:val="24"/>
        <w:tblW w:w="500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1974"/>
        <w:gridCol w:w="5840"/>
      </w:tblGrid>
      <w:tr w14:paraId="62B09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7" w:type="dxa"/>
            <w:noWrap w:val="0"/>
            <w:vAlign w:val="center"/>
          </w:tcPr>
          <w:p w14:paraId="21A958E5">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序号</w:t>
            </w:r>
          </w:p>
        </w:tc>
        <w:tc>
          <w:tcPr>
            <w:tcW w:w="2177" w:type="dxa"/>
            <w:noWrap w:val="0"/>
            <w:vAlign w:val="center"/>
          </w:tcPr>
          <w:p w14:paraId="2D3EE36D">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color w:val="auto"/>
                <w:kern w:val="0"/>
                <w:sz w:val="32"/>
                <w:szCs w:val="32"/>
                <w:highlight w:val="none"/>
              </w:rPr>
            </w:pPr>
            <w:r>
              <w:rPr>
                <w:rFonts w:hint="eastAsia" w:ascii="仿宋_GB2312" w:hAnsi="仿宋_GB2312" w:eastAsia="仿宋_GB2312" w:cs="仿宋_GB2312"/>
                <w:b/>
                <w:bCs/>
                <w:color w:val="auto"/>
                <w:kern w:val="0"/>
                <w:sz w:val="32"/>
                <w:szCs w:val="32"/>
                <w:highlight w:val="none"/>
              </w:rPr>
              <w:t>服务内容</w:t>
            </w:r>
          </w:p>
        </w:tc>
        <w:tc>
          <w:tcPr>
            <w:tcW w:w="6443" w:type="dxa"/>
            <w:noWrap w:val="0"/>
            <w:vAlign w:val="center"/>
          </w:tcPr>
          <w:p w14:paraId="34A4EEED">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服务标准</w:t>
            </w:r>
          </w:p>
        </w:tc>
      </w:tr>
      <w:tr w14:paraId="02C77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7" w:type="dxa"/>
            <w:vMerge w:val="restart"/>
            <w:noWrap w:val="0"/>
            <w:vAlign w:val="center"/>
          </w:tcPr>
          <w:p w14:paraId="1AADF1C1">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w:t>
            </w:r>
          </w:p>
        </w:tc>
        <w:tc>
          <w:tcPr>
            <w:tcW w:w="2177" w:type="dxa"/>
            <w:vMerge w:val="restart"/>
            <w:noWrap w:val="0"/>
            <w:vAlign w:val="center"/>
          </w:tcPr>
          <w:p w14:paraId="6C6D5C22">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基本要求</w:t>
            </w:r>
          </w:p>
        </w:tc>
        <w:tc>
          <w:tcPr>
            <w:tcW w:w="6443" w:type="dxa"/>
            <w:noWrap w:val="0"/>
            <w:vAlign w:val="center"/>
          </w:tcPr>
          <w:p w14:paraId="5B695C49">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（1）建立保洁服务的工作制度及工作计划，并按照执行。</w:t>
            </w:r>
          </w:p>
        </w:tc>
      </w:tr>
      <w:tr w14:paraId="54E5E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7" w:type="dxa"/>
            <w:vMerge w:val="continue"/>
            <w:noWrap w:val="0"/>
            <w:vAlign w:val="center"/>
          </w:tcPr>
          <w:p w14:paraId="6B2A5B4D">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2177" w:type="dxa"/>
            <w:vMerge w:val="continue"/>
            <w:noWrap w:val="0"/>
            <w:vAlign w:val="center"/>
          </w:tcPr>
          <w:p w14:paraId="530B1FE3">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443" w:type="dxa"/>
            <w:noWrap w:val="0"/>
            <w:vAlign w:val="center"/>
          </w:tcPr>
          <w:p w14:paraId="0B92B531">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（2）做好保洁服务工作记录，记录填写规范、保存完好。</w:t>
            </w:r>
          </w:p>
        </w:tc>
      </w:tr>
      <w:tr w14:paraId="3A945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7" w:type="dxa"/>
            <w:vMerge w:val="continue"/>
            <w:noWrap w:val="0"/>
            <w:vAlign w:val="center"/>
          </w:tcPr>
          <w:p w14:paraId="4A3E286D">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2177" w:type="dxa"/>
            <w:vMerge w:val="continue"/>
            <w:noWrap w:val="0"/>
            <w:vAlign w:val="center"/>
          </w:tcPr>
          <w:p w14:paraId="375460FC">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443" w:type="dxa"/>
            <w:noWrap w:val="0"/>
            <w:vAlign w:val="center"/>
          </w:tcPr>
          <w:p w14:paraId="734DC8BD">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（3）作业时采取安全防护措施，防止对作业人员或他人造成伤害。相关耗材的环保、安全性等应符合国家相关规定要求。</w:t>
            </w:r>
          </w:p>
        </w:tc>
      </w:tr>
      <w:tr w14:paraId="0A4F9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7" w:type="dxa"/>
            <w:vMerge w:val="continue"/>
            <w:noWrap w:val="0"/>
            <w:vAlign w:val="center"/>
          </w:tcPr>
          <w:p w14:paraId="2A85C348">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2177" w:type="dxa"/>
            <w:vMerge w:val="continue"/>
            <w:noWrap w:val="0"/>
            <w:vAlign w:val="center"/>
          </w:tcPr>
          <w:p w14:paraId="5F8ED96D">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443" w:type="dxa"/>
            <w:noWrap w:val="0"/>
            <w:vAlign w:val="center"/>
          </w:tcPr>
          <w:p w14:paraId="0DAA6086">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（4）进入保密区域时，有采购人相关人员在场。</w:t>
            </w:r>
          </w:p>
        </w:tc>
      </w:tr>
      <w:tr w14:paraId="7E54A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787" w:type="dxa"/>
            <w:vMerge w:val="restart"/>
            <w:noWrap w:val="0"/>
            <w:vAlign w:val="center"/>
          </w:tcPr>
          <w:p w14:paraId="300A7D37">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w:t>
            </w:r>
          </w:p>
        </w:tc>
        <w:tc>
          <w:tcPr>
            <w:tcW w:w="2177" w:type="dxa"/>
            <w:vMerge w:val="restart"/>
            <w:noWrap w:val="0"/>
            <w:vAlign w:val="center"/>
          </w:tcPr>
          <w:p w14:paraId="16730396">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办公用房区域保洁</w:t>
            </w:r>
          </w:p>
        </w:tc>
        <w:tc>
          <w:tcPr>
            <w:tcW w:w="6443" w:type="dxa"/>
            <w:noWrap w:val="0"/>
            <w:vAlign w:val="center"/>
          </w:tcPr>
          <w:p w14:paraId="384272E5">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（1）大厅、楼内公共通道：</w:t>
            </w:r>
          </w:p>
          <w:p w14:paraId="119B9876">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①公共通道，每日至少开展2次清洁作业。</w:t>
            </w:r>
          </w:p>
          <w:p w14:paraId="3DE38FFE">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default"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②车库环氧地坪漆保持干净，无异味、无杂物、无积水，每日尘推车清扫不低于2次。</w:t>
            </w:r>
          </w:p>
          <w:p w14:paraId="0853A7C4">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③门窗玻璃干净无尘，透光性好，每周至少</w:t>
            </w:r>
          </w:p>
          <w:p w14:paraId="0F18FB49">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开展2次清洁作业。</w:t>
            </w:r>
          </w:p>
          <w:p w14:paraId="02FF17EC">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④指示牌干净，无污渍，每日至少开展1次清洁作业。</w:t>
            </w:r>
          </w:p>
        </w:tc>
      </w:tr>
      <w:tr w14:paraId="6410D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trPr>
        <w:tc>
          <w:tcPr>
            <w:tcW w:w="787" w:type="dxa"/>
            <w:vMerge w:val="continue"/>
            <w:noWrap w:val="0"/>
            <w:vAlign w:val="center"/>
          </w:tcPr>
          <w:p w14:paraId="743C8296">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7" w:type="dxa"/>
            <w:vMerge w:val="continue"/>
            <w:noWrap w:val="0"/>
            <w:vAlign w:val="center"/>
          </w:tcPr>
          <w:p w14:paraId="7376652C">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443" w:type="dxa"/>
            <w:noWrap w:val="0"/>
            <w:vAlign w:val="center"/>
          </w:tcPr>
          <w:p w14:paraId="446D0D50">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（2）电器、消防等设施设备：</w:t>
            </w:r>
          </w:p>
          <w:p w14:paraId="7D85A74C">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 xml:space="preserve"> ①配电箱、设备机房、会议室音视频设备、消防栓及开关插座等保持表面干净，无尘无污迹，每月至少开展1次清洁作业。</w:t>
            </w:r>
          </w:p>
          <w:p w14:paraId="4322140F">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 xml:space="preserve"> ②监控摄像头、门禁系统等表面光亮，无尘、无斑点，每月至少开展1次清洁作业。</w:t>
            </w:r>
          </w:p>
        </w:tc>
      </w:tr>
      <w:tr w14:paraId="27A70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7" w:type="dxa"/>
            <w:vMerge w:val="continue"/>
            <w:noWrap w:val="0"/>
            <w:vAlign w:val="center"/>
          </w:tcPr>
          <w:p w14:paraId="7CE419E2">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7" w:type="dxa"/>
            <w:vMerge w:val="continue"/>
            <w:noWrap w:val="0"/>
            <w:vAlign w:val="center"/>
          </w:tcPr>
          <w:p w14:paraId="28E9E349">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443" w:type="dxa"/>
            <w:noWrap w:val="0"/>
            <w:vAlign w:val="center"/>
          </w:tcPr>
          <w:p w14:paraId="58986519">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（3）楼梯及楼梯间保持干净、无异味、无杂物、无积水，每日至少开展1次清洁作业。</w:t>
            </w:r>
          </w:p>
        </w:tc>
      </w:tr>
      <w:tr w14:paraId="60E25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7" w:type="dxa"/>
            <w:vMerge w:val="continue"/>
            <w:noWrap w:val="0"/>
            <w:vAlign w:val="center"/>
          </w:tcPr>
          <w:p w14:paraId="4AA44D1E">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7" w:type="dxa"/>
            <w:vMerge w:val="continue"/>
            <w:noWrap w:val="0"/>
            <w:vAlign w:val="center"/>
          </w:tcPr>
          <w:p w14:paraId="41F34A8A">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443" w:type="dxa"/>
            <w:noWrap w:val="0"/>
            <w:vAlign w:val="center"/>
          </w:tcPr>
          <w:p w14:paraId="33D22F9A">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（4）开水间保持干净、无异味、无杂物、无积水，每日至少开展1次清洁作业。</w:t>
            </w:r>
          </w:p>
        </w:tc>
      </w:tr>
      <w:tr w14:paraId="4F56C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7" w:type="dxa"/>
            <w:vMerge w:val="continue"/>
            <w:noWrap w:val="0"/>
            <w:vAlign w:val="center"/>
          </w:tcPr>
          <w:p w14:paraId="5B08A6A1">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7" w:type="dxa"/>
            <w:vMerge w:val="continue"/>
            <w:noWrap w:val="0"/>
            <w:vAlign w:val="center"/>
          </w:tcPr>
          <w:p w14:paraId="699A67C3">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443" w:type="dxa"/>
            <w:noWrap w:val="0"/>
            <w:vAlign w:val="center"/>
          </w:tcPr>
          <w:p w14:paraId="0D16D629">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（5）作业工具间：</w:t>
            </w:r>
          </w:p>
          <w:p w14:paraId="6C9F9BDA">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 xml:space="preserve"> ①保持干净，无异味、无杂物、无积水，每日至少开展1次清洁作业。</w:t>
            </w:r>
          </w:p>
          <w:p w14:paraId="0F282D13">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 xml:space="preserve"> ②作业工具摆放整齐有序，表面干净无渍。</w:t>
            </w:r>
          </w:p>
        </w:tc>
      </w:tr>
      <w:tr w14:paraId="2A71A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trPr>
        <w:tc>
          <w:tcPr>
            <w:tcW w:w="787" w:type="dxa"/>
            <w:vMerge w:val="continue"/>
            <w:noWrap w:val="0"/>
            <w:vAlign w:val="center"/>
          </w:tcPr>
          <w:p w14:paraId="0A9E4261">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7" w:type="dxa"/>
            <w:vMerge w:val="continue"/>
            <w:noWrap w:val="0"/>
            <w:vAlign w:val="center"/>
          </w:tcPr>
          <w:p w14:paraId="6E511360">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443" w:type="dxa"/>
            <w:noWrap w:val="0"/>
            <w:vAlign w:val="center"/>
          </w:tcPr>
          <w:p w14:paraId="7DBE0E7E">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（6）公共卫生间：</w:t>
            </w:r>
          </w:p>
          <w:p w14:paraId="7AB7243B">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 xml:space="preserve"> ①保持干净，无异味，垃圾无溢出，每日至少开展1次清洁作业。</w:t>
            </w:r>
          </w:p>
          <w:p w14:paraId="19854706">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 xml:space="preserve"> ②及时补充厕纸等必要用品。</w:t>
            </w:r>
          </w:p>
        </w:tc>
      </w:tr>
      <w:tr w14:paraId="15E71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trPr>
        <w:tc>
          <w:tcPr>
            <w:tcW w:w="787" w:type="dxa"/>
            <w:vMerge w:val="continue"/>
            <w:noWrap w:val="0"/>
            <w:vAlign w:val="center"/>
          </w:tcPr>
          <w:p w14:paraId="7456E032">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7" w:type="dxa"/>
            <w:vMerge w:val="continue"/>
            <w:noWrap w:val="0"/>
            <w:vAlign w:val="center"/>
          </w:tcPr>
          <w:p w14:paraId="345D03BA">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443" w:type="dxa"/>
            <w:noWrap w:val="0"/>
            <w:vAlign w:val="center"/>
          </w:tcPr>
          <w:p w14:paraId="2F00C4A5">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（7）电梯轿厢：</w:t>
            </w:r>
          </w:p>
          <w:p w14:paraId="0391AFF5">
            <w:pPr>
              <w:keepNext w:val="0"/>
              <w:keepLines w:val="0"/>
              <w:pageBreakBefore w:val="0"/>
              <w:widowControl/>
              <w:numPr>
                <w:ilvl w:val="0"/>
                <w:numId w:val="0"/>
              </w:numPr>
              <w:kinsoku/>
              <w:wordWrap/>
              <w:overflowPunct/>
              <w:topLinePunct w:val="0"/>
              <w:autoSpaceDE/>
              <w:autoSpaceDN/>
              <w:bidi w:val="0"/>
              <w:adjustRightInd/>
              <w:snapToGrid w:val="0"/>
              <w:spacing w:line="300" w:lineRule="auto"/>
              <w:ind w:firstLine="320" w:firstLineChars="100"/>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①保持干净，无污渍、无粘贴物、无异味，每日至少开展1次清洁作业。</w:t>
            </w:r>
          </w:p>
          <w:p w14:paraId="23536D5F">
            <w:pPr>
              <w:keepNext w:val="0"/>
              <w:keepLines w:val="0"/>
              <w:pageBreakBefore w:val="0"/>
              <w:widowControl/>
              <w:numPr>
                <w:ilvl w:val="0"/>
                <w:numId w:val="0"/>
              </w:numPr>
              <w:kinsoku/>
              <w:wordWrap/>
              <w:overflowPunct/>
              <w:topLinePunct w:val="0"/>
              <w:autoSpaceDE/>
              <w:autoSpaceDN/>
              <w:bidi w:val="0"/>
              <w:adjustRightInd/>
              <w:snapToGrid w:val="0"/>
              <w:spacing w:line="300" w:lineRule="auto"/>
              <w:ind w:firstLine="320" w:firstLineChars="1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②灯具、操作指示板明亮。</w:t>
            </w:r>
          </w:p>
        </w:tc>
      </w:tr>
      <w:tr w14:paraId="64246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7" w:type="dxa"/>
            <w:vMerge w:val="continue"/>
            <w:noWrap w:val="0"/>
            <w:vAlign w:val="center"/>
          </w:tcPr>
          <w:p w14:paraId="19121675">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7" w:type="dxa"/>
            <w:vMerge w:val="continue"/>
            <w:noWrap w:val="0"/>
            <w:vAlign w:val="center"/>
          </w:tcPr>
          <w:p w14:paraId="7476F295">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443" w:type="dxa"/>
            <w:noWrap w:val="0"/>
            <w:vAlign w:val="center"/>
          </w:tcPr>
          <w:p w14:paraId="0A2474DD">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（8）平台、屋顶、天沟保持干净，有杂物及时清扫，每月至少开展1次清洁作业。</w:t>
            </w:r>
          </w:p>
        </w:tc>
      </w:tr>
      <w:tr w14:paraId="20DBE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7" w:type="dxa"/>
            <w:vMerge w:val="continue"/>
            <w:noWrap w:val="0"/>
            <w:vAlign w:val="center"/>
          </w:tcPr>
          <w:p w14:paraId="38868359">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7" w:type="dxa"/>
            <w:vMerge w:val="continue"/>
            <w:noWrap w:val="0"/>
            <w:vAlign w:val="center"/>
          </w:tcPr>
          <w:p w14:paraId="6E3D8C4D">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443" w:type="dxa"/>
            <w:noWrap w:val="0"/>
            <w:vAlign w:val="center"/>
          </w:tcPr>
          <w:p w14:paraId="0A4C5C62">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（9）</w:t>
            </w:r>
            <w:r>
              <w:rPr>
                <w:rFonts w:hint="eastAsia" w:ascii="仿宋_GB2312" w:hAnsi="仿宋_GB2312" w:eastAsia="仿宋_GB2312" w:cs="仿宋_GB2312"/>
                <w:color w:val="auto"/>
                <w:sz w:val="32"/>
                <w:szCs w:val="32"/>
                <w:highlight w:val="none"/>
                <w:u w:val="none"/>
                <w:lang w:val="en-US" w:eastAsia="zh-CN"/>
              </w:rPr>
              <w:t>石材地面、内墙做好养护工作</w:t>
            </w:r>
            <w:r>
              <w:rPr>
                <w:rFonts w:hint="eastAsia" w:ascii="仿宋_GB2312" w:hAnsi="仿宋_GB2312" w:eastAsia="仿宋_GB2312" w:cs="仿宋_GB2312"/>
                <w:b w:val="0"/>
                <w:bCs w:val="0"/>
                <w:color w:val="auto"/>
                <w:kern w:val="0"/>
                <w:sz w:val="32"/>
                <w:szCs w:val="32"/>
                <w:highlight w:val="none"/>
                <w:lang w:val="en-US" w:eastAsia="zh-CN"/>
              </w:rPr>
              <w:t>，每3月开展1次清洁作业。（各类材质地面、内墙服务管理标准详见3.4.1）</w:t>
            </w:r>
          </w:p>
        </w:tc>
      </w:tr>
      <w:tr w14:paraId="2B302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7" w:type="dxa"/>
            <w:vMerge w:val="restart"/>
            <w:noWrap w:val="0"/>
            <w:vAlign w:val="center"/>
          </w:tcPr>
          <w:p w14:paraId="1CDBBD3C">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w:t>
            </w:r>
          </w:p>
        </w:tc>
        <w:tc>
          <w:tcPr>
            <w:tcW w:w="2177" w:type="dxa"/>
            <w:vMerge w:val="restart"/>
            <w:noWrap w:val="0"/>
            <w:vAlign w:val="center"/>
          </w:tcPr>
          <w:p w14:paraId="0CB8F9CC">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公共场地区域保洁</w:t>
            </w:r>
          </w:p>
        </w:tc>
        <w:tc>
          <w:tcPr>
            <w:tcW w:w="6443" w:type="dxa"/>
            <w:noWrap w:val="0"/>
            <w:vAlign w:val="center"/>
          </w:tcPr>
          <w:p w14:paraId="130A8514">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val="0"/>
                <w:bCs w:val="0"/>
                <w:color w:val="auto"/>
                <w:kern w:val="0"/>
                <w:sz w:val="32"/>
                <w:szCs w:val="32"/>
                <w:highlight w:val="none"/>
                <w:lang w:val="en-US" w:eastAsia="zh-CN"/>
              </w:rPr>
              <w:t>（1）每日清扫道路地面、停车场等公共区域2次，保持干净、无杂物、无积水。</w:t>
            </w:r>
          </w:p>
        </w:tc>
      </w:tr>
      <w:tr w14:paraId="780F8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7" w:type="dxa"/>
            <w:vMerge w:val="continue"/>
            <w:noWrap w:val="0"/>
            <w:vAlign w:val="center"/>
          </w:tcPr>
          <w:p w14:paraId="5FCE3618">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2177" w:type="dxa"/>
            <w:vMerge w:val="continue"/>
            <w:noWrap w:val="0"/>
            <w:vAlign w:val="center"/>
          </w:tcPr>
          <w:p w14:paraId="4AA7F975">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443" w:type="dxa"/>
            <w:noWrap w:val="0"/>
            <w:vAlign w:val="center"/>
          </w:tcPr>
          <w:p w14:paraId="293906E3">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val="0"/>
                <w:bCs w:val="0"/>
                <w:color w:val="auto"/>
                <w:kern w:val="0"/>
                <w:sz w:val="32"/>
                <w:szCs w:val="32"/>
                <w:highlight w:val="none"/>
                <w:lang w:val="en-US" w:eastAsia="zh-CN"/>
              </w:rPr>
              <w:t>（2）雪、冰冻等恶劣天气时及时清扫积水、积雪，并采取安全防护措施。</w:t>
            </w:r>
          </w:p>
        </w:tc>
      </w:tr>
      <w:tr w14:paraId="413E4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7" w:type="dxa"/>
            <w:vMerge w:val="continue"/>
            <w:noWrap w:val="0"/>
            <w:vAlign w:val="center"/>
          </w:tcPr>
          <w:p w14:paraId="68AA75A0">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2177" w:type="dxa"/>
            <w:vMerge w:val="continue"/>
            <w:noWrap w:val="0"/>
            <w:vAlign w:val="center"/>
          </w:tcPr>
          <w:p w14:paraId="62357E46">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443" w:type="dxa"/>
            <w:noWrap w:val="0"/>
            <w:vAlign w:val="center"/>
          </w:tcPr>
          <w:p w14:paraId="3E6A8D7A">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val="0"/>
                <w:bCs w:val="0"/>
                <w:color w:val="auto"/>
                <w:kern w:val="0"/>
                <w:sz w:val="32"/>
                <w:szCs w:val="32"/>
                <w:highlight w:val="none"/>
                <w:lang w:val="en-US" w:eastAsia="zh-CN"/>
              </w:rPr>
              <w:t>（3）各种路标、宣传栏等保持干净，每月至少开展1次清洁作业。</w:t>
            </w:r>
          </w:p>
        </w:tc>
      </w:tr>
      <w:tr w14:paraId="50396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7" w:type="dxa"/>
            <w:vMerge w:val="continue"/>
            <w:noWrap w:val="0"/>
            <w:vAlign w:val="center"/>
          </w:tcPr>
          <w:p w14:paraId="2C129A76">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2177" w:type="dxa"/>
            <w:vMerge w:val="continue"/>
            <w:noWrap w:val="0"/>
            <w:vAlign w:val="center"/>
          </w:tcPr>
          <w:p w14:paraId="3699F337">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443" w:type="dxa"/>
            <w:noWrap w:val="0"/>
            <w:vAlign w:val="center"/>
          </w:tcPr>
          <w:p w14:paraId="76FB301D">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val="0"/>
                <w:bCs w:val="0"/>
                <w:color w:val="auto"/>
                <w:kern w:val="0"/>
                <w:sz w:val="32"/>
                <w:szCs w:val="32"/>
                <w:highlight w:val="none"/>
                <w:lang w:val="en-US" w:eastAsia="zh-CN"/>
              </w:rPr>
              <w:t>（4）清洁室外照明设备，每月至少开展1次清洁作业。</w:t>
            </w:r>
          </w:p>
        </w:tc>
      </w:tr>
      <w:tr w14:paraId="25E01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7" w:type="dxa"/>
            <w:vMerge w:val="continue"/>
            <w:noWrap w:val="0"/>
            <w:vAlign w:val="center"/>
          </w:tcPr>
          <w:p w14:paraId="08C76DFD">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2177" w:type="dxa"/>
            <w:vMerge w:val="continue"/>
            <w:noWrap w:val="0"/>
            <w:vAlign w:val="center"/>
          </w:tcPr>
          <w:p w14:paraId="764A160C">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443" w:type="dxa"/>
            <w:noWrap w:val="0"/>
            <w:vAlign w:val="center"/>
          </w:tcPr>
          <w:p w14:paraId="167D23AC">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val="0"/>
                <w:bCs w:val="0"/>
                <w:color w:val="auto"/>
                <w:kern w:val="0"/>
                <w:sz w:val="32"/>
                <w:szCs w:val="32"/>
                <w:highlight w:val="none"/>
                <w:lang w:val="en-US" w:eastAsia="zh-CN"/>
              </w:rPr>
              <w:t>（5）绿地内无杂物、无改变用途和破坏、践踏、占用现象，每天至少开展1次巡查。</w:t>
            </w:r>
          </w:p>
        </w:tc>
      </w:tr>
      <w:tr w14:paraId="3FA11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7" w:type="dxa"/>
            <w:vMerge w:val="restart"/>
            <w:noWrap w:val="0"/>
            <w:vAlign w:val="center"/>
          </w:tcPr>
          <w:p w14:paraId="3E064D75">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w:t>
            </w:r>
          </w:p>
        </w:tc>
        <w:tc>
          <w:tcPr>
            <w:tcW w:w="2177" w:type="dxa"/>
            <w:vMerge w:val="restart"/>
            <w:noWrap w:val="0"/>
            <w:vAlign w:val="center"/>
          </w:tcPr>
          <w:p w14:paraId="143DBAD8">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垃圾处理</w:t>
            </w:r>
          </w:p>
        </w:tc>
        <w:tc>
          <w:tcPr>
            <w:tcW w:w="6443" w:type="dxa"/>
            <w:noWrap w:val="0"/>
            <w:vAlign w:val="center"/>
          </w:tcPr>
          <w:p w14:paraId="152E58B4">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（1）在指定位置摆放分类垃圾桶，并在显著处张贴垃圾分类标识。分类垃圾桶和垃圾分类标识根据所在城市的要求设置。</w:t>
            </w:r>
          </w:p>
        </w:tc>
      </w:tr>
      <w:tr w14:paraId="39C4D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7" w:type="dxa"/>
            <w:vMerge w:val="continue"/>
            <w:noWrap w:val="0"/>
            <w:vAlign w:val="center"/>
          </w:tcPr>
          <w:p w14:paraId="6BFE2631">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7" w:type="dxa"/>
            <w:vMerge w:val="continue"/>
            <w:noWrap w:val="0"/>
            <w:vAlign w:val="center"/>
          </w:tcPr>
          <w:p w14:paraId="439B6B8E">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443" w:type="dxa"/>
            <w:noWrap w:val="0"/>
            <w:vAlign w:val="center"/>
          </w:tcPr>
          <w:p w14:paraId="6E0F039C">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（2）桶身表面干净无污渍，每日开展至少1次清洁作业。</w:t>
            </w:r>
          </w:p>
        </w:tc>
      </w:tr>
      <w:tr w14:paraId="045AF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7" w:type="dxa"/>
            <w:vMerge w:val="continue"/>
            <w:noWrap w:val="0"/>
            <w:vAlign w:val="center"/>
          </w:tcPr>
          <w:p w14:paraId="51C7FCA4">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7" w:type="dxa"/>
            <w:vMerge w:val="continue"/>
            <w:noWrap w:val="0"/>
            <w:vAlign w:val="center"/>
          </w:tcPr>
          <w:p w14:paraId="1062E46A">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443" w:type="dxa"/>
            <w:noWrap w:val="0"/>
            <w:vAlign w:val="center"/>
          </w:tcPr>
          <w:p w14:paraId="183ADEE7">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（3）垃圾中转房保持整洁，无明显异味，每日至少开展1次清洁作业。</w:t>
            </w:r>
          </w:p>
        </w:tc>
      </w:tr>
      <w:tr w14:paraId="39A15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7" w:type="dxa"/>
            <w:vMerge w:val="continue"/>
            <w:noWrap w:val="0"/>
            <w:vAlign w:val="center"/>
          </w:tcPr>
          <w:p w14:paraId="618EF255">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7" w:type="dxa"/>
            <w:vMerge w:val="continue"/>
            <w:noWrap w:val="0"/>
            <w:vAlign w:val="center"/>
          </w:tcPr>
          <w:p w14:paraId="62469021">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443" w:type="dxa"/>
            <w:noWrap w:val="0"/>
            <w:vAlign w:val="center"/>
          </w:tcPr>
          <w:p w14:paraId="4BF18A34">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（4）</w:t>
            </w:r>
            <w:r>
              <w:rPr>
                <w:rFonts w:hint="eastAsia" w:ascii="仿宋_GB2312" w:hAnsi="仿宋_GB2312" w:eastAsia="仿宋_GB2312" w:cs="仿宋_GB2312"/>
                <w:color w:val="auto"/>
                <w:sz w:val="32"/>
                <w:szCs w:val="32"/>
                <w:highlight w:val="none"/>
                <w:u w:val="none"/>
                <w:lang w:val="en-US" w:eastAsia="zh-CN"/>
              </w:rPr>
              <w:t>每个工作日内要对楼层产生的垃圾，进行清理分类，并运至垃圾集中堆放点。</w:t>
            </w:r>
          </w:p>
        </w:tc>
      </w:tr>
      <w:tr w14:paraId="57A4F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7" w:type="dxa"/>
            <w:vMerge w:val="continue"/>
            <w:noWrap w:val="0"/>
            <w:vAlign w:val="center"/>
          </w:tcPr>
          <w:p w14:paraId="1241A50A">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7" w:type="dxa"/>
            <w:vMerge w:val="continue"/>
            <w:noWrap w:val="0"/>
            <w:vAlign w:val="center"/>
          </w:tcPr>
          <w:p w14:paraId="78DA817F">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443" w:type="dxa"/>
            <w:noWrap w:val="0"/>
            <w:vAlign w:val="center"/>
          </w:tcPr>
          <w:p w14:paraId="799F48D2">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（5）垃圾装袋，日产日清。</w:t>
            </w:r>
          </w:p>
        </w:tc>
      </w:tr>
      <w:tr w14:paraId="30DD3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787" w:type="dxa"/>
            <w:vMerge w:val="restart"/>
            <w:noWrap w:val="0"/>
            <w:vAlign w:val="center"/>
          </w:tcPr>
          <w:p w14:paraId="7478FE9B">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5</w:t>
            </w:r>
          </w:p>
        </w:tc>
        <w:tc>
          <w:tcPr>
            <w:tcW w:w="2177" w:type="dxa"/>
            <w:vMerge w:val="restart"/>
            <w:noWrap w:val="0"/>
            <w:vAlign w:val="center"/>
          </w:tcPr>
          <w:p w14:paraId="049D5556">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卫生消毒</w:t>
            </w:r>
          </w:p>
        </w:tc>
        <w:tc>
          <w:tcPr>
            <w:tcW w:w="6443" w:type="dxa"/>
            <w:noWrap w:val="0"/>
            <w:vAlign w:val="center"/>
          </w:tcPr>
          <w:p w14:paraId="118FD9C6">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（1）办公用房区域、公共场所区域和周围环境预防性卫生消毒，</w:t>
            </w:r>
            <w:r>
              <w:rPr>
                <w:rFonts w:hint="eastAsia" w:ascii="仿宋_GB2312" w:hAnsi="仿宋_GB2312" w:eastAsia="仿宋_GB2312" w:cs="仿宋_GB2312"/>
                <w:color w:val="auto"/>
                <w:sz w:val="32"/>
                <w:szCs w:val="32"/>
                <w:highlight w:val="none"/>
                <w:u w:val="none"/>
                <w:lang w:val="en-US" w:eastAsia="zh-CN"/>
              </w:rPr>
              <w:t>消毒后及时通风，每周</w:t>
            </w:r>
            <w:r>
              <w:rPr>
                <w:rFonts w:hint="eastAsia" w:ascii="仿宋_GB2312" w:hAnsi="仿宋_GB2312" w:eastAsia="仿宋_GB2312" w:cs="仿宋_GB2312"/>
                <w:b w:val="0"/>
                <w:bCs w:val="0"/>
                <w:color w:val="auto"/>
                <w:kern w:val="0"/>
                <w:sz w:val="32"/>
                <w:szCs w:val="32"/>
                <w:highlight w:val="none"/>
                <w:lang w:val="en-US" w:eastAsia="zh-CN"/>
              </w:rPr>
              <w:t>至少开展</w:t>
            </w:r>
            <w:r>
              <w:rPr>
                <w:rFonts w:hint="eastAsia" w:ascii="仿宋_GB2312" w:hAnsi="仿宋_GB2312" w:eastAsia="仿宋_GB2312" w:cs="仿宋_GB2312"/>
                <w:color w:val="auto"/>
                <w:sz w:val="32"/>
                <w:szCs w:val="32"/>
                <w:highlight w:val="none"/>
                <w:u w:val="none"/>
                <w:lang w:val="en-US" w:eastAsia="zh-CN"/>
              </w:rPr>
              <w:t>1次作业。</w:t>
            </w:r>
          </w:p>
        </w:tc>
      </w:tr>
      <w:tr w14:paraId="5C1B3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787" w:type="dxa"/>
            <w:vMerge w:val="continue"/>
            <w:noWrap w:val="0"/>
            <w:vAlign w:val="center"/>
          </w:tcPr>
          <w:p w14:paraId="50B9DAA0">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7" w:type="dxa"/>
            <w:vMerge w:val="continue"/>
            <w:noWrap w:val="0"/>
            <w:vAlign w:val="center"/>
          </w:tcPr>
          <w:p w14:paraId="64DB385C">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color w:val="auto"/>
                <w:sz w:val="32"/>
                <w:szCs w:val="32"/>
                <w:highlight w:val="none"/>
              </w:rPr>
            </w:pPr>
          </w:p>
        </w:tc>
        <w:tc>
          <w:tcPr>
            <w:tcW w:w="6443" w:type="dxa"/>
            <w:noWrap w:val="0"/>
            <w:vAlign w:val="center"/>
          </w:tcPr>
          <w:p w14:paraId="2F67E1EF">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（2）采取综合措施消灭老鼠、蟑螂，控制室内外蚊虫滋生，达到基本无蝇</w:t>
            </w:r>
            <w:r>
              <w:rPr>
                <w:rFonts w:hint="eastAsia" w:ascii="仿宋_GB2312" w:hAnsi="仿宋_GB2312" w:eastAsia="仿宋_GB2312" w:cs="仿宋_GB2312"/>
                <w:color w:val="auto"/>
                <w:sz w:val="32"/>
                <w:szCs w:val="32"/>
                <w:highlight w:val="none"/>
                <w:u w:val="none"/>
                <w:lang w:val="en-US" w:eastAsia="zh-CN"/>
              </w:rPr>
              <w:t>，每3月</w:t>
            </w:r>
            <w:r>
              <w:rPr>
                <w:rFonts w:hint="eastAsia" w:ascii="仿宋_GB2312" w:hAnsi="仿宋_GB2312" w:eastAsia="仿宋_GB2312" w:cs="仿宋_GB2312"/>
                <w:b w:val="0"/>
                <w:bCs w:val="0"/>
                <w:color w:val="auto"/>
                <w:kern w:val="0"/>
                <w:sz w:val="32"/>
                <w:szCs w:val="32"/>
                <w:highlight w:val="none"/>
                <w:lang w:val="en-US" w:eastAsia="zh-CN"/>
              </w:rPr>
              <w:t>至少开展</w:t>
            </w:r>
            <w:r>
              <w:rPr>
                <w:rFonts w:hint="eastAsia" w:ascii="仿宋_GB2312" w:hAnsi="仿宋_GB2312" w:eastAsia="仿宋_GB2312" w:cs="仿宋_GB2312"/>
                <w:color w:val="auto"/>
                <w:sz w:val="32"/>
                <w:szCs w:val="32"/>
                <w:highlight w:val="none"/>
                <w:u w:val="none"/>
                <w:lang w:val="en-US" w:eastAsia="zh-CN"/>
              </w:rPr>
              <w:t>1次作业。</w:t>
            </w:r>
          </w:p>
        </w:tc>
      </w:tr>
      <w:tr w14:paraId="36FCA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787" w:type="dxa"/>
            <w:vMerge w:val="continue"/>
            <w:noWrap w:val="0"/>
            <w:vAlign w:val="center"/>
          </w:tcPr>
          <w:p w14:paraId="4AB8CD47">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7" w:type="dxa"/>
            <w:vMerge w:val="continue"/>
            <w:noWrap w:val="0"/>
            <w:vAlign w:val="center"/>
          </w:tcPr>
          <w:p w14:paraId="171F50D7">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color w:val="auto"/>
                <w:sz w:val="32"/>
                <w:szCs w:val="32"/>
                <w:highlight w:val="none"/>
              </w:rPr>
            </w:pPr>
          </w:p>
        </w:tc>
        <w:tc>
          <w:tcPr>
            <w:tcW w:w="6443" w:type="dxa"/>
            <w:noWrap w:val="0"/>
            <w:vAlign w:val="center"/>
          </w:tcPr>
          <w:p w14:paraId="68927259">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（3）发生公共卫生事件时，邀请专业单位开展消毒、检测等工作。</w:t>
            </w:r>
          </w:p>
        </w:tc>
      </w:tr>
    </w:tbl>
    <w:p w14:paraId="39B82D61">
      <w:pPr>
        <w:pStyle w:val="4"/>
        <w:numPr>
          <w:ilvl w:val="2"/>
          <w:numId w:val="0"/>
        </w:numPr>
        <w:bidi w:val="0"/>
        <w:ind w:leftChars="0"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3.4.1具体清洁要求</w:t>
      </w:r>
    </w:p>
    <w:tbl>
      <w:tblPr>
        <w:tblStyle w:val="24"/>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7"/>
        <w:gridCol w:w="1788"/>
        <w:gridCol w:w="5857"/>
      </w:tblGrid>
      <w:tr w14:paraId="55C53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 w:type="dxa"/>
            <w:noWrap w:val="0"/>
            <w:vAlign w:val="center"/>
          </w:tcPr>
          <w:p w14:paraId="7BD64FA3">
            <w:pPr>
              <w:jc w:val="center"/>
              <w:rPr>
                <w:rFonts w:hint="eastAsia" w:ascii="仿宋_GB2312" w:hAnsi="仿宋_GB2312" w:eastAsia="仿宋_GB2312" w:cs="仿宋_GB2312"/>
                <w:b/>
                <w:bCs/>
                <w:sz w:val="32"/>
                <w:szCs w:val="32"/>
                <w:highlight w:val="none"/>
                <w:vertAlign w:val="baseline"/>
                <w:lang w:val="en-US" w:eastAsia="zh-CN"/>
              </w:rPr>
            </w:pPr>
            <w:r>
              <w:rPr>
                <w:rFonts w:hint="eastAsia" w:ascii="仿宋_GB2312" w:hAnsi="仿宋_GB2312" w:eastAsia="仿宋_GB2312" w:cs="仿宋_GB2312"/>
                <w:b/>
                <w:bCs/>
                <w:sz w:val="32"/>
                <w:szCs w:val="32"/>
                <w:highlight w:val="none"/>
                <w:vertAlign w:val="baseline"/>
                <w:lang w:val="en-US" w:eastAsia="zh-CN"/>
              </w:rPr>
              <w:t>符号</w:t>
            </w:r>
          </w:p>
        </w:tc>
        <w:tc>
          <w:tcPr>
            <w:tcW w:w="1937" w:type="dxa"/>
            <w:noWrap w:val="0"/>
            <w:vAlign w:val="center"/>
          </w:tcPr>
          <w:p w14:paraId="42D7A871">
            <w:pPr>
              <w:jc w:val="center"/>
              <w:rPr>
                <w:rFonts w:hint="eastAsia" w:ascii="仿宋_GB2312" w:hAnsi="仿宋_GB2312" w:eastAsia="仿宋_GB2312" w:cs="仿宋_GB2312"/>
                <w:b/>
                <w:bCs/>
                <w:sz w:val="32"/>
                <w:szCs w:val="32"/>
                <w:highlight w:val="none"/>
                <w:vertAlign w:val="baseline"/>
                <w:lang w:val="en-US" w:eastAsia="zh-CN"/>
              </w:rPr>
            </w:pPr>
            <w:r>
              <w:rPr>
                <w:rFonts w:hint="eastAsia" w:ascii="仿宋_GB2312" w:hAnsi="仿宋_GB2312" w:eastAsia="仿宋_GB2312" w:cs="仿宋_GB2312"/>
                <w:b/>
                <w:bCs/>
                <w:sz w:val="32"/>
                <w:szCs w:val="32"/>
                <w:highlight w:val="none"/>
                <w:vertAlign w:val="baseline"/>
                <w:lang w:val="en-US" w:eastAsia="zh-CN"/>
              </w:rPr>
              <w:t>材质</w:t>
            </w:r>
          </w:p>
        </w:tc>
        <w:tc>
          <w:tcPr>
            <w:tcW w:w="6433" w:type="dxa"/>
            <w:noWrap w:val="0"/>
            <w:vAlign w:val="center"/>
          </w:tcPr>
          <w:p w14:paraId="5D742C1D">
            <w:pPr>
              <w:jc w:val="center"/>
              <w:rPr>
                <w:rFonts w:hint="eastAsia" w:ascii="仿宋_GB2312" w:hAnsi="仿宋_GB2312" w:eastAsia="仿宋_GB2312" w:cs="仿宋_GB2312"/>
                <w:b/>
                <w:bCs/>
                <w:sz w:val="32"/>
                <w:szCs w:val="32"/>
                <w:highlight w:val="none"/>
                <w:vertAlign w:val="baseline"/>
                <w:lang w:val="en-US" w:eastAsia="zh-CN"/>
              </w:rPr>
            </w:pPr>
            <w:r>
              <w:rPr>
                <w:rFonts w:hint="eastAsia" w:ascii="仿宋_GB2312" w:hAnsi="仿宋_GB2312" w:eastAsia="仿宋_GB2312" w:cs="仿宋_GB2312"/>
                <w:b/>
                <w:bCs/>
                <w:sz w:val="32"/>
                <w:szCs w:val="32"/>
                <w:highlight w:val="none"/>
                <w:vertAlign w:val="baseline"/>
                <w:lang w:val="en-US" w:eastAsia="zh-CN"/>
              </w:rPr>
              <w:t>清洗要求</w:t>
            </w:r>
          </w:p>
        </w:tc>
      </w:tr>
      <w:tr w14:paraId="6D96F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 w:type="dxa"/>
            <w:vMerge w:val="restart"/>
            <w:noWrap w:val="0"/>
            <w:vAlign w:val="center"/>
          </w:tcPr>
          <w:p w14:paraId="39F906F4">
            <w:pPr>
              <w:jc w:val="center"/>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1</w:t>
            </w:r>
          </w:p>
        </w:tc>
        <w:tc>
          <w:tcPr>
            <w:tcW w:w="1937" w:type="dxa"/>
            <w:vMerge w:val="restart"/>
            <w:noWrap w:val="0"/>
            <w:vAlign w:val="center"/>
          </w:tcPr>
          <w:p w14:paraId="7ACC4F45">
            <w:pPr>
              <w:jc w:val="both"/>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瓷砖地面</w:t>
            </w:r>
          </w:p>
        </w:tc>
        <w:tc>
          <w:tcPr>
            <w:tcW w:w="6433" w:type="dxa"/>
            <w:noWrap w:val="0"/>
            <w:vAlign w:val="center"/>
          </w:tcPr>
          <w:p w14:paraId="6B03591F">
            <w:pPr>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w:t>
            </w:r>
            <w:r>
              <w:rPr>
                <w:rFonts w:hint="eastAsia" w:ascii="仿宋_GB2312" w:hAnsi="仿宋_GB2312" w:eastAsia="仿宋_GB2312" w:cs="仿宋_GB2312"/>
                <w:sz w:val="32"/>
                <w:szCs w:val="32"/>
                <w:highlight w:val="none"/>
              </w:rPr>
              <w:t>日常清洁：</w:t>
            </w:r>
            <w:r>
              <w:rPr>
                <w:rFonts w:hint="eastAsia" w:ascii="仿宋_GB2312" w:hAnsi="仿宋_GB2312" w:eastAsia="仿宋_GB2312" w:cs="仿宋_GB2312"/>
                <w:sz w:val="32"/>
                <w:szCs w:val="32"/>
                <w:highlight w:val="none"/>
                <w:lang w:val="en-US" w:eastAsia="zh-CN"/>
              </w:rPr>
              <w:t>推尘，保持地面干净无杂物。</w:t>
            </w:r>
          </w:p>
        </w:tc>
      </w:tr>
      <w:tr w14:paraId="52EAE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 w:type="dxa"/>
            <w:vMerge w:val="continue"/>
            <w:noWrap w:val="0"/>
            <w:vAlign w:val="center"/>
          </w:tcPr>
          <w:p w14:paraId="1D31C81D">
            <w:pPr>
              <w:jc w:val="center"/>
              <w:rPr>
                <w:rFonts w:hint="eastAsia" w:ascii="仿宋_GB2312" w:hAnsi="仿宋_GB2312" w:eastAsia="仿宋_GB2312" w:cs="仿宋_GB2312"/>
                <w:sz w:val="32"/>
                <w:szCs w:val="32"/>
                <w:highlight w:val="none"/>
                <w:vertAlign w:val="baseline"/>
                <w:lang w:val="en-US" w:eastAsia="zh-CN"/>
              </w:rPr>
            </w:pPr>
          </w:p>
        </w:tc>
        <w:tc>
          <w:tcPr>
            <w:tcW w:w="1937" w:type="dxa"/>
            <w:vMerge w:val="continue"/>
            <w:noWrap w:val="0"/>
            <w:vAlign w:val="center"/>
          </w:tcPr>
          <w:p w14:paraId="37E37274">
            <w:pPr>
              <w:jc w:val="both"/>
              <w:rPr>
                <w:rFonts w:hint="eastAsia" w:ascii="仿宋_GB2312" w:hAnsi="仿宋_GB2312" w:eastAsia="仿宋_GB2312" w:cs="仿宋_GB2312"/>
                <w:sz w:val="32"/>
                <w:szCs w:val="32"/>
                <w:highlight w:val="none"/>
                <w:vertAlign w:val="baseline"/>
                <w:lang w:val="en-US" w:eastAsia="zh-CN"/>
              </w:rPr>
            </w:pPr>
          </w:p>
        </w:tc>
        <w:tc>
          <w:tcPr>
            <w:tcW w:w="6433" w:type="dxa"/>
            <w:noWrap w:val="0"/>
            <w:vAlign w:val="center"/>
          </w:tcPr>
          <w:p w14:paraId="106280AD">
            <w:pPr>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w:t>
            </w:r>
            <w:r>
              <w:rPr>
                <w:rFonts w:hint="eastAsia" w:ascii="仿宋_GB2312" w:hAnsi="仿宋_GB2312" w:eastAsia="仿宋_GB2312" w:cs="仿宋_GB2312"/>
                <w:sz w:val="32"/>
                <w:szCs w:val="32"/>
                <w:highlight w:val="none"/>
                <w:lang w:val="en-US" w:eastAsia="zh-CN"/>
              </w:rPr>
              <w:t>深度清洁：使用洗洁精或肥皂水清理。</w:t>
            </w:r>
          </w:p>
        </w:tc>
      </w:tr>
      <w:tr w14:paraId="279D5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 w:type="dxa"/>
            <w:noWrap w:val="0"/>
            <w:vAlign w:val="center"/>
          </w:tcPr>
          <w:p w14:paraId="6B1C5E9C">
            <w:pPr>
              <w:jc w:val="center"/>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2</w:t>
            </w:r>
          </w:p>
        </w:tc>
        <w:tc>
          <w:tcPr>
            <w:tcW w:w="1937" w:type="dxa"/>
            <w:noWrap w:val="0"/>
            <w:vAlign w:val="center"/>
          </w:tcPr>
          <w:p w14:paraId="2B55CA83">
            <w:pPr>
              <w:jc w:val="both"/>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乳胶漆内墙</w:t>
            </w:r>
          </w:p>
        </w:tc>
        <w:tc>
          <w:tcPr>
            <w:tcW w:w="6433" w:type="dxa"/>
            <w:noWrap w:val="0"/>
            <w:vAlign w:val="center"/>
          </w:tcPr>
          <w:p w14:paraId="3E6C8FE3">
            <w:pPr>
              <w:jc w:val="both"/>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有污渍时用半干布擦拭。</w:t>
            </w:r>
          </w:p>
        </w:tc>
      </w:tr>
      <w:tr w14:paraId="7FF56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 w:type="dxa"/>
            <w:noWrap w:val="0"/>
            <w:vAlign w:val="center"/>
          </w:tcPr>
          <w:p w14:paraId="6F043D7D">
            <w:pPr>
              <w:jc w:val="both"/>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3</w:t>
            </w:r>
          </w:p>
        </w:tc>
        <w:tc>
          <w:tcPr>
            <w:tcW w:w="1937" w:type="dxa"/>
            <w:noWrap w:val="0"/>
            <w:vAlign w:val="center"/>
          </w:tcPr>
          <w:p w14:paraId="705E8510">
            <w:pPr>
              <w:jc w:val="both"/>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外墙玻璃</w:t>
            </w:r>
          </w:p>
        </w:tc>
        <w:tc>
          <w:tcPr>
            <w:tcW w:w="6433" w:type="dxa"/>
            <w:noWrap w:val="0"/>
            <w:vAlign w:val="center"/>
          </w:tcPr>
          <w:p w14:paraId="4D8B6C05">
            <w:pPr>
              <w:jc w:val="both"/>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定期专业清洗。</w:t>
            </w:r>
          </w:p>
        </w:tc>
      </w:tr>
      <w:tr w14:paraId="04E22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 w:type="dxa"/>
            <w:noWrap w:val="0"/>
            <w:vAlign w:val="center"/>
          </w:tcPr>
          <w:p w14:paraId="6598F2D5">
            <w:pPr>
              <w:jc w:val="both"/>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4</w:t>
            </w:r>
          </w:p>
        </w:tc>
        <w:tc>
          <w:tcPr>
            <w:tcW w:w="1937" w:type="dxa"/>
            <w:noWrap w:val="0"/>
            <w:vAlign w:val="center"/>
          </w:tcPr>
          <w:p w14:paraId="065DFB21">
            <w:pPr>
              <w:jc w:val="both"/>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环氧地坪</w:t>
            </w:r>
          </w:p>
        </w:tc>
        <w:tc>
          <w:tcPr>
            <w:tcW w:w="6433" w:type="dxa"/>
            <w:noWrap w:val="0"/>
            <w:vAlign w:val="center"/>
          </w:tcPr>
          <w:p w14:paraId="4F7021E8">
            <w:pPr>
              <w:jc w:val="both"/>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日常清洁：保持地面干净无杂物</w:t>
            </w:r>
          </w:p>
        </w:tc>
      </w:tr>
    </w:tbl>
    <w:p w14:paraId="661E9E87">
      <w:pPr>
        <w:pStyle w:val="4"/>
        <w:numPr>
          <w:ilvl w:val="2"/>
          <w:numId w:val="0"/>
        </w:numPr>
        <w:bidi w:val="0"/>
        <w:ind w:leftChars="0"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3.5绿化服务</w:t>
      </w:r>
    </w:p>
    <w:tbl>
      <w:tblPr>
        <w:tblStyle w:val="24"/>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1972"/>
        <w:gridCol w:w="5814"/>
      </w:tblGrid>
      <w:tr w14:paraId="008A1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1" w:type="dxa"/>
            <w:noWrap w:val="0"/>
            <w:vAlign w:val="center"/>
          </w:tcPr>
          <w:p w14:paraId="1FB9E629">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序号</w:t>
            </w:r>
          </w:p>
        </w:tc>
        <w:tc>
          <w:tcPr>
            <w:tcW w:w="2175" w:type="dxa"/>
            <w:noWrap w:val="0"/>
            <w:vAlign w:val="center"/>
          </w:tcPr>
          <w:p w14:paraId="580B439D">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color w:val="auto"/>
                <w:kern w:val="0"/>
                <w:sz w:val="32"/>
                <w:szCs w:val="32"/>
                <w:highlight w:val="none"/>
              </w:rPr>
            </w:pPr>
            <w:r>
              <w:rPr>
                <w:rFonts w:hint="eastAsia" w:ascii="仿宋_GB2312" w:hAnsi="仿宋_GB2312" w:eastAsia="仿宋_GB2312" w:cs="仿宋_GB2312"/>
                <w:b/>
                <w:bCs/>
                <w:color w:val="auto"/>
                <w:kern w:val="0"/>
                <w:sz w:val="32"/>
                <w:szCs w:val="32"/>
                <w:highlight w:val="none"/>
              </w:rPr>
              <w:t>服务内容</w:t>
            </w:r>
          </w:p>
        </w:tc>
        <w:tc>
          <w:tcPr>
            <w:tcW w:w="6414" w:type="dxa"/>
            <w:noWrap w:val="0"/>
            <w:vAlign w:val="center"/>
          </w:tcPr>
          <w:p w14:paraId="6C567188">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服务标准</w:t>
            </w:r>
          </w:p>
        </w:tc>
      </w:tr>
      <w:tr w14:paraId="6177F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1" w:type="dxa"/>
            <w:vMerge w:val="restart"/>
            <w:noWrap w:val="0"/>
            <w:vAlign w:val="center"/>
          </w:tcPr>
          <w:p w14:paraId="0951C63C">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w:t>
            </w:r>
          </w:p>
        </w:tc>
        <w:tc>
          <w:tcPr>
            <w:tcW w:w="2175" w:type="dxa"/>
            <w:vMerge w:val="restart"/>
            <w:noWrap w:val="0"/>
            <w:vAlign w:val="center"/>
          </w:tcPr>
          <w:p w14:paraId="4E85C96A">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基本要求</w:t>
            </w:r>
          </w:p>
        </w:tc>
        <w:tc>
          <w:tcPr>
            <w:tcW w:w="6414" w:type="dxa"/>
            <w:noWrap w:val="0"/>
            <w:vAlign w:val="center"/>
          </w:tcPr>
          <w:p w14:paraId="5CF62B59">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（1）制定绿化服务的工作制度及工作计划，并按照执行。</w:t>
            </w:r>
          </w:p>
        </w:tc>
      </w:tr>
      <w:tr w14:paraId="52F7B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1" w:type="dxa"/>
            <w:vMerge w:val="continue"/>
            <w:noWrap w:val="0"/>
            <w:vAlign w:val="center"/>
          </w:tcPr>
          <w:p w14:paraId="738200DE">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5" w:type="dxa"/>
            <w:vMerge w:val="continue"/>
            <w:noWrap w:val="0"/>
            <w:vAlign w:val="center"/>
          </w:tcPr>
          <w:p w14:paraId="10AB5897">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414" w:type="dxa"/>
            <w:noWrap w:val="0"/>
            <w:vAlign w:val="center"/>
          </w:tcPr>
          <w:p w14:paraId="4F704F4E">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（2）做好绿化服务工作记录，填写规范。</w:t>
            </w:r>
          </w:p>
        </w:tc>
      </w:tr>
      <w:tr w14:paraId="5D914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1" w:type="dxa"/>
            <w:vMerge w:val="continue"/>
            <w:noWrap w:val="0"/>
            <w:vAlign w:val="center"/>
          </w:tcPr>
          <w:p w14:paraId="0A6D10F7">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5" w:type="dxa"/>
            <w:vMerge w:val="continue"/>
            <w:noWrap w:val="0"/>
            <w:vAlign w:val="center"/>
          </w:tcPr>
          <w:p w14:paraId="0033C1F1">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414" w:type="dxa"/>
            <w:noWrap w:val="0"/>
            <w:vAlign w:val="center"/>
          </w:tcPr>
          <w:p w14:paraId="1C62253C">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（3）作业时采取安全防护措施，防止对作业人员或他人造成伤害。</w:t>
            </w:r>
          </w:p>
        </w:tc>
      </w:tr>
      <w:tr w14:paraId="60ECE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1" w:type="dxa"/>
            <w:vMerge w:val="continue"/>
            <w:noWrap w:val="0"/>
            <w:vAlign w:val="center"/>
          </w:tcPr>
          <w:p w14:paraId="677D5CE2">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5" w:type="dxa"/>
            <w:vMerge w:val="continue"/>
            <w:noWrap w:val="0"/>
            <w:vAlign w:val="center"/>
          </w:tcPr>
          <w:p w14:paraId="54F91807">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kern w:val="2"/>
                <w:sz w:val="32"/>
                <w:szCs w:val="32"/>
                <w:highlight w:val="none"/>
                <w:lang w:val="en-US" w:eastAsia="zh-CN" w:bidi="ar-SA"/>
              </w:rPr>
            </w:pPr>
          </w:p>
        </w:tc>
        <w:tc>
          <w:tcPr>
            <w:tcW w:w="6414" w:type="dxa"/>
            <w:noWrap w:val="0"/>
            <w:vAlign w:val="center"/>
          </w:tcPr>
          <w:p w14:paraId="4170792C">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（4）相关耗材的环保、安全性应符合规定要求。</w:t>
            </w:r>
          </w:p>
        </w:tc>
      </w:tr>
      <w:tr w14:paraId="33C99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1" w:type="dxa"/>
            <w:vMerge w:val="restart"/>
            <w:noWrap w:val="0"/>
            <w:vAlign w:val="center"/>
          </w:tcPr>
          <w:p w14:paraId="4E0EF8F8">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w:t>
            </w:r>
          </w:p>
        </w:tc>
        <w:tc>
          <w:tcPr>
            <w:tcW w:w="2175" w:type="dxa"/>
            <w:vMerge w:val="restart"/>
            <w:noWrap w:val="0"/>
            <w:vAlign w:val="center"/>
          </w:tcPr>
          <w:p w14:paraId="50BB89B6">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室外绿化养护</w:t>
            </w:r>
          </w:p>
        </w:tc>
        <w:tc>
          <w:tcPr>
            <w:tcW w:w="6414" w:type="dxa"/>
            <w:noWrap w:val="0"/>
            <w:vAlign w:val="center"/>
          </w:tcPr>
          <w:p w14:paraId="6C5EB9B7">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w:t>
            </w:r>
            <w:r>
              <w:rPr>
                <w:rFonts w:hint="eastAsia" w:ascii="仿宋_GB2312" w:hAnsi="仿宋_GB2312" w:eastAsia="仿宋_GB2312" w:cs="仿宋_GB2312"/>
                <w:color w:val="auto"/>
                <w:sz w:val="32"/>
                <w:szCs w:val="32"/>
                <w:highlight w:val="none"/>
                <w:u w:val="none"/>
                <w:lang w:val="en-US" w:eastAsia="zh-CN"/>
              </w:rPr>
              <w:t>根据生长环境、植物特性进行除草、灌溉、施肥、整形修剪、防治病虫害等。</w:t>
            </w:r>
          </w:p>
        </w:tc>
      </w:tr>
      <w:tr w14:paraId="6E230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1" w:type="dxa"/>
            <w:vMerge w:val="continue"/>
            <w:noWrap w:val="0"/>
            <w:vAlign w:val="center"/>
          </w:tcPr>
          <w:p w14:paraId="374C5841">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5" w:type="dxa"/>
            <w:vMerge w:val="continue"/>
            <w:noWrap w:val="0"/>
            <w:vAlign w:val="center"/>
          </w:tcPr>
          <w:p w14:paraId="257B7F09">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414" w:type="dxa"/>
            <w:noWrap w:val="0"/>
            <w:vAlign w:val="center"/>
          </w:tcPr>
          <w:p w14:paraId="4AC25A71">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（2）根据生长情况修剪绿地，绿地内无枯草、无杂物，</w:t>
            </w:r>
            <w:r>
              <w:rPr>
                <w:rFonts w:hint="eastAsia" w:ascii="仿宋_GB2312" w:hAnsi="仿宋_GB2312" w:eastAsia="仿宋_GB2312" w:cs="仿宋_GB2312"/>
                <w:color w:val="auto"/>
                <w:sz w:val="32"/>
                <w:szCs w:val="32"/>
                <w:highlight w:val="none"/>
                <w:u w:val="none"/>
                <w:lang w:val="en-US" w:eastAsia="zh-CN"/>
              </w:rPr>
              <w:t>无干</w:t>
            </w:r>
            <w:bookmarkStart w:id="9" w:name="OLE_LINK1"/>
            <w:r>
              <w:rPr>
                <w:rFonts w:hint="eastAsia" w:ascii="仿宋_GB2312" w:hAnsi="仿宋_GB2312" w:eastAsia="仿宋_GB2312" w:cs="仿宋_GB2312"/>
                <w:color w:val="auto"/>
                <w:sz w:val="32"/>
                <w:szCs w:val="32"/>
                <w:highlight w:val="none"/>
                <w:u w:val="none"/>
                <w:lang w:val="en-US" w:eastAsia="zh-CN"/>
              </w:rPr>
              <w:t>枯</w:t>
            </w:r>
            <w:bookmarkEnd w:id="9"/>
            <w:r>
              <w:rPr>
                <w:rFonts w:hint="eastAsia" w:ascii="仿宋_GB2312" w:hAnsi="仿宋_GB2312" w:eastAsia="仿宋_GB2312" w:cs="仿宋_GB2312"/>
                <w:color w:val="auto"/>
                <w:sz w:val="32"/>
                <w:szCs w:val="32"/>
                <w:highlight w:val="none"/>
                <w:u w:val="none"/>
                <w:lang w:val="en-US" w:eastAsia="zh-CN"/>
              </w:rPr>
              <w:t>坏死和病虫侵害，基本无裸露土地。</w:t>
            </w:r>
          </w:p>
        </w:tc>
      </w:tr>
      <w:tr w14:paraId="2DE63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1" w:type="dxa"/>
            <w:vMerge w:val="continue"/>
            <w:noWrap w:val="0"/>
            <w:vAlign w:val="center"/>
          </w:tcPr>
          <w:p w14:paraId="39D75A21">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5" w:type="dxa"/>
            <w:vMerge w:val="continue"/>
            <w:noWrap w:val="0"/>
            <w:vAlign w:val="center"/>
          </w:tcPr>
          <w:p w14:paraId="6F81C868">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414" w:type="dxa"/>
            <w:noWrap w:val="0"/>
            <w:vAlign w:val="center"/>
          </w:tcPr>
          <w:p w14:paraId="0332FF17">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（3）定期修剪树木、花卉等，</w:t>
            </w:r>
            <w:r>
              <w:rPr>
                <w:rFonts w:hint="eastAsia" w:ascii="仿宋_GB2312" w:hAnsi="仿宋_GB2312" w:eastAsia="仿宋_GB2312" w:cs="仿宋_GB2312"/>
                <w:color w:val="auto"/>
                <w:sz w:val="32"/>
                <w:szCs w:val="32"/>
                <w:highlight w:val="none"/>
                <w:u w:val="none"/>
                <w:lang w:val="en-US" w:eastAsia="zh-CN"/>
              </w:rPr>
              <w:t>灌乔木生长正常、造型美观自然、花枝新鲜，无枯叶、无病虫、无死树缺株。</w:t>
            </w:r>
          </w:p>
        </w:tc>
      </w:tr>
      <w:tr w14:paraId="678C9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1" w:type="dxa"/>
            <w:vMerge w:val="continue"/>
            <w:noWrap w:val="0"/>
            <w:vAlign w:val="center"/>
          </w:tcPr>
          <w:p w14:paraId="13CA17DC">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5" w:type="dxa"/>
            <w:vMerge w:val="continue"/>
            <w:noWrap w:val="0"/>
            <w:vAlign w:val="center"/>
          </w:tcPr>
          <w:p w14:paraId="73CDA234">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414" w:type="dxa"/>
            <w:noWrap w:val="0"/>
            <w:vAlign w:val="center"/>
          </w:tcPr>
          <w:p w14:paraId="096D305E">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（4）</w:t>
            </w:r>
            <w:r>
              <w:rPr>
                <w:rFonts w:hint="eastAsia" w:ascii="仿宋_GB2312" w:hAnsi="仿宋_GB2312" w:eastAsia="仿宋_GB2312" w:cs="仿宋_GB2312"/>
                <w:color w:val="auto"/>
                <w:sz w:val="32"/>
                <w:szCs w:val="32"/>
                <w:highlight w:val="none"/>
                <w:u w:val="none"/>
                <w:lang w:val="en-US" w:eastAsia="zh-CN"/>
              </w:rPr>
              <w:t>绿篱生长造型正常，颜色正常，修剪及时，基本无死株和枯株，有虫株率在10%以下。</w:t>
            </w:r>
          </w:p>
        </w:tc>
      </w:tr>
      <w:tr w14:paraId="633D8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1" w:type="dxa"/>
            <w:vMerge w:val="continue"/>
            <w:noWrap w:val="0"/>
            <w:vAlign w:val="center"/>
          </w:tcPr>
          <w:p w14:paraId="7EC78903">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5" w:type="dxa"/>
            <w:vMerge w:val="continue"/>
            <w:noWrap w:val="0"/>
            <w:vAlign w:val="center"/>
          </w:tcPr>
          <w:p w14:paraId="7F08D85E">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414" w:type="dxa"/>
            <w:noWrap w:val="0"/>
            <w:vAlign w:val="center"/>
          </w:tcPr>
          <w:p w14:paraId="6362D78B">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（5）</w:t>
            </w:r>
            <w:r>
              <w:rPr>
                <w:rFonts w:hint="eastAsia" w:ascii="仿宋_GB2312" w:hAnsi="仿宋_GB2312" w:eastAsia="仿宋_GB2312" w:cs="仿宋_GB2312"/>
                <w:color w:val="auto"/>
                <w:sz w:val="32"/>
                <w:szCs w:val="32"/>
                <w:highlight w:val="none"/>
                <w:u w:val="none"/>
                <w:lang w:val="en-US" w:eastAsia="zh-CN"/>
              </w:rPr>
              <w:t>清除花坛和花景的花蒂、黄叶、杂草、垃圾，做好病虫害防治。</w:t>
            </w:r>
          </w:p>
        </w:tc>
      </w:tr>
      <w:tr w14:paraId="313BE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1" w:type="dxa"/>
            <w:vMerge w:val="continue"/>
            <w:noWrap w:val="0"/>
            <w:vAlign w:val="center"/>
          </w:tcPr>
          <w:p w14:paraId="777C048B">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5" w:type="dxa"/>
            <w:vMerge w:val="continue"/>
            <w:noWrap w:val="0"/>
            <w:vAlign w:val="center"/>
          </w:tcPr>
          <w:p w14:paraId="0BB657C1">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414" w:type="dxa"/>
            <w:noWrap w:val="0"/>
            <w:vAlign w:val="center"/>
          </w:tcPr>
          <w:p w14:paraId="3E84D750">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（6）根据病虫害发生规律实施综合治理，通常在病虫率高时，以药剂杀死病虫，以确保植物良好生长。产生垃圾的主要区域和路段做到日产日清。</w:t>
            </w:r>
          </w:p>
        </w:tc>
      </w:tr>
      <w:tr w14:paraId="5EA26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1" w:type="dxa"/>
            <w:vMerge w:val="continue"/>
            <w:noWrap w:val="0"/>
            <w:vAlign w:val="center"/>
          </w:tcPr>
          <w:p w14:paraId="42F3BF56">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5" w:type="dxa"/>
            <w:vMerge w:val="continue"/>
            <w:noWrap w:val="0"/>
            <w:vAlign w:val="center"/>
          </w:tcPr>
          <w:p w14:paraId="33B49928">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414" w:type="dxa"/>
            <w:noWrap w:val="0"/>
            <w:vAlign w:val="center"/>
          </w:tcPr>
          <w:p w14:paraId="1051668D">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（7）雨雪、冰冻等恶劣天气来临前，专人巡查，对绿植做好预防措施，排除安全隐患。</w:t>
            </w:r>
          </w:p>
        </w:tc>
      </w:tr>
      <w:tr w14:paraId="2678D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1" w:type="dxa"/>
            <w:vMerge w:val="continue"/>
            <w:noWrap w:val="0"/>
            <w:vAlign w:val="center"/>
          </w:tcPr>
          <w:p w14:paraId="45C6C678">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5" w:type="dxa"/>
            <w:vMerge w:val="continue"/>
            <w:noWrap w:val="0"/>
            <w:vAlign w:val="center"/>
          </w:tcPr>
          <w:p w14:paraId="48E10D3D">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kern w:val="2"/>
                <w:sz w:val="32"/>
                <w:szCs w:val="32"/>
                <w:highlight w:val="none"/>
                <w:lang w:val="en-US" w:eastAsia="zh-CN" w:bidi="ar-SA"/>
              </w:rPr>
            </w:pPr>
          </w:p>
        </w:tc>
        <w:tc>
          <w:tcPr>
            <w:tcW w:w="6414" w:type="dxa"/>
            <w:noWrap w:val="0"/>
            <w:vAlign w:val="center"/>
          </w:tcPr>
          <w:p w14:paraId="6C3D590D">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（8）恶劣天气后，及时清除倒树断枝，疏通道路，尽快恢复原状。</w:t>
            </w:r>
          </w:p>
        </w:tc>
      </w:tr>
    </w:tbl>
    <w:p w14:paraId="3210EFDC">
      <w:pPr>
        <w:pStyle w:val="4"/>
        <w:numPr>
          <w:ilvl w:val="2"/>
          <w:numId w:val="0"/>
        </w:numPr>
        <w:ind w:leftChars="0" w:firstLine="640" w:firstLineChars="200"/>
        <w:rPr>
          <w:rFonts w:hint="eastAsia" w:ascii="仿宋_GB2312" w:hAnsi="仿宋_GB2312" w:eastAsia="仿宋_GB2312" w:cs="仿宋_GB2312"/>
          <w:b/>
          <w:bCs w:val="0"/>
          <w:i w:val="0"/>
          <w:iCs w:val="0"/>
          <w:sz w:val="32"/>
          <w:szCs w:val="32"/>
          <w:highlight w:val="none"/>
          <w:u w:val="none"/>
          <w:lang w:val="en-US" w:eastAsia="zh-CN"/>
        </w:rPr>
      </w:pPr>
      <w:bookmarkStart w:id="10" w:name="_3.6保安服务"/>
      <w:r>
        <w:rPr>
          <w:rFonts w:hint="eastAsia" w:ascii="仿宋_GB2312" w:hAnsi="仿宋_GB2312" w:eastAsia="仿宋_GB2312" w:cs="仿宋_GB2312"/>
          <w:b w:val="0"/>
          <w:bCs/>
          <w:i w:val="0"/>
          <w:iCs w:val="0"/>
          <w:sz w:val="32"/>
          <w:szCs w:val="32"/>
          <w:highlight w:val="none"/>
          <w:u w:val="none"/>
          <w:lang w:val="en-US" w:eastAsia="zh-CN"/>
        </w:rPr>
        <w:t>3.6</w:t>
      </w:r>
      <w:r>
        <w:rPr>
          <w:rFonts w:hint="eastAsia" w:ascii="仿宋_GB2312" w:hAnsi="仿宋_GB2312" w:eastAsia="仿宋_GB2312" w:cs="仿宋_GB2312"/>
          <w:color w:val="auto"/>
          <w:kern w:val="2"/>
          <w:sz w:val="32"/>
          <w:szCs w:val="32"/>
          <w:highlight w:val="none"/>
          <w:u w:val="none"/>
          <w:lang w:val="en-US" w:eastAsia="zh-CN" w:bidi="ar-SA"/>
        </w:rPr>
        <w:t>保安服务</w:t>
      </w:r>
    </w:p>
    <w:bookmarkEnd w:id="10"/>
    <w:tbl>
      <w:tblPr>
        <w:tblStyle w:val="24"/>
        <w:tblW w:w="497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1971"/>
        <w:gridCol w:w="5781"/>
      </w:tblGrid>
      <w:tr w14:paraId="20E4A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noWrap w:val="0"/>
            <w:vAlign w:val="center"/>
          </w:tcPr>
          <w:p w14:paraId="5814AB59">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序号</w:t>
            </w:r>
          </w:p>
        </w:tc>
        <w:tc>
          <w:tcPr>
            <w:tcW w:w="2174" w:type="dxa"/>
            <w:noWrap w:val="0"/>
            <w:vAlign w:val="center"/>
          </w:tcPr>
          <w:p w14:paraId="6E11E790">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color w:val="auto"/>
                <w:kern w:val="0"/>
                <w:sz w:val="32"/>
                <w:szCs w:val="32"/>
                <w:highlight w:val="none"/>
              </w:rPr>
            </w:pPr>
            <w:r>
              <w:rPr>
                <w:rFonts w:hint="eastAsia" w:ascii="仿宋_GB2312" w:hAnsi="仿宋_GB2312" w:eastAsia="仿宋_GB2312" w:cs="仿宋_GB2312"/>
                <w:b/>
                <w:bCs/>
                <w:color w:val="auto"/>
                <w:kern w:val="0"/>
                <w:sz w:val="32"/>
                <w:szCs w:val="32"/>
                <w:highlight w:val="none"/>
              </w:rPr>
              <w:t>服务内容</w:t>
            </w:r>
          </w:p>
        </w:tc>
        <w:tc>
          <w:tcPr>
            <w:tcW w:w="6378" w:type="dxa"/>
            <w:noWrap w:val="0"/>
            <w:vAlign w:val="center"/>
          </w:tcPr>
          <w:p w14:paraId="7C346AA5">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服务标准</w:t>
            </w:r>
          </w:p>
        </w:tc>
      </w:tr>
      <w:tr w14:paraId="24E97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restart"/>
            <w:noWrap w:val="0"/>
            <w:vAlign w:val="center"/>
          </w:tcPr>
          <w:p w14:paraId="3CD43CF4">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w:t>
            </w:r>
          </w:p>
        </w:tc>
        <w:tc>
          <w:tcPr>
            <w:tcW w:w="2174" w:type="dxa"/>
            <w:vMerge w:val="restart"/>
            <w:noWrap w:val="0"/>
            <w:vAlign w:val="center"/>
          </w:tcPr>
          <w:p w14:paraId="7DCBE4B3">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基本要求</w:t>
            </w:r>
          </w:p>
        </w:tc>
        <w:tc>
          <w:tcPr>
            <w:tcW w:w="6378" w:type="dxa"/>
            <w:noWrap w:val="0"/>
            <w:vAlign w:val="center"/>
          </w:tcPr>
          <w:p w14:paraId="4E338D27">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（1）建立保安服务相关制度，并按照执行。</w:t>
            </w:r>
          </w:p>
        </w:tc>
      </w:tr>
      <w:tr w14:paraId="091CF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692B023B">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5E712E08">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472B9C71">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（2）对巡查、值守及异常情况等做好相关记录，填写规范，保存完好。</w:t>
            </w:r>
          </w:p>
        </w:tc>
      </w:tr>
      <w:tr w14:paraId="19315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11C9969E">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024E7A80">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251D8372">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（3）配备保安服务必要的器材。</w:t>
            </w:r>
          </w:p>
        </w:tc>
      </w:tr>
      <w:tr w14:paraId="4A8EE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restart"/>
            <w:noWrap w:val="0"/>
            <w:vAlign w:val="center"/>
          </w:tcPr>
          <w:p w14:paraId="5960796C">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w:t>
            </w:r>
          </w:p>
        </w:tc>
        <w:tc>
          <w:tcPr>
            <w:tcW w:w="2174" w:type="dxa"/>
            <w:vMerge w:val="restart"/>
            <w:noWrap w:val="0"/>
            <w:vAlign w:val="center"/>
          </w:tcPr>
          <w:p w14:paraId="55886A23">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出入管理</w:t>
            </w:r>
          </w:p>
        </w:tc>
        <w:tc>
          <w:tcPr>
            <w:tcW w:w="6378" w:type="dxa"/>
            <w:noWrap w:val="0"/>
            <w:vAlign w:val="center"/>
          </w:tcPr>
          <w:p w14:paraId="45758BD8">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（1）主出入口应实行 24小时值班制。</w:t>
            </w:r>
          </w:p>
        </w:tc>
      </w:tr>
      <w:tr w14:paraId="19A67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75B6F886">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7BF821D6">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29F36096">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（2）设置门岗。</w:t>
            </w:r>
          </w:p>
        </w:tc>
      </w:tr>
      <w:tr w14:paraId="7CEC7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181DE2C4">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0026E7EE">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27214D87">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（3）在出入口对外来人员及其携带大件物品、外来车辆进行询问和记录，并与相关部门取得联系，同意后方可进入。</w:t>
            </w:r>
          </w:p>
        </w:tc>
      </w:tr>
      <w:tr w14:paraId="26586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7216B690">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7B4ABB4C">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4346509A">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（4）大件物品搬出有相关部门开具的证明和清单，经核实后放行。</w:t>
            </w:r>
          </w:p>
        </w:tc>
      </w:tr>
      <w:tr w14:paraId="4C501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66DE39DD">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25ABFAFB">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0F7632AE">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（5）排查可疑人员，对于不出示证件、不按规定登记、不听劝阻而强行闯入者，及时劝离，必要时通知公安机关进行处理。</w:t>
            </w:r>
          </w:p>
        </w:tc>
      </w:tr>
      <w:tr w14:paraId="08FD1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6A0EB7DA">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1E7646D3">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5E993255">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6）根据物业服务合同约定，对物品进出实行安检、登记、电话确认等分类管理措施。大宗物品进出会同接收单位收件人审检，严防违禁品（包括毒品、军火弹药、管制刀具、易燃易爆品等）、限带品（包括动物、任何未经授权的专业摄影设备、无人机等）进入。</w:t>
            </w:r>
          </w:p>
        </w:tc>
      </w:tr>
      <w:tr w14:paraId="55FB7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7B475657">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08380019">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3838F7E6">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（7）提供现场接待服务。</w:t>
            </w:r>
          </w:p>
          <w:p w14:paraId="22579101">
            <w:pPr>
              <w:keepNext w:val="0"/>
              <w:keepLines w:val="0"/>
              <w:pageBreakBefore w:val="0"/>
              <w:widowControl/>
              <w:kinsoku/>
              <w:wordWrap/>
              <w:overflowPunct/>
              <w:topLinePunct w:val="0"/>
              <w:autoSpaceDE/>
              <w:autoSpaceDN/>
              <w:bidi w:val="0"/>
              <w:adjustRightInd/>
              <w:snapToGrid w:val="0"/>
              <w:spacing w:line="300" w:lineRule="auto"/>
              <w:ind w:firstLine="320" w:firstLineChars="100"/>
              <w:jc w:val="left"/>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val="en-US" w:eastAsia="zh-CN"/>
              </w:rPr>
              <w:t>①</w:t>
            </w:r>
            <w:r>
              <w:rPr>
                <w:rFonts w:hint="eastAsia" w:ascii="仿宋_GB2312" w:hAnsi="仿宋_GB2312" w:eastAsia="仿宋_GB2312" w:cs="仿宋_GB2312"/>
                <w:color w:val="auto"/>
                <w:sz w:val="32"/>
                <w:szCs w:val="32"/>
                <w:highlight w:val="none"/>
                <w:u w:val="none"/>
                <w:lang w:eastAsia="zh-CN"/>
              </w:rPr>
              <w:t>做好来访人员、车辆进出证件登记，及时通报。</w:t>
            </w:r>
          </w:p>
          <w:p w14:paraId="34C9B729">
            <w:pPr>
              <w:keepNext w:val="0"/>
              <w:keepLines w:val="0"/>
              <w:pageBreakBefore w:val="0"/>
              <w:widowControl/>
              <w:kinsoku/>
              <w:wordWrap/>
              <w:overflowPunct/>
              <w:topLinePunct w:val="0"/>
              <w:autoSpaceDE/>
              <w:autoSpaceDN/>
              <w:bidi w:val="0"/>
              <w:adjustRightInd/>
              <w:snapToGrid w:val="0"/>
              <w:spacing w:line="300" w:lineRule="auto"/>
              <w:ind w:left="0" w:firstLine="320" w:firstLineChars="100"/>
              <w:jc w:val="left"/>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val="en-US" w:eastAsia="zh-CN"/>
              </w:rPr>
              <w:t>②</w:t>
            </w:r>
            <w:r>
              <w:rPr>
                <w:rFonts w:hint="eastAsia" w:ascii="仿宋_GB2312" w:hAnsi="仿宋_GB2312" w:eastAsia="仿宋_GB2312" w:cs="仿宋_GB2312"/>
                <w:color w:val="auto"/>
                <w:sz w:val="32"/>
                <w:szCs w:val="32"/>
                <w:highlight w:val="none"/>
                <w:u w:val="none"/>
                <w:lang w:eastAsia="zh-CN"/>
              </w:rPr>
              <w:t>严禁无关人员、可疑人员和危险物品进入办公楼（区）内。</w:t>
            </w:r>
          </w:p>
          <w:p w14:paraId="7BCA958D">
            <w:pPr>
              <w:keepNext w:val="0"/>
              <w:keepLines w:val="0"/>
              <w:pageBreakBefore w:val="0"/>
              <w:widowControl/>
              <w:kinsoku/>
              <w:wordWrap/>
              <w:overflowPunct/>
              <w:topLinePunct w:val="0"/>
              <w:autoSpaceDE/>
              <w:autoSpaceDN/>
              <w:bidi w:val="0"/>
              <w:adjustRightInd/>
              <w:snapToGrid w:val="0"/>
              <w:spacing w:line="300" w:lineRule="auto"/>
              <w:ind w:left="0" w:firstLine="320" w:firstLineChars="100"/>
              <w:jc w:val="left"/>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③物品摆放整齐有序、分类放置。</w:t>
            </w:r>
          </w:p>
          <w:p w14:paraId="7A6E48F1">
            <w:pPr>
              <w:keepNext w:val="0"/>
              <w:keepLines w:val="0"/>
              <w:pageBreakBefore w:val="0"/>
              <w:widowControl/>
              <w:kinsoku/>
              <w:wordWrap/>
              <w:overflowPunct/>
              <w:topLinePunct w:val="0"/>
              <w:autoSpaceDE/>
              <w:autoSpaceDN/>
              <w:bidi w:val="0"/>
              <w:adjustRightInd/>
              <w:snapToGrid w:val="0"/>
              <w:spacing w:line="300" w:lineRule="auto"/>
              <w:ind w:left="0" w:firstLine="320" w:firstLineChars="100"/>
              <w:jc w:val="left"/>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④现场办理等待时间不超过5分钟，等待较长时间应及时沟通。</w:t>
            </w:r>
          </w:p>
          <w:p w14:paraId="1FBA1EFA">
            <w:pPr>
              <w:keepNext w:val="0"/>
              <w:keepLines w:val="0"/>
              <w:pageBreakBefore w:val="0"/>
              <w:widowControl/>
              <w:kinsoku/>
              <w:wordWrap/>
              <w:overflowPunct/>
              <w:topLinePunct w:val="0"/>
              <w:autoSpaceDE/>
              <w:autoSpaceDN/>
              <w:bidi w:val="0"/>
              <w:adjustRightInd/>
              <w:snapToGrid w:val="0"/>
              <w:spacing w:line="300" w:lineRule="auto"/>
              <w:ind w:left="0" w:firstLine="320" w:firstLineChars="100"/>
              <w:jc w:val="left"/>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⑤对来访人员咨询、建议、求助等事项，及时处理或答复，处理和答复率100%。</w:t>
            </w:r>
          </w:p>
          <w:p w14:paraId="4DA49AB9">
            <w:pPr>
              <w:keepNext w:val="0"/>
              <w:keepLines w:val="0"/>
              <w:pageBreakBefore w:val="0"/>
              <w:widowControl/>
              <w:kinsoku/>
              <w:wordWrap/>
              <w:overflowPunct/>
              <w:topLinePunct w:val="0"/>
              <w:autoSpaceDE/>
              <w:autoSpaceDN/>
              <w:bidi w:val="0"/>
              <w:adjustRightInd/>
              <w:snapToGrid w:val="0"/>
              <w:spacing w:line="300" w:lineRule="auto"/>
              <w:ind w:left="0" w:firstLine="320" w:firstLineChars="100"/>
              <w:jc w:val="left"/>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rPr>
              <w:t>⑥接待服务工作时间应覆盖采购人工作时间</w:t>
            </w:r>
            <w:r>
              <w:rPr>
                <w:rFonts w:hint="eastAsia" w:ascii="仿宋_GB2312" w:hAnsi="仿宋_GB2312" w:eastAsia="仿宋_GB2312" w:cs="仿宋_GB2312"/>
                <w:color w:val="auto"/>
                <w:sz w:val="32"/>
                <w:szCs w:val="32"/>
                <w:highlight w:val="none"/>
                <w:u w:val="none"/>
                <w:lang w:eastAsia="zh-CN"/>
              </w:rPr>
              <w:t>。</w:t>
            </w:r>
          </w:p>
          <w:p w14:paraId="658A8FDD">
            <w:pPr>
              <w:keepNext w:val="0"/>
              <w:keepLines w:val="0"/>
              <w:pageBreakBefore w:val="0"/>
              <w:widowControl/>
              <w:kinsoku/>
              <w:wordWrap/>
              <w:overflowPunct/>
              <w:topLinePunct w:val="0"/>
              <w:autoSpaceDE/>
              <w:autoSpaceDN/>
              <w:bidi w:val="0"/>
              <w:adjustRightInd/>
              <w:snapToGrid w:val="0"/>
              <w:spacing w:line="300" w:lineRule="auto"/>
              <w:ind w:left="0" w:firstLine="320" w:firstLineChars="100"/>
              <w:jc w:val="left"/>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⑦与被访人进行核实确认；告知被访人的办公室门牌号。</w:t>
            </w:r>
          </w:p>
        </w:tc>
      </w:tr>
      <w:tr w14:paraId="58516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restart"/>
            <w:noWrap w:val="0"/>
            <w:vAlign w:val="center"/>
          </w:tcPr>
          <w:p w14:paraId="78A44714">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w:t>
            </w:r>
          </w:p>
        </w:tc>
        <w:tc>
          <w:tcPr>
            <w:tcW w:w="2174" w:type="dxa"/>
            <w:vMerge w:val="restart"/>
            <w:noWrap w:val="0"/>
            <w:vAlign w:val="center"/>
          </w:tcPr>
          <w:p w14:paraId="1DC191D9">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值班</w:t>
            </w:r>
            <w:r>
              <w:rPr>
                <w:rFonts w:hint="eastAsia" w:ascii="仿宋_GB2312" w:hAnsi="仿宋_GB2312" w:eastAsia="仿宋_GB2312" w:cs="仿宋_GB2312"/>
                <w:sz w:val="32"/>
                <w:szCs w:val="32"/>
                <w:highlight w:val="none"/>
              </w:rPr>
              <w:t>巡查</w:t>
            </w:r>
          </w:p>
        </w:tc>
        <w:tc>
          <w:tcPr>
            <w:tcW w:w="6378" w:type="dxa"/>
            <w:noWrap w:val="0"/>
            <w:vAlign w:val="center"/>
          </w:tcPr>
          <w:p w14:paraId="26D28C30">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（1）建立24小时值班巡查制度。</w:t>
            </w:r>
          </w:p>
        </w:tc>
      </w:tr>
      <w:tr w14:paraId="67C4B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70C38BD6">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341CA736">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378" w:type="dxa"/>
            <w:noWrap w:val="0"/>
            <w:vAlign w:val="center"/>
          </w:tcPr>
          <w:p w14:paraId="08B4E321">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（2）制定巡查路线，按照指定时间和路线执行，加强重点区域、重点部位及装修区域的巡查。</w:t>
            </w:r>
          </w:p>
        </w:tc>
      </w:tr>
      <w:tr w14:paraId="0CFD7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76099209">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1D066A6C">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6378" w:type="dxa"/>
            <w:noWrap w:val="0"/>
            <w:vAlign w:val="center"/>
          </w:tcPr>
          <w:p w14:paraId="4ECE1C2E">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（3）巡查期间保持通信设施设备畅通，遇到异常情况立即上报并在现场采取相应措施。</w:t>
            </w:r>
          </w:p>
        </w:tc>
      </w:tr>
      <w:tr w14:paraId="3F127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6951409A">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0FED57D6">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44BB52D8">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（4）收到监控室指令后，巡查人员及时到达指定地点并迅速采取相应措施。</w:t>
            </w:r>
          </w:p>
        </w:tc>
      </w:tr>
      <w:tr w14:paraId="62C9E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restart"/>
            <w:noWrap w:val="0"/>
            <w:vAlign w:val="center"/>
          </w:tcPr>
          <w:p w14:paraId="156D0343">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w:t>
            </w:r>
          </w:p>
        </w:tc>
        <w:tc>
          <w:tcPr>
            <w:tcW w:w="2174" w:type="dxa"/>
            <w:vMerge w:val="restart"/>
            <w:noWrap w:val="0"/>
            <w:vAlign w:val="center"/>
          </w:tcPr>
          <w:p w14:paraId="3D9D891B">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监控</w:t>
            </w:r>
            <w:r>
              <w:rPr>
                <w:rFonts w:hint="eastAsia" w:ascii="仿宋_GB2312" w:hAnsi="仿宋_GB2312" w:eastAsia="仿宋_GB2312" w:cs="仿宋_GB2312"/>
                <w:sz w:val="32"/>
                <w:szCs w:val="32"/>
                <w:highlight w:val="none"/>
                <w:lang w:val="en-US" w:eastAsia="zh-CN"/>
              </w:rPr>
              <w:t>值守</w:t>
            </w:r>
          </w:p>
        </w:tc>
        <w:tc>
          <w:tcPr>
            <w:tcW w:w="6378" w:type="dxa"/>
            <w:noWrap w:val="0"/>
            <w:vAlign w:val="center"/>
          </w:tcPr>
          <w:p w14:paraId="65F4DD44">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（1）监控室环境符合系统设备运行要求，定期进行检查和检测，确保系统功能正常。</w:t>
            </w:r>
          </w:p>
        </w:tc>
      </w:tr>
      <w:tr w14:paraId="7986F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4E5CBE2C">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7336D8A0">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410BFD08">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（2）监控设备24小时正常运行，监控室实行专人24小时值班制度。</w:t>
            </w:r>
          </w:p>
        </w:tc>
      </w:tr>
      <w:tr w14:paraId="113BE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44E4C3C7">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17FE6E32">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25BF3954">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（3）监控记录画面清晰，视频监控无死角、无盲区。</w:t>
            </w:r>
          </w:p>
        </w:tc>
      </w:tr>
      <w:tr w14:paraId="59942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797C6C71">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050D03F6">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2574DBFF">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（4）值班期间遵守操作规程和保密制度，做好监控记录的保存工作。</w:t>
            </w:r>
          </w:p>
        </w:tc>
      </w:tr>
      <w:tr w14:paraId="7679E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3832BFAF">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4DA528D0">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65EC7ED7">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（5）监控记录保持完整，保存时间不应少于90天。</w:t>
            </w:r>
          </w:p>
        </w:tc>
      </w:tr>
      <w:tr w14:paraId="4572B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10" w:type="dxa"/>
            <w:vMerge w:val="continue"/>
            <w:noWrap w:val="0"/>
            <w:vAlign w:val="center"/>
          </w:tcPr>
          <w:p w14:paraId="2AD9CA42">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4442201E">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501A0A17">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（6）无关人员进入监控室或查阅监控记录，经授权人批准并做好相关记录。</w:t>
            </w:r>
          </w:p>
        </w:tc>
      </w:tr>
      <w:tr w14:paraId="2B8A1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2DA36AB9">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0B3EB30A">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02976D3B">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（7）监控室收到火情等报警信号、其他异常情况信号后，及时报警并安排其他安保人员前往现场进行处理。</w:t>
            </w:r>
          </w:p>
        </w:tc>
      </w:tr>
      <w:tr w14:paraId="78BD3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restart"/>
            <w:noWrap w:val="0"/>
            <w:vAlign w:val="center"/>
          </w:tcPr>
          <w:p w14:paraId="2E27BAB0">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5</w:t>
            </w:r>
          </w:p>
        </w:tc>
        <w:tc>
          <w:tcPr>
            <w:tcW w:w="2174" w:type="dxa"/>
            <w:vMerge w:val="restart"/>
            <w:noWrap w:val="0"/>
            <w:vAlign w:val="center"/>
          </w:tcPr>
          <w:p w14:paraId="4DABECB9">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车辆停放</w:t>
            </w:r>
          </w:p>
        </w:tc>
        <w:tc>
          <w:tcPr>
            <w:tcW w:w="6378" w:type="dxa"/>
            <w:noWrap w:val="0"/>
            <w:vAlign w:val="center"/>
          </w:tcPr>
          <w:p w14:paraId="1E88B0F3">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（1）车辆行驶路线设置合理、规范，导向标志完整、清晰。</w:t>
            </w:r>
          </w:p>
        </w:tc>
      </w:tr>
      <w:tr w14:paraId="34359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0835C46E">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64595BD6">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5B286717">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（2）合理规划车辆停放区域，张贴车辆引导标识，对车辆及停放区域实行规范管理。</w:t>
            </w:r>
          </w:p>
        </w:tc>
      </w:tr>
      <w:tr w14:paraId="5499B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0BC92383">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404A10E7">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620462C8">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（3）严禁在办公楼的公用走道、楼梯间、安全出口处等公共区域停放车辆或充电。</w:t>
            </w:r>
          </w:p>
        </w:tc>
      </w:tr>
      <w:tr w14:paraId="41474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10152D3E">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67E92BD6">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6409595E">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（4）非机动车定点有序停放。</w:t>
            </w:r>
          </w:p>
        </w:tc>
      </w:tr>
      <w:tr w14:paraId="7B501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1F83B2DB">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15A7B4F3">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55E2F491">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（5）发现车辆异常情况及时通知车主，并做好登记；发生交通事故、自然灾害等意外事故时及时赶赴现场疏导和协助处理，响应时间不超过3分钟。</w:t>
            </w:r>
          </w:p>
        </w:tc>
      </w:tr>
      <w:tr w14:paraId="116AA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restart"/>
            <w:noWrap w:val="0"/>
            <w:vAlign w:val="center"/>
          </w:tcPr>
          <w:p w14:paraId="538611D8">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6</w:t>
            </w:r>
          </w:p>
        </w:tc>
        <w:tc>
          <w:tcPr>
            <w:tcW w:w="2174" w:type="dxa"/>
            <w:vMerge w:val="restart"/>
            <w:noWrap w:val="0"/>
            <w:vAlign w:val="center"/>
          </w:tcPr>
          <w:p w14:paraId="4987002F">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消防安全管理</w:t>
            </w:r>
          </w:p>
        </w:tc>
        <w:tc>
          <w:tcPr>
            <w:tcW w:w="6378" w:type="dxa"/>
            <w:noWrap w:val="0"/>
            <w:vAlign w:val="center"/>
          </w:tcPr>
          <w:p w14:paraId="78B73BA2">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（1）建立消防安全责任制，确定各级消防安全责任人及其职责。</w:t>
            </w:r>
          </w:p>
        </w:tc>
      </w:tr>
      <w:tr w14:paraId="18192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586EB9D9">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643FC671">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1942D897">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（2）消防控制室实行24小时值班制度，每班不少于2人。</w:t>
            </w:r>
          </w:p>
        </w:tc>
      </w:tr>
      <w:tr w14:paraId="5DAA2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1DFFBE7D">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1026129C">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31CB690D">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（3）消火栓、应急照明、应急物资、消防及人员逃生通道、消防车通道可随时正常使用。</w:t>
            </w:r>
          </w:p>
        </w:tc>
      </w:tr>
      <w:tr w14:paraId="78876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710699AF">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6AA1BC5C">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30657CF0">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（4）易燃易爆品设专区专人管理，做好相关记录。</w:t>
            </w:r>
          </w:p>
        </w:tc>
      </w:tr>
      <w:tr w14:paraId="76CFD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29897AC5">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183E3C27">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4DC8F11F">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（5）定期组织消防安全宣传，每半年至少开展1次消防演练。</w:t>
            </w:r>
          </w:p>
        </w:tc>
      </w:tr>
      <w:tr w14:paraId="3AB46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restart"/>
            <w:noWrap w:val="0"/>
            <w:vAlign w:val="center"/>
          </w:tcPr>
          <w:p w14:paraId="1E7460DE">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7</w:t>
            </w:r>
          </w:p>
        </w:tc>
        <w:tc>
          <w:tcPr>
            <w:tcW w:w="2174" w:type="dxa"/>
            <w:vMerge w:val="restart"/>
            <w:noWrap w:val="0"/>
            <w:vAlign w:val="center"/>
          </w:tcPr>
          <w:p w14:paraId="2A9B43F6">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突发事件处理</w:t>
            </w:r>
          </w:p>
        </w:tc>
        <w:tc>
          <w:tcPr>
            <w:tcW w:w="6378" w:type="dxa"/>
            <w:noWrap w:val="0"/>
            <w:vAlign w:val="center"/>
          </w:tcPr>
          <w:p w14:paraId="19B6CF8B">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（1）制定突发事件安全责任书，明确突发事件责任人及应承担的安全责任。</w:t>
            </w:r>
          </w:p>
        </w:tc>
      </w:tr>
      <w:tr w14:paraId="46C34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135E4FDB">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3D97CB6B">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36B8BF1E">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（2）建立应急突发事件处置队伍，明确各自的职责。</w:t>
            </w:r>
          </w:p>
        </w:tc>
      </w:tr>
      <w:tr w14:paraId="3A111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64D8CCE9">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2FBBFB21">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38F8C888">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（3）识别、分析各种潜在风险，针对不同风险类型制定相应解决方案，并配备应急物资。</w:t>
            </w:r>
          </w:p>
        </w:tc>
      </w:tr>
      <w:tr w14:paraId="2F263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6C8453A2">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5AEC24D7">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2F88B1BB">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（4）每半年至少开展1次突发事件应急演练，并有相应记录。</w:t>
            </w:r>
          </w:p>
        </w:tc>
      </w:tr>
      <w:tr w14:paraId="62871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65D13FCB">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14E571B6">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72D8BBA6">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（5）发生意外事件时，及时采取应急措施，维护办公区域物业服务正常进行，保护人身财产安全。</w:t>
            </w:r>
          </w:p>
        </w:tc>
      </w:tr>
      <w:tr w14:paraId="079C5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25714E52">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1CF5C267">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791462D2">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（6）办公区域物业服务应急预案终止实施后，积极采取措施，在尽可能短的时间内，消除事故带来的不良影响，妥善安置和慰问受害及受影响的人员和部门。</w:t>
            </w:r>
          </w:p>
        </w:tc>
      </w:tr>
      <w:tr w14:paraId="6C6BC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7B001D2D">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1CD63368">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35097B93">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（7）事故处理后，及时形成事故应急总结报告，完善应急救援工作方案。</w:t>
            </w:r>
          </w:p>
        </w:tc>
      </w:tr>
      <w:tr w14:paraId="620FE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restart"/>
            <w:noWrap w:val="0"/>
            <w:vAlign w:val="center"/>
          </w:tcPr>
          <w:p w14:paraId="7CE01737">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8</w:t>
            </w:r>
          </w:p>
        </w:tc>
        <w:tc>
          <w:tcPr>
            <w:tcW w:w="2174" w:type="dxa"/>
            <w:vMerge w:val="restart"/>
            <w:noWrap w:val="0"/>
            <w:vAlign w:val="center"/>
          </w:tcPr>
          <w:p w14:paraId="207A0226">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大型活动秩序</w:t>
            </w:r>
          </w:p>
        </w:tc>
        <w:tc>
          <w:tcPr>
            <w:tcW w:w="6378" w:type="dxa"/>
            <w:noWrap w:val="0"/>
            <w:vAlign w:val="center"/>
          </w:tcPr>
          <w:p w14:paraId="525E6D48">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（1）制定相应的活动秩序维护方案，合理安排人员，并对场所的安全隐患进行排查。</w:t>
            </w:r>
          </w:p>
        </w:tc>
      </w:tr>
      <w:tr w14:paraId="39A4E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27092B8A">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6B74E08D">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37BAB722">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（2）应保障通道、出入口、停车场等区域畅通。</w:t>
            </w:r>
          </w:p>
        </w:tc>
      </w:tr>
      <w:tr w14:paraId="6D734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Merge w:val="continue"/>
            <w:noWrap w:val="0"/>
            <w:vAlign w:val="center"/>
          </w:tcPr>
          <w:p w14:paraId="20CF83F6">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lang w:val="en-US" w:eastAsia="zh-CN"/>
              </w:rPr>
            </w:pPr>
          </w:p>
        </w:tc>
        <w:tc>
          <w:tcPr>
            <w:tcW w:w="2174" w:type="dxa"/>
            <w:vMerge w:val="continue"/>
            <w:noWrap w:val="0"/>
            <w:vAlign w:val="center"/>
          </w:tcPr>
          <w:p w14:paraId="1E4ECDFD">
            <w:pPr>
              <w:keepNext w:val="0"/>
              <w:keepLines w:val="0"/>
              <w:pageBreakBefore w:val="0"/>
              <w:widowControl/>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仿宋_GB2312" w:hAnsi="仿宋_GB2312" w:eastAsia="仿宋_GB2312" w:cs="仿宋_GB2312"/>
                <w:sz w:val="32"/>
                <w:szCs w:val="32"/>
                <w:highlight w:val="none"/>
              </w:rPr>
            </w:pPr>
          </w:p>
        </w:tc>
        <w:tc>
          <w:tcPr>
            <w:tcW w:w="6378" w:type="dxa"/>
            <w:noWrap w:val="0"/>
            <w:vAlign w:val="center"/>
          </w:tcPr>
          <w:p w14:paraId="6BB5800D">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（3）活动举办过程中，做好现场秩序的维护和突发事故的处置工作，确保活动正常进行。</w:t>
            </w:r>
          </w:p>
        </w:tc>
      </w:tr>
    </w:tbl>
    <w:p w14:paraId="7FE5124B">
      <w:pPr>
        <w:pStyle w:val="4"/>
        <w:numPr>
          <w:ilvl w:val="2"/>
          <w:numId w:val="0"/>
        </w:numPr>
        <w:bidi w:val="0"/>
        <w:ind w:leftChars="0" w:firstLine="640" w:firstLineChars="200"/>
        <w:rPr>
          <w:rFonts w:hint="eastAsia" w:ascii="仿宋_GB2312" w:hAnsi="仿宋_GB2312" w:eastAsia="仿宋_GB2312" w:cs="仿宋_GB2312"/>
          <w:sz w:val="32"/>
          <w:szCs w:val="32"/>
          <w:highlight w:val="none"/>
          <w:lang w:val="en-US" w:eastAsia="zh-CN"/>
        </w:rPr>
      </w:pPr>
      <w:bookmarkStart w:id="11" w:name="_3.7会议服务"/>
      <w:r>
        <w:rPr>
          <w:rFonts w:hint="eastAsia" w:ascii="仿宋_GB2312" w:hAnsi="仿宋_GB2312" w:eastAsia="仿宋_GB2312" w:cs="仿宋_GB2312"/>
          <w:sz w:val="32"/>
          <w:szCs w:val="32"/>
          <w:highlight w:val="none"/>
          <w:lang w:val="en-US" w:eastAsia="zh-CN"/>
        </w:rPr>
        <w:t>3.7会议服务</w:t>
      </w:r>
    </w:p>
    <w:bookmarkEnd w:id="11"/>
    <w:tbl>
      <w:tblPr>
        <w:tblStyle w:val="24"/>
        <w:tblW w:w="497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960"/>
        <w:gridCol w:w="5775"/>
      </w:tblGrid>
      <w:tr w14:paraId="4E722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81" w:type="dxa"/>
            <w:noWrap w:val="0"/>
            <w:vAlign w:val="center"/>
          </w:tcPr>
          <w:p w14:paraId="4B3AC6CD">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序号</w:t>
            </w:r>
          </w:p>
        </w:tc>
        <w:tc>
          <w:tcPr>
            <w:tcW w:w="3348" w:type="dxa"/>
            <w:noWrap w:val="0"/>
            <w:vAlign w:val="center"/>
          </w:tcPr>
          <w:p w14:paraId="492A194B">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color w:val="auto"/>
                <w:kern w:val="0"/>
                <w:sz w:val="32"/>
                <w:szCs w:val="32"/>
                <w:highlight w:val="none"/>
              </w:rPr>
            </w:pPr>
            <w:r>
              <w:rPr>
                <w:rFonts w:hint="eastAsia" w:ascii="仿宋_GB2312" w:hAnsi="仿宋_GB2312" w:eastAsia="仿宋_GB2312" w:cs="仿宋_GB2312"/>
                <w:b/>
                <w:bCs/>
                <w:color w:val="auto"/>
                <w:kern w:val="0"/>
                <w:sz w:val="32"/>
                <w:szCs w:val="32"/>
                <w:highlight w:val="none"/>
              </w:rPr>
              <w:t>服务内容构成</w:t>
            </w:r>
          </w:p>
        </w:tc>
        <w:tc>
          <w:tcPr>
            <w:tcW w:w="9867" w:type="dxa"/>
            <w:noWrap w:val="0"/>
            <w:vAlign w:val="center"/>
          </w:tcPr>
          <w:p w14:paraId="5F326A1B">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服务标准</w:t>
            </w:r>
          </w:p>
        </w:tc>
      </w:tr>
      <w:tr w14:paraId="40864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81" w:type="dxa"/>
            <w:noWrap w:val="0"/>
            <w:vAlign w:val="center"/>
          </w:tcPr>
          <w:p w14:paraId="62FA67D5">
            <w:pPr>
              <w:pageBreakBefore w:val="0"/>
              <w:widowControl/>
              <w:numPr>
                <w:ilvl w:val="0"/>
                <w:numId w:val="0"/>
              </w:numPr>
              <w:kinsoku/>
              <w:wordWrap/>
              <w:overflowPunct/>
              <w:topLinePunct w:val="0"/>
              <w:bidi w:val="0"/>
              <w:snapToGrid w:val="0"/>
              <w:spacing w:line="300" w:lineRule="auto"/>
              <w:ind w:left="0" w:leftChars="0" w:firstLine="0" w:firstLineChars="0"/>
              <w:jc w:val="center"/>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1</w:t>
            </w:r>
          </w:p>
        </w:tc>
        <w:tc>
          <w:tcPr>
            <w:tcW w:w="3348" w:type="dxa"/>
            <w:noWrap w:val="0"/>
            <w:vAlign w:val="center"/>
          </w:tcPr>
          <w:p w14:paraId="5FC71BF8">
            <w:pPr>
              <w:pageBreakBefore w:val="0"/>
              <w:widowControl/>
              <w:numPr>
                <w:ilvl w:val="0"/>
                <w:numId w:val="0"/>
              </w:numPr>
              <w:kinsoku/>
              <w:wordWrap/>
              <w:overflowPunct/>
              <w:topLinePunct w:val="0"/>
              <w:bidi w:val="0"/>
              <w:snapToGrid w:val="0"/>
              <w:spacing w:line="300" w:lineRule="auto"/>
              <w:ind w:left="0" w:leftChars="0" w:firstLine="0" w:firstLineChars="0"/>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sz w:val="32"/>
                <w:szCs w:val="32"/>
                <w:highlight w:val="none"/>
                <w:u w:val="none"/>
                <w:lang w:val="en-US" w:eastAsia="zh-CN"/>
              </w:rPr>
              <w:t>会议受理</w:t>
            </w:r>
          </w:p>
        </w:tc>
        <w:tc>
          <w:tcPr>
            <w:tcW w:w="9867" w:type="dxa"/>
            <w:noWrap w:val="0"/>
            <w:vAlign w:val="center"/>
          </w:tcPr>
          <w:p w14:paraId="4F74B19C">
            <w:pPr>
              <w:pageBreakBefore w:val="0"/>
              <w:widowControl/>
              <w:numPr>
                <w:ilvl w:val="0"/>
                <w:numId w:val="0"/>
              </w:numPr>
              <w:kinsoku/>
              <w:wordWrap/>
              <w:overflowPunct/>
              <w:topLinePunct w:val="0"/>
              <w:bidi w:val="0"/>
              <w:snapToGrid w:val="0"/>
              <w:spacing w:line="300" w:lineRule="auto"/>
              <w:ind w:leftChars="0"/>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sz w:val="32"/>
                <w:szCs w:val="32"/>
                <w:highlight w:val="none"/>
                <w:u w:val="none"/>
                <w:lang w:val="en-US" w:eastAsia="zh-CN"/>
              </w:rPr>
              <w:t>接受会议预订，调整分配会议室使用，记录会议需求。</w:t>
            </w:r>
          </w:p>
        </w:tc>
      </w:tr>
      <w:tr w14:paraId="1C17D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81" w:type="dxa"/>
            <w:noWrap w:val="0"/>
            <w:vAlign w:val="center"/>
          </w:tcPr>
          <w:p w14:paraId="777813EA">
            <w:pPr>
              <w:pageBreakBefore w:val="0"/>
              <w:widowControl/>
              <w:numPr>
                <w:ilvl w:val="0"/>
                <w:numId w:val="0"/>
              </w:numPr>
              <w:kinsoku/>
              <w:wordWrap/>
              <w:overflowPunct/>
              <w:topLinePunct w:val="0"/>
              <w:bidi w:val="0"/>
              <w:snapToGrid w:val="0"/>
              <w:spacing w:line="300" w:lineRule="auto"/>
              <w:ind w:left="0" w:leftChars="0" w:firstLine="0" w:firstLineChars="0"/>
              <w:jc w:val="center"/>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2</w:t>
            </w:r>
          </w:p>
        </w:tc>
        <w:tc>
          <w:tcPr>
            <w:tcW w:w="3348" w:type="dxa"/>
            <w:noWrap w:val="0"/>
            <w:vAlign w:val="center"/>
          </w:tcPr>
          <w:p w14:paraId="1CD9BF08">
            <w:pPr>
              <w:pageBreakBefore w:val="0"/>
              <w:widowControl/>
              <w:numPr>
                <w:ilvl w:val="0"/>
                <w:numId w:val="0"/>
              </w:numPr>
              <w:kinsoku/>
              <w:wordWrap/>
              <w:overflowPunct/>
              <w:topLinePunct w:val="0"/>
              <w:bidi w:val="0"/>
              <w:snapToGrid w:val="0"/>
              <w:spacing w:line="300" w:lineRule="auto"/>
              <w:ind w:left="0" w:leftChars="0" w:firstLine="0" w:firstLineChars="0"/>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sz w:val="32"/>
                <w:szCs w:val="32"/>
                <w:highlight w:val="none"/>
                <w:u w:val="none"/>
                <w:lang w:val="en-US" w:eastAsia="zh-CN"/>
              </w:rPr>
              <w:t>会前准备</w:t>
            </w:r>
          </w:p>
        </w:tc>
        <w:tc>
          <w:tcPr>
            <w:tcW w:w="9867" w:type="dxa"/>
            <w:noWrap w:val="0"/>
            <w:vAlign w:val="center"/>
          </w:tcPr>
          <w:p w14:paraId="1C1A9C70">
            <w:pPr>
              <w:pageBreakBefore w:val="0"/>
              <w:widowControl/>
              <w:numPr>
                <w:ilvl w:val="0"/>
                <w:numId w:val="0"/>
              </w:numPr>
              <w:kinsoku/>
              <w:wordWrap/>
              <w:overflowPunct/>
              <w:topLinePunct w:val="0"/>
              <w:bidi w:val="0"/>
              <w:snapToGrid w:val="0"/>
              <w:spacing w:line="300" w:lineRule="auto"/>
              <w:ind w:leftChars="0"/>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sz w:val="32"/>
                <w:szCs w:val="32"/>
                <w:highlight w:val="none"/>
                <w:u w:val="none"/>
                <w:lang w:val="en-US" w:eastAsia="zh-CN"/>
              </w:rPr>
              <w:t>根据会议需求、场地大小、用途，明确会议桌椅、桌牌、物品、设备、文具等摆放规定。</w:t>
            </w:r>
          </w:p>
        </w:tc>
      </w:tr>
      <w:tr w14:paraId="002D6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81" w:type="dxa"/>
            <w:noWrap w:val="0"/>
            <w:vAlign w:val="center"/>
          </w:tcPr>
          <w:p w14:paraId="7B5F0916">
            <w:pPr>
              <w:pageBreakBefore w:val="0"/>
              <w:widowControl/>
              <w:numPr>
                <w:ilvl w:val="0"/>
                <w:numId w:val="0"/>
              </w:numPr>
              <w:kinsoku/>
              <w:wordWrap/>
              <w:overflowPunct/>
              <w:topLinePunct w:val="0"/>
              <w:bidi w:val="0"/>
              <w:snapToGrid w:val="0"/>
              <w:spacing w:line="300" w:lineRule="auto"/>
              <w:ind w:left="0" w:leftChars="0" w:firstLine="0" w:firstLineChars="0"/>
              <w:jc w:val="center"/>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3</w:t>
            </w:r>
          </w:p>
        </w:tc>
        <w:tc>
          <w:tcPr>
            <w:tcW w:w="3348" w:type="dxa"/>
            <w:noWrap w:val="0"/>
            <w:vAlign w:val="center"/>
          </w:tcPr>
          <w:p w14:paraId="237FC750">
            <w:pPr>
              <w:pageBreakBefore w:val="0"/>
              <w:widowControl/>
              <w:numPr>
                <w:ilvl w:val="0"/>
                <w:numId w:val="0"/>
              </w:numPr>
              <w:kinsoku/>
              <w:wordWrap/>
              <w:overflowPunct/>
              <w:topLinePunct w:val="0"/>
              <w:bidi w:val="0"/>
              <w:snapToGrid w:val="0"/>
              <w:spacing w:line="300" w:lineRule="auto"/>
              <w:ind w:left="0" w:leftChars="0" w:firstLine="0" w:firstLineChars="0"/>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sz w:val="32"/>
                <w:szCs w:val="32"/>
                <w:highlight w:val="none"/>
                <w:u w:val="none"/>
                <w:lang w:val="en-US" w:eastAsia="zh-CN"/>
              </w:rPr>
              <w:t>引导服务</w:t>
            </w:r>
          </w:p>
        </w:tc>
        <w:tc>
          <w:tcPr>
            <w:tcW w:w="9867" w:type="dxa"/>
            <w:noWrap w:val="0"/>
            <w:vAlign w:val="center"/>
          </w:tcPr>
          <w:p w14:paraId="1B791A42">
            <w:pPr>
              <w:pageBreakBefore w:val="0"/>
              <w:widowControl/>
              <w:numPr>
                <w:ilvl w:val="0"/>
                <w:numId w:val="0"/>
              </w:numPr>
              <w:kinsoku/>
              <w:wordWrap/>
              <w:overflowPunct/>
              <w:topLinePunct w:val="0"/>
              <w:bidi w:val="0"/>
              <w:snapToGrid w:val="0"/>
              <w:spacing w:line="300" w:lineRule="auto"/>
              <w:ind w:leftChars="0"/>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sz w:val="32"/>
                <w:szCs w:val="32"/>
                <w:highlight w:val="none"/>
                <w:u w:val="none"/>
                <w:lang w:val="en-US" w:eastAsia="zh-CN"/>
              </w:rPr>
              <w:t>做好引导牌并放置在指定位置，引导人员引导手势规范，语言标准。</w:t>
            </w:r>
          </w:p>
        </w:tc>
      </w:tr>
      <w:tr w14:paraId="70234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81" w:type="dxa"/>
            <w:noWrap w:val="0"/>
            <w:vAlign w:val="center"/>
          </w:tcPr>
          <w:p w14:paraId="15DFF058">
            <w:pPr>
              <w:pageBreakBefore w:val="0"/>
              <w:widowControl/>
              <w:numPr>
                <w:ilvl w:val="0"/>
                <w:numId w:val="0"/>
              </w:numPr>
              <w:kinsoku/>
              <w:wordWrap/>
              <w:overflowPunct/>
              <w:topLinePunct w:val="0"/>
              <w:bidi w:val="0"/>
              <w:snapToGrid w:val="0"/>
              <w:spacing w:line="300" w:lineRule="auto"/>
              <w:ind w:left="0" w:leftChars="0" w:firstLine="0" w:firstLineChars="0"/>
              <w:jc w:val="center"/>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4</w:t>
            </w:r>
          </w:p>
        </w:tc>
        <w:tc>
          <w:tcPr>
            <w:tcW w:w="3348" w:type="dxa"/>
            <w:noWrap w:val="0"/>
            <w:vAlign w:val="center"/>
          </w:tcPr>
          <w:p w14:paraId="708D2C6E">
            <w:pPr>
              <w:pageBreakBefore w:val="0"/>
              <w:widowControl/>
              <w:numPr>
                <w:ilvl w:val="0"/>
                <w:numId w:val="0"/>
              </w:numPr>
              <w:kinsoku/>
              <w:wordWrap/>
              <w:overflowPunct/>
              <w:topLinePunct w:val="0"/>
              <w:bidi w:val="0"/>
              <w:snapToGrid w:val="0"/>
              <w:spacing w:line="300" w:lineRule="auto"/>
              <w:ind w:left="0" w:leftChars="0" w:firstLine="0" w:firstLineChars="0"/>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sz w:val="32"/>
                <w:szCs w:val="32"/>
                <w:highlight w:val="none"/>
                <w:u w:val="none"/>
                <w:lang w:val="en-US" w:eastAsia="zh-CN"/>
              </w:rPr>
              <w:t>会中服务</w:t>
            </w:r>
          </w:p>
        </w:tc>
        <w:tc>
          <w:tcPr>
            <w:tcW w:w="9867" w:type="dxa"/>
            <w:noWrap w:val="0"/>
            <w:vAlign w:val="center"/>
          </w:tcPr>
          <w:p w14:paraId="127FB420">
            <w:pPr>
              <w:pageBreakBefore w:val="0"/>
              <w:widowControl/>
              <w:numPr>
                <w:ilvl w:val="0"/>
                <w:numId w:val="0"/>
              </w:numPr>
              <w:kinsoku/>
              <w:wordWrap/>
              <w:overflowPunct/>
              <w:topLinePunct w:val="0"/>
              <w:bidi w:val="0"/>
              <w:snapToGrid w:val="0"/>
              <w:spacing w:line="300" w:lineRule="auto"/>
              <w:ind w:leftChars="0"/>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sz w:val="32"/>
                <w:szCs w:val="32"/>
                <w:highlight w:val="none"/>
                <w:u w:val="none"/>
                <w:lang w:val="en-US" w:eastAsia="zh-CN"/>
              </w:rPr>
              <w:t>会议开始后按要求加水。</w:t>
            </w:r>
          </w:p>
        </w:tc>
      </w:tr>
      <w:tr w14:paraId="472D8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81" w:type="dxa"/>
            <w:noWrap w:val="0"/>
            <w:vAlign w:val="center"/>
          </w:tcPr>
          <w:p w14:paraId="3EE02206">
            <w:pPr>
              <w:pageBreakBefore w:val="0"/>
              <w:widowControl/>
              <w:numPr>
                <w:ilvl w:val="0"/>
                <w:numId w:val="0"/>
              </w:numPr>
              <w:kinsoku/>
              <w:wordWrap/>
              <w:overflowPunct/>
              <w:topLinePunct w:val="0"/>
              <w:bidi w:val="0"/>
              <w:snapToGrid w:val="0"/>
              <w:spacing w:line="300" w:lineRule="auto"/>
              <w:ind w:left="0" w:leftChars="0" w:firstLine="0" w:firstLineChars="0"/>
              <w:jc w:val="center"/>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5</w:t>
            </w:r>
          </w:p>
        </w:tc>
        <w:tc>
          <w:tcPr>
            <w:tcW w:w="3348" w:type="dxa"/>
            <w:noWrap w:val="0"/>
            <w:vAlign w:val="center"/>
          </w:tcPr>
          <w:p w14:paraId="7B95841F">
            <w:pPr>
              <w:pageBreakBefore w:val="0"/>
              <w:widowControl/>
              <w:numPr>
                <w:ilvl w:val="0"/>
                <w:numId w:val="0"/>
              </w:numPr>
              <w:kinsoku/>
              <w:wordWrap/>
              <w:overflowPunct/>
              <w:topLinePunct w:val="0"/>
              <w:bidi w:val="0"/>
              <w:snapToGrid w:val="0"/>
              <w:spacing w:line="300" w:lineRule="auto"/>
              <w:ind w:left="0" w:leftChars="0" w:firstLine="0" w:firstLineChars="0"/>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sz w:val="32"/>
                <w:szCs w:val="32"/>
                <w:highlight w:val="none"/>
                <w:u w:val="none"/>
                <w:lang w:val="en-US" w:eastAsia="zh-CN"/>
              </w:rPr>
              <w:t>会后整理</w:t>
            </w:r>
          </w:p>
        </w:tc>
        <w:tc>
          <w:tcPr>
            <w:tcW w:w="9867" w:type="dxa"/>
            <w:noWrap w:val="0"/>
            <w:vAlign w:val="center"/>
          </w:tcPr>
          <w:p w14:paraId="3E5284F7">
            <w:pPr>
              <w:pageBreakBefore w:val="0"/>
              <w:widowControl/>
              <w:numPr>
                <w:ilvl w:val="0"/>
                <w:numId w:val="0"/>
              </w:numPr>
              <w:kinsoku/>
              <w:wordWrap/>
              <w:overflowPunct/>
              <w:topLinePunct w:val="0"/>
              <w:bidi w:val="0"/>
              <w:snapToGrid w:val="0"/>
              <w:spacing w:line="300" w:lineRule="auto"/>
              <w:ind w:leftChars="0"/>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sz w:val="32"/>
                <w:szCs w:val="32"/>
                <w:highlight w:val="none"/>
                <w:u w:val="none"/>
                <w:lang w:val="en-US" w:eastAsia="zh-CN"/>
              </w:rPr>
              <w:t>对会议现场进行检查，核查涉密遗留物品，做好会场清扫工作。</w:t>
            </w:r>
          </w:p>
        </w:tc>
      </w:tr>
    </w:tbl>
    <w:p w14:paraId="1DAB5441">
      <w:pPr>
        <w:pStyle w:val="3"/>
        <w:rPr>
          <w:rFonts w:hint="eastAsia" w:ascii="仿宋_GB2312" w:hAnsi="仿宋_GB2312" w:eastAsia="仿宋_GB2312" w:cs="仿宋_GB2312"/>
          <w:color w:val="auto"/>
          <w:sz w:val="32"/>
          <w:szCs w:val="32"/>
          <w:highlight w:val="none"/>
          <w:u w:val="none"/>
          <w:lang w:val="en-US" w:eastAsia="zh-CN"/>
        </w:rPr>
      </w:pPr>
      <w:bookmarkStart w:id="12" w:name="_Toc26417"/>
      <w:bookmarkStart w:id="13" w:name="_Toc12052"/>
      <w:bookmarkStart w:id="14" w:name="_Toc27983"/>
    </w:p>
    <w:p w14:paraId="44DBEF06">
      <w:pPr>
        <w:pStyle w:val="3"/>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4.供应商履行合同所需的设备</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3"/>
        <w:gridCol w:w="2722"/>
        <w:gridCol w:w="3412"/>
        <w:gridCol w:w="874"/>
        <w:gridCol w:w="851"/>
      </w:tblGrid>
      <w:tr w14:paraId="5A986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2" w:type="dxa"/>
            <w:noWrap w:val="0"/>
            <w:vAlign w:val="center"/>
          </w:tcPr>
          <w:p w14:paraId="3C9368D3">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color w:val="auto"/>
                <w:kern w:val="0"/>
                <w:sz w:val="32"/>
                <w:szCs w:val="32"/>
                <w:highlight w:val="none"/>
              </w:rPr>
            </w:pPr>
            <w:r>
              <w:rPr>
                <w:rFonts w:hint="eastAsia" w:ascii="仿宋_GB2312" w:hAnsi="仿宋_GB2312" w:eastAsia="仿宋_GB2312" w:cs="仿宋_GB2312"/>
                <w:b/>
                <w:bCs/>
                <w:color w:val="auto"/>
                <w:kern w:val="0"/>
                <w:sz w:val="32"/>
                <w:szCs w:val="32"/>
                <w:highlight w:val="none"/>
              </w:rPr>
              <w:t>序号</w:t>
            </w:r>
          </w:p>
        </w:tc>
        <w:tc>
          <w:tcPr>
            <w:tcW w:w="3002" w:type="dxa"/>
            <w:noWrap w:val="0"/>
            <w:vAlign w:val="center"/>
          </w:tcPr>
          <w:p w14:paraId="3E445598">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color w:val="auto"/>
                <w:kern w:val="0"/>
                <w:sz w:val="32"/>
                <w:szCs w:val="32"/>
                <w:highlight w:val="none"/>
              </w:rPr>
            </w:pPr>
            <w:r>
              <w:rPr>
                <w:rFonts w:hint="eastAsia" w:ascii="仿宋_GB2312" w:hAnsi="仿宋_GB2312" w:eastAsia="仿宋_GB2312" w:cs="仿宋_GB2312"/>
                <w:b/>
                <w:bCs/>
                <w:color w:val="auto"/>
                <w:kern w:val="0"/>
                <w:sz w:val="32"/>
                <w:szCs w:val="32"/>
                <w:highlight w:val="none"/>
                <w:lang w:val="en-US" w:eastAsia="zh-CN"/>
              </w:rPr>
              <w:t>用途</w:t>
            </w:r>
          </w:p>
        </w:tc>
        <w:tc>
          <w:tcPr>
            <w:tcW w:w="3764" w:type="dxa"/>
            <w:noWrap w:val="0"/>
            <w:vAlign w:val="center"/>
          </w:tcPr>
          <w:p w14:paraId="2A9764C2">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color w:val="auto"/>
                <w:kern w:val="0"/>
                <w:sz w:val="32"/>
                <w:szCs w:val="32"/>
                <w:highlight w:val="none"/>
                <w:lang w:eastAsia="zh-CN"/>
              </w:rPr>
            </w:pPr>
            <w:r>
              <w:rPr>
                <w:rFonts w:hint="eastAsia" w:ascii="仿宋_GB2312" w:hAnsi="仿宋_GB2312" w:eastAsia="仿宋_GB2312" w:cs="仿宋_GB2312"/>
                <w:b/>
                <w:bCs/>
                <w:color w:val="auto"/>
                <w:kern w:val="0"/>
                <w:sz w:val="32"/>
                <w:szCs w:val="32"/>
                <w:highlight w:val="none"/>
                <w:lang w:val="en-US" w:eastAsia="zh-CN"/>
              </w:rPr>
              <w:t>作业设备</w:t>
            </w:r>
            <w:r>
              <w:rPr>
                <w:rFonts w:hint="eastAsia" w:ascii="仿宋_GB2312" w:hAnsi="仿宋_GB2312" w:eastAsia="仿宋_GB2312" w:cs="仿宋_GB2312"/>
                <w:b/>
                <w:bCs/>
                <w:color w:val="auto"/>
                <w:kern w:val="0"/>
                <w:sz w:val="32"/>
                <w:szCs w:val="32"/>
                <w:highlight w:val="none"/>
              </w:rPr>
              <w:t>名称</w:t>
            </w:r>
          </w:p>
        </w:tc>
        <w:tc>
          <w:tcPr>
            <w:tcW w:w="965" w:type="dxa"/>
            <w:noWrap w:val="0"/>
            <w:vAlign w:val="center"/>
          </w:tcPr>
          <w:p w14:paraId="5BC73347">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数量</w:t>
            </w:r>
          </w:p>
        </w:tc>
        <w:tc>
          <w:tcPr>
            <w:tcW w:w="938" w:type="dxa"/>
            <w:noWrap w:val="0"/>
            <w:vAlign w:val="center"/>
          </w:tcPr>
          <w:p w14:paraId="1738B4EE">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单位</w:t>
            </w:r>
          </w:p>
        </w:tc>
      </w:tr>
      <w:tr w14:paraId="3D246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2" w:type="dxa"/>
            <w:noWrap w:val="0"/>
            <w:vAlign w:val="center"/>
          </w:tcPr>
          <w:p w14:paraId="71CBC1F2">
            <w:pPr>
              <w:pageBreakBefore w:val="0"/>
              <w:widowControl/>
              <w:numPr>
                <w:ilvl w:val="0"/>
                <w:numId w:val="0"/>
              </w:numPr>
              <w:kinsoku/>
              <w:wordWrap/>
              <w:overflowPunct/>
              <w:topLinePunct w:val="0"/>
              <w:bidi w:val="0"/>
              <w:snapToGrid w:val="0"/>
              <w:spacing w:line="300" w:lineRule="auto"/>
              <w:ind w:left="0" w:firstLine="0"/>
              <w:jc w:val="center"/>
              <w:rPr>
                <w:rFonts w:hint="eastAsia" w:ascii="仿宋_GB2312" w:hAnsi="仿宋_GB2312" w:eastAsia="仿宋_GB2312" w:cs="仿宋_GB2312"/>
                <w:b w:val="0"/>
                <w:bCs w:val="0"/>
                <w:color w:val="auto"/>
                <w:kern w:val="0"/>
                <w:sz w:val="32"/>
                <w:szCs w:val="32"/>
                <w:highlight w:val="none"/>
              </w:rPr>
            </w:pPr>
            <w:r>
              <w:rPr>
                <w:rFonts w:hint="eastAsia" w:ascii="仿宋_GB2312" w:hAnsi="仿宋_GB2312" w:eastAsia="仿宋_GB2312" w:cs="仿宋_GB2312"/>
                <w:b w:val="0"/>
                <w:bCs w:val="0"/>
                <w:color w:val="auto"/>
                <w:kern w:val="0"/>
                <w:sz w:val="32"/>
                <w:szCs w:val="32"/>
                <w:highlight w:val="none"/>
                <w:lang w:val="en-US" w:eastAsia="zh-CN"/>
              </w:rPr>
              <w:t>1</w:t>
            </w:r>
          </w:p>
        </w:tc>
        <w:tc>
          <w:tcPr>
            <w:tcW w:w="3002" w:type="dxa"/>
            <w:noWrap w:val="0"/>
            <w:vAlign w:val="center"/>
          </w:tcPr>
          <w:p w14:paraId="4F5B13B0">
            <w:pPr>
              <w:pageBreakBefore w:val="0"/>
              <w:widowControl/>
              <w:kinsoku/>
              <w:wordWrap/>
              <w:overflowPunct/>
              <w:topLinePunct w:val="0"/>
              <w:bidi w:val="0"/>
              <w:snapToGrid w:val="0"/>
              <w:spacing w:line="300" w:lineRule="auto"/>
              <w:ind w:left="0" w:leftChars="0"/>
              <w:jc w:val="center"/>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共用设施设备维护服务</w:t>
            </w:r>
          </w:p>
        </w:tc>
        <w:tc>
          <w:tcPr>
            <w:tcW w:w="3764" w:type="dxa"/>
            <w:noWrap w:val="0"/>
            <w:vAlign w:val="center"/>
          </w:tcPr>
          <w:p w14:paraId="5F2507CC">
            <w:pPr>
              <w:pageBreakBefore w:val="0"/>
              <w:widowControl/>
              <w:kinsoku/>
              <w:wordWrap/>
              <w:overflowPunct/>
              <w:topLinePunct w:val="0"/>
              <w:bidi w:val="0"/>
              <w:snapToGrid w:val="0"/>
              <w:spacing w:line="300" w:lineRule="auto"/>
              <w:ind w:left="0" w:leftChars="0"/>
              <w:jc w:val="center"/>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bidi="ar-SA"/>
              </w:rPr>
              <w:t>4米叉梯、2.5铝合金米梯、2米铝合金梯、电锤</w:t>
            </w:r>
          </w:p>
        </w:tc>
        <w:tc>
          <w:tcPr>
            <w:tcW w:w="965" w:type="dxa"/>
            <w:noWrap w:val="0"/>
            <w:vAlign w:val="center"/>
          </w:tcPr>
          <w:p w14:paraId="2ABDF90F">
            <w:pPr>
              <w:pageBreakBefore w:val="0"/>
              <w:widowControl/>
              <w:kinsoku/>
              <w:wordWrap/>
              <w:overflowPunct/>
              <w:topLinePunct w:val="0"/>
              <w:bidi w:val="0"/>
              <w:snapToGrid w:val="0"/>
              <w:spacing w:line="300" w:lineRule="auto"/>
              <w:ind w:left="0" w:leftChars="0"/>
              <w:jc w:val="center"/>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w:t>
            </w:r>
          </w:p>
        </w:tc>
        <w:tc>
          <w:tcPr>
            <w:tcW w:w="938" w:type="dxa"/>
            <w:noWrap w:val="0"/>
            <w:vAlign w:val="center"/>
          </w:tcPr>
          <w:p w14:paraId="2EF55A25">
            <w:pPr>
              <w:pageBreakBefore w:val="0"/>
              <w:widowControl/>
              <w:kinsoku/>
              <w:wordWrap/>
              <w:overflowPunct/>
              <w:topLinePunct w:val="0"/>
              <w:bidi w:val="0"/>
              <w:snapToGrid w:val="0"/>
              <w:spacing w:line="300" w:lineRule="auto"/>
              <w:ind w:left="0" w:leftChars="0"/>
              <w:jc w:val="center"/>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套</w:t>
            </w:r>
          </w:p>
        </w:tc>
      </w:tr>
      <w:tr w14:paraId="70860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2" w:type="dxa"/>
            <w:noWrap w:val="0"/>
            <w:vAlign w:val="center"/>
          </w:tcPr>
          <w:p w14:paraId="7071BEA1">
            <w:pPr>
              <w:pageBreakBefore w:val="0"/>
              <w:widowControl/>
              <w:numPr>
                <w:ilvl w:val="0"/>
                <w:numId w:val="0"/>
              </w:numPr>
              <w:kinsoku/>
              <w:wordWrap/>
              <w:overflowPunct/>
              <w:topLinePunct w:val="0"/>
              <w:bidi w:val="0"/>
              <w:snapToGrid w:val="0"/>
              <w:spacing w:line="300" w:lineRule="auto"/>
              <w:ind w:left="0" w:firstLine="0"/>
              <w:jc w:val="center"/>
              <w:rPr>
                <w:rFonts w:hint="eastAsia" w:ascii="仿宋_GB2312" w:hAnsi="仿宋_GB2312" w:eastAsia="仿宋_GB2312" w:cs="仿宋_GB2312"/>
                <w:b w:val="0"/>
                <w:bCs w:val="0"/>
                <w:color w:val="auto"/>
                <w:kern w:val="0"/>
                <w:sz w:val="32"/>
                <w:szCs w:val="32"/>
                <w:highlight w:val="none"/>
              </w:rPr>
            </w:pPr>
            <w:r>
              <w:rPr>
                <w:rFonts w:hint="eastAsia" w:ascii="仿宋_GB2312" w:hAnsi="仿宋_GB2312" w:eastAsia="仿宋_GB2312" w:cs="仿宋_GB2312"/>
                <w:b w:val="0"/>
                <w:bCs w:val="0"/>
                <w:color w:val="auto"/>
                <w:kern w:val="0"/>
                <w:sz w:val="32"/>
                <w:szCs w:val="32"/>
                <w:highlight w:val="none"/>
                <w:lang w:val="en-US" w:eastAsia="zh-CN"/>
              </w:rPr>
              <w:t>2</w:t>
            </w:r>
          </w:p>
        </w:tc>
        <w:tc>
          <w:tcPr>
            <w:tcW w:w="3002" w:type="dxa"/>
            <w:noWrap w:val="0"/>
            <w:vAlign w:val="center"/>
          </w:tcPr>
          <w:p w14:paraId="096C15E0">
            <w:pPr>
              <w:pageBreakBefore w:val="0"/>
              <w:widowControl/>
              <w:kinsoku/>
              <w:wordWrap/>
              <w:overflowPunct/>
              <w:topLinePunct w:val="0"/>
              <w:bidi w:val="0"/>
              <w:snapToGrid w:val="0"/>
              <w:spacing w:line="300" w:lineRule="auto"/>
              <w:ind w:left="0" w:leftChars="0"/>
              <w:jc w:val="center"/>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保洁服务</w:t>
            </w:r>
          </w:p>
        </w:tc>
        <w:tc>
          <w:tcPr>
            <w:tcW w:w="3764" w:type="dxa"/>
            <w:noWrap w:val="0"/>
            <w:vAlign w:val="center"/>
          </w:tcPr>
          <w:p w14:paraId="64C71BF9">
            <w:pPr>
              <w:pageBreakBefore w:val="0"/>
              <w:widowControl/>
              <w:kinsoku/>
              <w:wordWrap/>
              <w:overflowPunct/>
              <w:topLinePunct w:val="0"/>
              <w:bidi w:val="0"/>
              <w:snapToGrid w:val="0"/>
              <w:spacing w:line="300" w:lineRule="auto"/>
              <w:ind w:left="0" w:leftChars="0"/>
              <w:jc w:val="left"/>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rPr>
              <w:t>速干毛巾、速干拖把、尘推、</w:t>
            </w:r>
            <w:r>
              <w:rPr>
                <w:rFonts w:hint="eastAsia" w:ascii="仿宋_GB2312" w:hAnsi="仿宋_GB2312" w:eastAsia="仿宋_GB2312" w:cs="仿宋_GB2312"/>
                <w:b w:val="0"/>
                <w:bCs w:val="0"/>
                <w:color w:val="auto"/>
                <w:kern w:val="0"/>
                <w:sz w:val="32"/>
                <w:szCs w:val="32"/>
                <w:highlight w:val="none"/>
                <w:lang w:val="en-US" w:eastAsia="zh-CN" w:bidi="ar-SA"/>
              </w:rPr>
              <w:t>洗地机、玻璃刮水器、胶皮手套、笤帚、</w:t>
            </w:r>
            <w:r>
              <w:rPr>
                <w:rFonts w:hint="eastAsia" w:ascii="仿宋_GB2312" w:hAnsi="仿宋_GB2312" w:eastAsia="仿宋_GB2312" w:cs="仿宋_GB2312"/>
                <w:color w:val="auto"/>
                <w:sz w:val="32"/>
                <w:szCs w:val="32"/>
                <w:highlight w:val="none"/>
                <w:lang w:val="en-US" w:eastAsia="zh-CN"/>
              </w:rPr>
              <w:t>簸箕</w:t>
            </w:r>
          </w:p>
        </w:tc>
        <w:tc>
          <w:tcPr>
            <w:tcW w:w="965" w:type="dxa"/>
            <w:noWrap w:val="0"/>
            <w:vAlign w:val="center"/>
          </w:tcPr>
          <w:p w14:paraId="45B3D22A">
            <w:pPr>
              <w:pageBreakBefore w:val="0"/>
              <w:widowControl/>
              <w:kinsoku/>
              <w:wordWrap/>
              <w:overflowPunct/>
              <w:topLinePunct w:val="0"/>
              <w:bidi w:val="0"/>
              <w:snapToGrid w:val="0"/>
              <w:spacing w:line="300" w:lineRule="auto"/>
              <w:ind w:left="0" w:leftChars="0"/>
              <w:jc w:val="center"/>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w:t>
            </w:r>
          </w:p>
        </w:tc>
        <w:tc>
          <w:tcPr>
            <w:tcW w:w="938" w:type="dxa"/>
            <w:noWrap w:val="0"/>
            <w:vAlign w:val="center"/>
          </w:tcPr>
          <w:p w14:paraId="13C24F7F">
            <w:pPr>
              <w:pageBreakBefore w:val="0"/>
              <w:widowControl/>
              <w:kinsoku/>
              <w:wordWrap/>
              <w:overflowPunct/>
              <w:topLinePunct w:val="0"/>
              <w:bidi w:val="0"/>
              <w:snapToGrid w:val="0"/>
              <w:spacing w:line="300" w:lineRule="auto"/>
              <w:ind w:left="0" w:leftChars="0"/>
              <w:jc w:val="center"/>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组</w:t>
            </w:r>
          </w:p>
        </w:tc>
      </w:tr>
      <w:tr w14:paraId="5806D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2" w:type="dxa"/>
            <w:noWrap w:val="0"/>
            <w:vAlign w:val="center"/>
          </w:tcPr>
          <w:p w14:paraId="5599822A">
            <w:pPr>
              <w:pageBreakBefore w:val="0"/>
              <w:widowControl/>
              <w:numPr>
                <w:ilvl w:val="0"/>
                <w:numId w:val="0"/>
              </w:numPr>
              <w:kinsoku/>
              <w:wordWrap/>
              <w:overflowPunct/>
              <w:topLinePunct w:val="0"/>
              <w:bidi w:val="0"/>
              <w:snapToGrid w:val="0"/>
              <w:spacing w:line="300" w:lineRule="auto"/>
              <w:ind w:left="0" w:firstLine="0"/>
              <w:jc w:val="center"/>
              <w:rPr>
                <w:rFonts w:hint="eastAsia" w:ascii="仿宋_GB2312" w:hAnsi="仿宋_GB2312" w:eastAsia="仿宋_GB2312" w:cs="仿宋_GB2312"/>
                <w:b w:val="0"/>
                <w:bCs w:val="0"/>
                <w:color w:val="auto"/>
                <w:kern w:val="0"/>
                <w:sz w:val="32"/>
                <w:szCs w:val="32"/>
                <w:highlight w:val="none"/>
              </w:rPr>
            </w:pPr>
            <w:r>
              <w:rPr>
                <w:rFonts w:hint="eastAsia" w:ascii="仿宋_GB2312" w:hAnsi="仿宋_GB2312" w:eastAsia="仿宋_GB2312" w:cs="仿宋_GB2312"/>
                <w:b w:val="0"/>
                <w:bCs w:val="0"/>
                <w:color w:val="auto"/>
                <w:kern w:val="0"/>
                <w:sz w:val="32"/>
                <w:szCs w:val="32"/>
                <w:highlight w:val="none"/>
                <w:lang w:val="en-US" w:eastAsia="zh-CN"/>
              </w:rPr>
              <w:t>3</w:t>
            </w:r>
          </w:p>
        </w:tc>
        <w:tc>
          <w:tcPr>
            <w:tcW w:w="3002" w:type="dxa"/>
            <w:noWrap w:val="0"/>
            <w:vAlign w:val="center"/>
          </w:tcPr>
          <w:p w14:paraId="76A7E30D">
            <w:pPr>
              <w:pageBreakBefore w:val="0"/>
              <w:widowControl/>
              <w:kinsoku/>
              <w:wordWrap/>
              <w:overflowPunct/>
              <w:topLinePunct w:val="0"/>
              <w:bidi w:val="0"/>
              <w:snapToGrid w:val="0"/>
              <w:spacing w:line="300" w:lineRule="auto"/>
              <w:ind w:left="0" w:leftChars="0"/>
              <w:jc w:val="center"/>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绿化服务</w:t>
            </w:r>
          </w:p>
        </w:tc>
        <w:tc>
          <w:tcPr>
            <w:tcW w:w="3764" w:type="dxa"/>
            <w:noWrap w:val="0"/>
            <w:vAlign w:val="center"/>
          </w:tcPr>
          <w:p w14:paraId="791DC4E4">
            <w:pPr>
              <w:pageBreakBefore w:val="0"/>
              <w:widowControl/>
              <w:kinsoku/>
              <w:wordWrap/>
              <w:overflowPunct/>
              <w:topLinePunct w:val="0"/>
              <w:bidi w:val="0"/>
              <w:snapToGrid w:val="0"/>
              <w:spacing w:line="300" w:lineRule="auto"/>
              <w:ind w:left="0" w:leftChars="0"/>
              <w:jc w:val="left"/>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bidi="ar-SA"/>
              </w:rPr>
              <w:t>高枝剪、修枝剪、手锯、水管、喷雾器、铁锹</w:t>
            </w:r>
          </w:p>
        </w:tc>
        <w:tc>
          <w:tcPr>
            <w:tcW w:w="965" w:type="dxa"/>
            <w:noWrap w:val="0"/>
            <w:vAlign w:val="center"/>
          </w:tcPr>
          <w:p w14:paraId="2E4BA7A5">
            <w:pPr>
              <w:pageBreakBefore w:val="0"/>
              <w:widowControl/>
              <w:kinsoku/>
              <w:wordWrap/>
              <w:overflowPunct/>
              <w:topLinePunct w:val="0"/>
              <w:bidi w:val="0"/>
              <w:snapToGrid w:val="0"/>
              <w:spacing w:line="300" w:lineRule="auto"/>
              <w:ind w:left="0" w:leftChars="0"/>
              <w:jc w:val="center"/>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bidi="ar-SA"/>
              </w:rPr>
              <w:t>1</w:t>
            </w:r>
          </w:p>
        </w:tc>
        <w:tc>
          <w:tcPr>
            <w:tcW w:w="938" w:type="dxa"/>
            <w:noWrap w:val="0"/>
            <w:vAlign w:val="center"/>
          </w:tcPr>
          <w:p w14:paraId="130F25FF">
            <w:pPr>
              <w:pageBreakBefore w:val="0"/>
              <w:widowControl/>
              <w:kinsoku/>
              <w:wordWrap/>
              <w:overflowPunct/>
              <w:topLinePunct w:val="0"/>
              <w:bidi w:val="0"/>
              <w:snapToGrid w:val="0"/>
              <w:spacing w:line="300" w:lineRule="auto"/>
              <w:ind w:left="0" w:leftChars="0"/>
              <w:jc w:val="center"/>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rPr>
              <w:t>套</w:t>
            </w:r>
          </w:p>
        </w:tc>
      </w:tr>
      <w:tr w14:paraId="7D6AA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2" w:type="dxa"/>
            <w:noWrap w:val="0"/>
            <w:vAlign w:val="center"/>
          </w:tcPr>
          <w:p w14:paraId="2CDFA2DE">
            <w:pPr>
              <w:pageBreakBefore w:val="0"/>
              <w:widowControl/>
              <w:numPr>
                <w:ilvl w:val="0"/>
                <w:numId w:val="0"/>
              </w:numPr>
              <w:kinsoku/>
              <w:wordWrap/>
              <w:overflowPunct/>
              <w:topLinePunct w:val="0"/>
              <w:bidi w:val="0"/>
              <w:snapToGrid w:val="0"/>
              <w:spacing w:line="300" w:lineRule="auto"/>
              <w:ind w:left="0" w:firstLine="0"/>
              <w:jc w:val="center"/>
              <w:rPr>
                <w:rFonts w:hint="eastAsia" w:ascii="仿宋_GB2312" w:hAnsi="仿宋_GB2312" w:eastAsia="仿宋_GB2312" w:cs="仿宋_GB2312"/>
                <w:b w:val="0"/>
                <w:bCs w:val="0"/>
                <w:color w:val="auto"/>
                <w:kern w:val="0"/>
                <w:sz w:val="32"/>
                <w:szCs w:val="32"/>
                <w:highlight w:val="none"/>
              </w:rPr>
            </w:pPr>
            <w:r>
              <w:rPr>
                <w:rFonts w:hint="eastAsia" w:ascii="仿宋_GB2312" w:hAnsi="仿宋_GB2312" w:eastAsia="仿宋_GB2312" w:cs="仿宋_GB2312"/>
                <w:b w:val="0"/>
                <w:bCs w:val="0"/>
                <w:color w:val="auto"/>
                <w:kern w:val="0"/>
                <w:sz w:val="32"/>
                <w:szCs w:val="32"/>
                <w:highlight w:val="none"/>
                <w:lang w:val="en-US" w:eastAsia="zh-CN"/>
              </w:rPr>
              <w:t>4</w:t>
            </w:r>
          </w:p>
        </w:tc>
        <w:tc>
          <w:tcPr>
            <w:tcW w:w="3002" w:type="dxa"/>
            <w:noWrap w:val="0"/>
            <w:vAlign w:val="center"/>
          </w:tcPr>
          <w:p w14:paraId="469EBB01">
            <w:pPr>
              <w:pageBreakBefore w:val="0"/>
              <w:widowControl/>
              <w:kinsoku/>
              <w:wordWrap/>
              <w:overflowPunct/>
              <w:topLinePunct w:val="0"/>
              <w:bidi w:val="0"/>
              <w:snapToGrid w:val="0"/>
              <w:spacing w:line="300" w:lineRule="auto"/>
              <w:ind w:left="0" w:leftChars="0"/>
              <w:jc w:val="center"/>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保安服务</w:t>
            </w:r>
          </w:p>
        </w:tc>
        <w:tc>
          <w:tcPr>
            <w:tcW w:w="3764" w:type="dxa"/>
            <w:noWrap w:val="0"/>
            <w:vAlign w:val="center"/>
          </w:tcPr>
          <w:p w14:paraId="52151F9C">
            <w:pPr>
              <w:pageBreakBefore w:val="0"/>
              <w:widowControl/>
              <w:kinsoku/>
              <w:wordWrap/>
              <w:overflowPunct/>
              <w:topLinePunct w:val="0"/>
              <w:bidi w:val="0"/>
              <w:snapToGrid w:val="0"/>
              <w:spacing w:line="300" w:lineRule="auto"/>
              <w:ind w:left="0" w:leftChars="0"/>
              <w:jc w:val="left"/>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bidi="ar-SA"/>
              </w:rPr>
              <w:t>强光手电、防爆头盔、防刺服、防爆盾牌、伸缩脚叉、狼牙棒、钢叉、防割手套</w:t>
            </w:r>
          </w:p>
        </w:tc>
        <w:tc>
          <w:tcPr>
            <w:tcW w:w="965" w:type="dxa"/>
            <w:noWrap w:val="0"/>
            <w:vAlign w:val="center"/>
          </w:tcPr>
          <w:p w14:paraId="7522461F">
            <w:pPr>
              <w:pageBreakBefore w:val="0"/>
              <w:widowControl/>
              <w:kinsoku/>
              <w:wordWrap/>
              <w:overflowPunct/>
              <w:topLinePunct w:val="0"/>
              <w:bidi w:val="0"/>
              <w:snapToGrid w:val="0"/>
              <w:spacing w:line="300" w:lineRule="auto"/>
              <w:ind w:left="0" w:leftChars="0"/>
              <w:jc w:val="center"/>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bidi="ar-SA"/>
              </w:rPr>
              <w:t>1</w:t>
            </w:r>
          </w:p>
        </w:tc>
        <w:tc>
          <w:tcPr>
            <w:tcW w:w="938" w:type="dxa"/>
            <w:noWrap w:val="0"/>
            <w:vAlign w:val="center"/>
          </w:tcPr>
          <w:p w14:paraId="0792D31A">
            <w:pPr>
              <w:pageBreakBefore w:val="0"/>
              <w:widowControl/>
              <w:kinsoku/>
              <w:wordWrap/>
              <w:overflowPunct/>
              <w:topLinePunct w:val="0"/>
              <w:bidi w:val="0"/>
              <w:snapToGrid w:val="0"/>
              <w:spacing w:line="300" w:lineRule="auto"/>
              <w:ind w:left="0" w:leftChars="0"/>
              <w:jc w:val="center"/>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rPr>
              <w:t>套</w:t>
            </w:r>
          </w:p>
        </w:tc>
      </w:tr>
    </w:tbl>
    <w:p w14:paraId="361E590F">
      <w:pPr>
        <w:pStyle w:val="3"/>
        <w:bidi w:val="0"/>
        <w:rPr>
          <w:rFonts w:hint="eastAsia" w:ascii="仿宋_GB2312" w:hAnsi="仿宋_GB2312" w:eastAsia="仿宋_GB2312" w:cs="仿宋_GB2312"/>
          <w:sz w:val="32"/>
          <w:szCs w:val="32"/>
          <w:highlight w:val="none"/>
          <w:lang w:val="en-US" w:eastAsia="zh-CN"/>
        </w:rPr>
      </w:pPr>
    </w:p>
    <w:p w14:paraId="1EB42BC4">
      <w:pPr>
        <w:pStyle w:val="3"/>
        <w:bidi w:val="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物业管理服务人员需求</w:t>
      </w:r>
    </w:p>
    <w:tbl>
      <w:tblPr>
        <w:tblStyle w:val="24"/>
        <w:tblW w:w="511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2"/>
        <w:gridCol w:w="1388"/>
        <w:gridCol w:w="970"/>
        <w:gridCol w:w="1023"/>
        <w:gridCol w:w="3952"/>
      </w:tblGrid>
      <w:tr w14:paraId="058B8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17" w:type="dxa"/>
            <w:noWrap w:val="0"/>
            <w:vAlign w:val="center"/>
          </w:tcPr>
          <w:p w14:paraId="366A8A4F">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val="0"/>
                <w:color w:val="auto"/>
                <w:sz w:val="32"/>
                <w:szCs w:val="32"/>
                <w:highlight w:val="none"/>
                <w:lang w:val="en-US" w:eastAsia="zh-CN"/>
              </w:rPr>
            </w:pPr>
            <w:r>
              <w:rPr>
                <w:rFonts w:hint="eastAsia" w:ascii="仿宋_GB2312" w:hAnsi="仿宋_GB2312" w:eastAsia="仿宋_GB2312" w:cs="仿宋_GB2312"/>
                <w:b/>
                <w:bCs w:val="0"/>
                <w:color w:val="auto"/>
                <w:sz w:val="32"/>
                <w:szCs w:val="32"/>
                <w:highlight w:val="none"/>
              </w:rPr>
              <w:t>部门</w:t>
            </w:r>
            <w:r>
              <w:rPr>
                <w:rFonts w:hint="eastAsia" w:ascii="仿宋_GB2312" w:hAnsi="仿宋_GB2312" w:eastAsia="仿宋_GB2312" w:cs="仿宋_GB2312"/>
                <w:b/>
                <w:bCs w:val="0"/>
                <w:color w:val="auto"/>
                <w:sz w:val="32"/>
                <w:szCs w:val="32"/>
                <w:highlight w:val="none"/>
                <w:lang w:eastAsia="zh-CN"/>
              </w:rPr>
              <w:t>职能</w:t>
            </w:r>
          </w:p>
        </w:tc>
        <w:tc>
          <w:tcPr>
            <w:tcW w:w="1513" w:type="dxa"/>
            <w:noWrap w:val="0"/>
            <w:vAlign w:val="center"/>
          </w:tcPr>
          <w:p w14:paraId="04BB9E44">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val="0"/>
                <w:color w:val="auto"/>
                <w:sz w:val="32"/>
                <w:szCs w:val="32"/>
                <w:highlight w:val="none"/>
              </w:rPr>
            </w:pPr>
            <w:r>
              <w:rPr>
                <w:rFonts w:hint="eastAsia" w:ascii="仿宋_GB2312" w:hAnsi="仿宋_GB2312" w:eastAsia="仿宋_GB2312" w:cs="仿宋_GB2312"/>
                <w:b/>
                <w:bCs w:val="0"/>
                <w:color w:val="auto"/>
                <w:sz w:val="32"/>
                <w:szCs w:val="32"/>
                <w:highlight w:val="none"/>
              </w:rPr>
              <w:t>岗位</w:t>
            </w:r>
          </w:p>
        </w:tc>
        <w:tc>
          <w:tcPr>
            <w:tcW w:w="1057" w:type="dxa"/>
            <w:noWrap w:val="0"/>
            <w:vAlign w:val="center"/>
          </w:tcPr>
          <w:p w14:paraId="5DB48EF4">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val="0"/>
                <w:color w:val="auto"/>
                <w:sz w:val="32"/>
                <w:szCs w:val="32"/>
                <w:highlight w:val="none"/>
                <w:lang w:eastAsia="zh-CN"/>
              </w:rPr>
            </w:pPr>
            <w:r>
              <w:rPr>
                <w:rFonts w:hint="eastAsia" w:ascii="仿宋_GB2312" w:hAnsi="仿宋_GB2312" w:eastAsia="仿宋_GB2312" w:cs="仿宋_GB2312"/>
                <w:b/>
                <w:bCs w:val="0"/>
                <w:color w:val="auto"/>
                <w:sz w:val="32"/>
                <w:szCs w:val="32"/>
                <w:highlight w:val="none"/>
                <w:lang w:eastAsia="zh-CN"/>
              </w:rPr>
              <w:t>白班</w:t>
            </w:r>
          </w:p>
          <w:p w14:paraId="7AC40124">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val="0"/>
                <w:color w:val="auto"/>
                <w:sz w:val="32"/>
                <w:szCs w:val="32"/>
                <w:highlight w:val="none"/>
                <w:lang w:eastAsia="zh-CN"/>
              </w:rPr>
            </w:pPr>
            <w:r>
              <w:rPr>
                <w:rFonts w:hint="eastAsia" w:ascii="仿宋_GB2312" w:hAnsi="仿宋_GB2312" w:eastAsia="仿宋_GB2312" w:cs="仿宋_GB2312"/>
                <w:b/>
                <w:bCs w:val="0"/>
                <w:color w:val="auto"/>
                <w:sz w:val="32"/>
                <w:szCs w:val="32"/>
                <w:highlight w:val="none"/>
                <w:lang w:eastAsia="zh-CN"/>
              </w:rPr>
              <w:t>（人）</w:t>
            </w:r>
          </w:p>
        </w:tc>
        <w:tc>
          <w:tcPr>
            <w:tcW w:w="1115" w:type="dxa"/>
            <w:noWrap w:val="0"/>
            <w:vAlign w:val="center"/>
          </w:tcPr>
          <w:p w14:paraId="3379BF03">
            <w:pPr>
              <w:pageBreakBefore w:val="0"/>
              <w:widowControl/>
              <w:kinsoku/>
              <w:wordWrap/>
              <w:overflowPunct/>
              <w:topLinePunct w:val="0"/>
              <w:bidi w:val="0"/>
              <w:snapToGrid w:val="0"/>
              <w:spacing w:line="300" w:lineRule="auto"/>
              <w:ind w:left="0"/>
              <w:jc w:val="center"/>
              <w:rPr>
                <w:rFonts w:hint="eastAsia" w:ascii="仿宋_GB2312" w:hAnsi="仿宋_GB2312" w:eastAsia="仿宋_GB2312" w:cs="仿宋_GB2312"/>
                <w:b/>
                <w:bCs w:val="0"/>
                <w:color w:val="auto"/>
                <w:sz w:val="32"/>
                <w:szCs w:val="32"/>
                <w:highlight w:val="none"/>
                <w:lang w:eastAsia="zh-CN"/>
              </w:rPr>
            </w:pPr>
            <w:r>
              <w:rPr>
                <w:rFonts w:hint="eastAsia" w:ascii="仿宋_GB2312" w:hAnsi="仿宋_GB2312" w:eastAsia="仿宋_GB2312" w:cs="仿宋_GB2312"/>
                <w:b/>
                <w:bCs w:val="0"/>
                <w:color w:val="auto"/>
                <w:sz w:val="32"/>
                <w:szCs w:val="32"/>
                <w:highlight w:val="none"/>
                <w:lang w:eastAsia="zh-CN"/>
              </w:rPr>
              <w:t>夜班（人）</w:t>
            </w:r>
          </w:p>
        </w:tc>
        <w:tc>
          <w:tcPr>
            <w:tcW w:w="4307" w:type="dxa"/>
            <w:noWrap w:val="0"/>
            <w:vAlign w:val="center"/>
          </w:tcPr>
          <w:p w14:paraId="05F74E4A">
            <w:pPr>
              <w:pageBreakBefore w:val="0"/>
              <w:widowControl/>
              <w:kinsoku/>
              <w:wordWrap/>
              <w:overflowPunct/>
              <w:topLinePunct w:val="0"/>
              <w:bidi w:val="0"/>
              <w:snapToGrid w:val="0"/>
              <w:spacing w:line="300" w:lineRule="auto"/>
              <w:ind w:left="0"/>
              <w:jc w:val="left"/>
              <w:rPr>
                <w:rFonts w:hint="eastAsia" w:ascii="仿宋_GB2312" w:hAnsi="仿宋_GB2312" w:eastAsia="仿宋_GB2312" w:cs="仿宋_GB2312"/>
                <w:b/>
                <w:bCs w:val="0"/>
                <w:color w:val="auto"/>
                <w:sz w:val="32"/>
                <w:szCs w:val="32"/>
                <w:highlight w:val="none"/>
              </w:rPr>
            </w:pPr>
            <w:r>
              <w:rPr>
                <w:rFonts w:hint="eastAsia" w:ascii="仿宋_GB2312" w:hAnsi="仿宋_GB2312" w:eastAsia="仿宋_GB2312" w:cs="仿宋_GB2312"/>
                <w:b/>
                <w:bCs w:val="0"/>
                <w:color w:val="auto"/>
                <w:sz w:val="32"/>
                <w:szCs w:val="32"/>
                <w:highlight w:val="none"/>
              </w:rPr>
              <w:t>备注（岗位所需服务时长或时段、</w:t>
            </w:r>
            <w:r>
              <w:rPr>
                <w:rFonts w:hint="eastAsia" w:ascii="仿宋_GB2312" w:hAnsi="仿宋_GB2312" w:eastAsia="仿宋_GB2312" w:cs="仿宋_GB2312"/>
                <w:b/>
                <w:bCs w:val="0"/>
                <w:color w:val="auto"/>
                <w:sz w:val="32"/>
                <w:szCs w:val="32"/>
                <w:highlight w:val="none"/>
                <w:lang w:eastAsia="zh-CN"/>
              </w:rPr>
              <w:t>人员学历、工作经验</w:t>
            </w:r>
            <w:r>
              <w:rPr>
                <w:rFonts w:hint="eastAsia" w:ascii="仿宋_GB2312" w:hAnsi="仿宋_GB2312" w:eastAsia="仿宋_GB2312" w:cs="仿宋_GB2312"/>
                <w:b/>
                <w:bCs w:val="0"/>
                <w:color w:val="auto"/>
                <w:sz w:val="32"/>
                <w:szCs w:val="32"/>
                <w:highlight w:val="none"/>
              </w:rPr>
              <w:t>等</w:t>
            </w:r>
            <w:r>
              <w:rPr>
                <w:rFonts w:hint="eastAsia" w:ascii="仿宋_GB2312" w:hAnsi="仿宋_GB2312" w:eastAsia="仿宋_GB2312" w:cs="仿宋_GB2312"/>
                <w:b/>
                <w:bCs w:val="0"/>
                <w:color w:val="auto"/>
                <w:sz w:val="32"/>
                <w:szCs w:val="32"/>
                <w:highlight w:val="none"/>
                <w:lang w:eastAsia="zh-CN"/>
              </w:rPr>
              <w:t>要求</w:t>
            </w:r>
            <w:r>
              <w:rPr>
                <w:rFonts w:hint="eastAsia" w:ascii="仿宋_GB2312" w:hAnsi="仿宋_GB2312" w:eastAsia="仿宋_GB2312" w:cs="仿宋_GB2312"/>
                <w:b/>
                <w:bCs w:val="0"/>
                <w:color w:val="auto"/>
                <w:sz w:val="32"/>
                <w:szCs w:val="32"/>
                <w:highlight w:val="none"/>
              </w:rPr>
              <w:t>）</w:t>
            </w:r>
          </w:p>
        </w:tc>
      </w:tr>
      <w:tr w14:paraId="7A72C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8" w:hRule="atLeast"/>
        </w:trPr>
        <w:tc>
          <w:tcPr>
            <w:tcW w:w="1517" w:type="dxa"/>
            <w:noWrap w:val="0"/>
            <w:vAlign w:val="center"/>
          </w:tcPr>
          <w:p w14:paraId="2E752B12">
            <w:pPr>
              <w:pageBreakBefore w:val="0"/>
              <w:widowControl/>
              <w:kinsoku/>
              <w:wordWrap/>
              <w:overflowPunct/>
              <w:topLinePunct w:val="0"/>
              <w:bidi w:val="0"/>
              <w:snapToGrid w:val="0"/>
              <w:spacing w:line="300" w:lineRule="auto"/>
              <w:ind w:left="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服务中心</w:t>
            </w:r>
          </w:p>
        </w:tc>
        <w:tc>
          <w:tcPr>
            <w:tcW w:w="1513" w:type="dxa"/>
            <w:noWrap w:val="0"/>
            <w:vAlign w:val="center"/>
          </w:tcPr>
          <w:p w14:paraId="218C6DED">
            <w:pPr>
              <w:pageBreakBefore w:val="0"/>
              <w:widowControl/>
              <w:kinsoku/>
              <w:wordWrap/>
              <w:overflowPunct/>
              <w:topLinePunct w:val="0"/>
              <w:bidi w:val="0"/>
              <w:snapToGrid w:val="0"/>
              <w:spacing w:line="300" w:lineRule="auto"/>
              <w:ind w:left="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项目经理</w:t>
            </w:r>
          </w:p>
        </w:tc>
        <w:tc>
          <w:tcPr>
            <w:tcW w:w="1057" w:type="dxa"/>
            <w:noWrap w:val="0"/>
            <w:vAlign w:val="center"/>
          </w:tcPr>
          <w:p w14:paraId="5C4B150D">
            <w:pPr>
              <w:pageBreakBefore w:val="0"/>
              <w:widowControl/>
              <w:kinsoku/>
              <w:wordWrap/>
              <w:overflowPunct/>
              <w:topLinePunct w:val="0"/>
              <w:bidi w:val="0"/>
              <w:snapToGrid w:val="0"/>
              <w:spacing w:line="300" w:lineRule="auto"/>
              <w:ind w:left="0" w:leftChars="0"/>
              <w:jc w:val="center"/>
              <w:rPr>
                <w:rFonts w:hint="eastAsia" w:ascii="仿宋_GB2312" w:hAnsi="仿宋_GB2312" w:eastAsia="仿宋_GB2312" w:cs="仿宋_GB2312"/>
                <w:bCs/>
                <w:color w:val="auto"/>
                <w:kern w:val="2"/>
                <w:sz w:val="32"/>
                <w:szCs w:val="32"/>
                <w:highlight w:val="none"/>
                <w:lang w:val="en-US" w:eastAsia="zh-CN" w:bidi="ar-SA"/>
              </w:rPr>
            </w:pPr>
            <w:r>
              <w:rPr>
                <w:rFonts w:hint="eastAsia" w:ascii="仿宋_GB2312" w:hAnsi="仿宋_GB2312" w:eastAsia="仿宋_GB2312" w:cs="仿宋_GB2312"/>
                <w:bCs/>
                <w:color w:val="auto"/>
                <w:sz w:val="32"/>
                <w:szCs w:val="32"/>
                <w:highlight w:val="none"/>
              </w:rPr>
              <w:t>1</w:t>
            </w:r>
          </w:p>
        </w:tc>
        <w:tc>
          <w:tcPr>
            <w:tcW w:w="1115" w:type="dxa"/>
            <w:noWrap w:val="0"/>
            <w:vAlign w:val="center"/>
          </w:tcPr>
          <w:p w14:paraId="7203BB57">
            <w:pPr>
              <w:pageBreakBefore w:val="0"/>
              <w:widowControl/>
              <w:kinsoku/>
              <w:wordWrap/>
              <w:overflowPunct/>
              <w:topLinePunct w:val="0"/>
              <w:bidi w:val="0"/>
              <w:snapToGrid w:val="0"/>
              <w:spacing w:line="300" w:lineRule="auto"/>
              <w:ind w:left="0" w:leftChars="0"/>
              <w:jc w:val="center"/>
              <w:rPr>
                <w:rFonts w:hint="eastAsia" w:ascii="仿宋_GB2312" w:hAnsi="仿宋_GB2312" w:eastAsia="仿宋_GB2312" w:cs="仿宋_GB2312"/>
                <w:bCs/>
                <w:color w:val="auto"/>
                <w:kern w:val="2"/>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rPr>
              <w:t>0</w:t>
            </w:r>
          </w:p>
        </w:tc>
        <w:tc>
          <w:tcPr>
            <w:tcW w:w="4307" w:type="dxa"/>
            <w:noWrap w:val="0"/>
            <w:vAlign w:val="center"/>
          </w:tcPr>
          <w:p w14:paraId="35A85EF8">
            <w:pPr>
              <w:pageBreakBefore w:val="0"/>
              <w:widowControl/>
              <w:kinsoku/>
              <w:wordWrap/>
              <w:overflowPunct/>
              <w:topLinePunct w:val="0"/>
              <w:bidi w:val="0"/>
              <w:snapToGrid w:val="0"/>
              <w:spacing w:line="300" w:lineRule="auto"/>
              <w:ind w:left="0" w:leftChars="0"/>
              <w:jc w:val="both"/>
              <w:rPr>
                <w:rFonts w:hint="eastAsia"/>
                <w:lang w:val="en-US" w:eastAsia="zh-CN"/>
              </w:rPr>
            </w:pPr>
            <w:r>
              <w:rPr>
                <w:rFonts w:hint="eastAsia" w:ascii="仿宋_GB2312" w:hAnsi="仿宋_GB2312" w:eastAsia="仿宋_GB2312" w:cs="仿宋_GB2312"/>
                <w:bCs/>
                <w:color w:val="auto"/>
                <w:sz w:val="32"/>
                <w:szCs w:val="32"/>
                <w:highlight w:val="none"/>
                <w:lang w:val="en-US" w:eastAsia="zh-CN"/>
              </w:rPr>
              <w:t>男性；40周岁以内，专科及以上学历，5年以上项目管理经验，全面统筹物业服务日常运营、人员管理、应急处置、沟通协调及服务质量管控，保障24小时服务机制落地。</w:t>
            </w:r>
          </w:p>
        </w:tc>
      </w:tr>
      <w:tr w14:paraId="5141C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17" w:type="dxa"/>
            <w:vMerge w:val="restart"/>
            <w:noWrap w:val="0"/>
            <w:vAlign w:val="center"/>
          </w:tcPr>
          <w:p w14:paraId="604307F7">
            <w:pPr>
              <w:pageBreakBefore w:val="0"/>
              <w:widowControl/>
              <w:kinsoku/>
              <w:wordWrap/>
              <w:overflowPunct/>
              <w:topLinePunct w:val="0"/>
              <w:bidi w:val="0"/>
              <w:snapToGrid w:val="0"/>
              <w:spacing w:line="300" w:lineRule="auto"/>
              <w:ind w:left="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sz w:val="32"/>
                <w:szCs w:val="32"/>
                <w:highlight w:val="none"/>
                <w:lang w:val="en-US" w:eastAsia="zh-CN"/>
              </w:rPr>
              <w:t>共用设施设备维护服务</w:t>
            </w:r>
          </w:p>
        </w:tc>
        <w:tc>
          <w:tcPr>
            <w:tcW w:w="1513" w:type="dxa"/>
            <w:noWrap w:val="0"/>
            <w:vAlign w:val="center"/>
          </w:tcPr>
          <w:p w14:paraId="3AFF27DA">
            <w:pPr>
              <w:pageBreakBefore w:val="0"/>
              <w:widowControl/>
              <w:kinsoku/>
              <w:wordWrap/>
              <w:overflowPunct/>
              <w:topLinePunct w:val="0"/>
              <w:bidi w:val="0"/>
              <w:snapToGrid w:val="0"/>
              <w:spacing w:line="300" w:lineRule="auto"/>
              <w:ind w:left="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配电室值班</w:t>
            </w:r>
          </w:p>
        </w:tc>
        <w:tc>
          <w:tcPr>
            <w:tcW w:w="1057" w:type="dxa"/>
            <w:noWrap w:val="0"/>
            <w:vAlign w:val="center"/>
          </w:tcPr>
          <w:p w14:paraId="062D2BDE">
            <w:pPr>
              <w:pageBreakBefore w:val="0"/>
              <w:widowControl/>
              <w:kinsoku/>
              <w:wordWrap/>
              <w:overflowPunct/>
              <w:topLinePunct w:val="0"/>
              <w:bidi w:val="0"/>
              <w:snapToGrid w:val="0"/>
              <w:spacing w:line="300" w:lineRule="auto"/>
              <w:ind w:left="0" w:leftChars="0"/>
              <w:jc w:val="center"/>
              <w:rPr>
                <w:rFonts w:hint="eastAsia" w:ascii="仿宋_GB2312" w:hAnsi="仿宋_GB2312" w:eastAsia="仿宋_GB2312" w:cs="仿宋_GB2312"/>
                <w:bCs/>
                <w:color w:val="auto"/>
                <w:kern w:val="2"/>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rPr>
              <w:t>1</w:t>
            </w:r>
          </w:p>
        </w:tc>
        <w:tc>
          <w:tcPr>
            <w:tcW w:w="1115" w:type="dxa"/>
            <w:noWrap w:val="0"/>
            <w:vAlign w:val="center"/>
          </w:tcPr>
          <w:p w14:paraId="2C3173B1">
            <w:pPr>
              <w:pageBreakBefore w:val="0"/>
              <w:widowControl/>
              <w:kinsoku/>
              <w:wordWrap/>
              <w:overflowPunct/>
              <w:topLinePunct w:val="0"/>
              <w:bidi w:val="0"/>
              <w:snapToGrid w:val="0"/>
              <w:spacing w:line="300" w:lineRule="auto"/>
              <w:ind w:left="0" w:leftChars="0"/>
              <w:jc w:val="center"/>
              <w:rPr>
                <w:rFonts w:hint="eastAsia" w:ascii="仿宋_GB2312" w:hAnsi="仿宋_GB2312" w:eastAsia="仿宋_GB2312" w:cs="仿宋_GB2312"/>
                <w:bCs/>
                <w:color w:val="auto"/>
                <w:kern w:val="2"/>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rPr>
              <w:t>2</w:t>
            </w:r>
          </w:p>
        </w:tc>
        <w:tc>
          <w:tcPr>
            <w:tcW w:w="4307" w:type="dxa"/>
            <w:noWrap w:val="0"/>
            <w:vAlign w:val="center"/>
          </w:tcPr>
          <w:p w14:paraId="09744E01">
            <w:pPr>
              <w:pageBreakBefore w:val="0"/>
              <w:widowControl/>
              <w:kinsoku/>
              <w:wordWrap/>
              <w:overflowPunct/>
              <w:topLinePunct w:val="0"/>
              <w:bidi w:val="0"/>
              <w:snapToGrid w:val="0"/>
              <w:spacing w:line="300" w:lineRule="auto"/>
              <w:ind w:left="0" w:leftChars="0"/>
              <w:jc w:val="both"/>
              <w:rPr>
                <w:rFonts w:hint="eastAsia" w:ascii="仿宋_GB2312" w:hAnsi="仿宋_GB2312" w:eastAsia="仿宋_GB2312" w:cs="仿宋_GB2312"/>
                <w:bCs/>
                <w:color w:val="auto"/>
                <w:kern w:val="2"/>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rPr>
              <w:t>24小时；男性60周岁以下，持有高压电工作业证。</w:t>
            </w:r>
          </w:p>
        </w:tc>
      </w:tr>
      <w:tr w14:paraId="5D05D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17" w:type="dxa"/>
            <w:vMerge w:val="continue"/>
            <w:noWrap w:val="0"/>
            <w:vAlign w:val="center"/>
          </w:tcPr>
          <w:p w14:paraId="5F17BAE7">
            <w:pPr>
              <w:pageBreakBefore w:val="0"/>
              <w:widowControl/>
              <w:kinsoku/>
              <w:wordWrap/>
              <w:overflowPunct/>
              <w:topLinePunct w:val="0"/>
              <w:bidi w:val="0"/>
              <w:snapToGrid w:val="0"/>
              <w:spacing w:line="300" w:lineRule="auto"/>
              <w:ind w:left="0"/>
              <w:jc w:val="both"/>
              <w:rPr>
                <w:rFonts w:hint="eastAsia" w:ascii="仿宋_GB2312" w:hAnsi="仿宋_GB2312" w:eastAsia="仿宋_GB2312" w:cs="仿宋_GB2312"/>
                <w:bCs/>
                <w:color w:val="auto"/>
                <w:sz w:val="32"/>
                <w:szCs w:val="32"/>
                <w:highlight w:val="none"/>
              </w:rPr>
            </w:pPr>
          </w:p>
        </w:tc>
        <w:tc>
          <w:tcPr>
            <w:tcW w:w="1513" w:type="dxa"/>
            <w:noWrap w:val="0"/>
            <w:vAlign w:val="center"/>
          </w:tcPr>
          <w:p w14:paraId="123C6D0C">
            <w:pPr>
              <w:pageBreakBefore w:val="0"/>
              <w:widowControl/>
              <w:kinsoku/>
              <w:wordWrap/>
              <w:overflowPunct/>
              <w:topLinePunct w:val="0"/>
              <w:bidi w:val="0"/>
              <w:snapToGrid w:val="0"/>
              <w:spacing w:line="300" w:lineRule="auto"/>
              <w:ind w:left="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电气设备维护</w:t>
            </w:r>
          </w:p>
        </w:tc>
        <w:tc>
          <w:tcPr>
            <w:tcW w:w="1057" w:type="dxa"/>
            <w:noWrap w:val="0"/>
            <w:vAlign w:val="center"/>
          </w:tcPr>
          <w:p w14:paraId="44CB3BC9">
            <w:pPr>
              <w:pageBreakBefore w:val="0"/>
              <w:widowControl/>
              <w:kinsoku/>
              <w:wordWrap/>
              <w:overflowPunct/>
              <w:topLinePunct w:val="0"/>
              <w:bidi w:val="0"/>
              <w:snapToGrid w:val="0"/>
              <w:spacing w:line="300" w:lineRule="auto"/>
              <w:ind w:left="0" w:leftChars="0"/>
              <w:jc w:val="center"/>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1</w:t>
            </w:r>
          </w:p>
        </w:tc>
        <w:tc>
          <w:tcPr>
            <w:tcW w:w="1115" w:type="dxa"/>
            <w:noWrap w:val="0"/>
            <w:vAlign w:val="center"/>
          </w:tcPr>
          <w:p w14:paraId="0BE3BB8A">
            <w:pPr>
              <w:pageBreakBefore w:val="0"/>
              <w:widowControl/>
              <w:kinsoku/>
              <w:wordWrap/>
              <w:overflowPunct/>
              <w:topLinePunct w:val="0"/>
              <w:bidi w:val="0"/>
              <w:snapToGrid w:val="0"/>
              <w:spacing w:line="300" w:lineRule="auto"/>
              <w:ind w:left="0" w:leftChars="0"/>
              <w:jc w:val="center"/>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1</w:t>
            </w:r>
          </w:p>
        </w:tc>
        <w:tc>
          <w:tcPr>
            <w:tcW w:w="4307" w:type="dxa"/>
            <w:noWrap w:val="0"/>
            <w:vAlign w:val="center"/>
          </w:tcPr>
          <w:p w14:paraId="5984EB4B">
            <w:pPr>
              <w:pageBreakBefore w:val="0"/>
              <w:widowControl/>
              <w:kinsoku/>
              <w:wordWrap/>
              <w:overflowPunct/>
              <w:topLinePunct w:val="0"/>
              <w:bidi w:val="0"/>
              <w:snapToGrid w:val="0"/>
              <w:spacing w:line="300" w:lineRule="auto"/>
              <w:ind w:left="0" w:left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24小时；男性60周岁以下，持有低压电工作业证。55周岁以内，持有效电工证上岗，负责办公区域供电线路、照明、电气设备日常巡检、维修保养与故障处置。</w:t>
            </w:r>
          </w:p>
        </w:tc>
      </w:tr>
      <w:tr w14:paraId="4393C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17" w:type="dxa"/>
            <w:vMerge w:val="continue"/>
            <w:noWrap w:val="0"/>
            <w:vAlign w:val="center"/>
          </w:tcPr>
          <w:p w14:paraId="74EA7D2B">
            <w:pPr>
              <w:pageBreakBefore w:val="0"/>
              <w:widowControl/>
              <w:kinsoku/>
              <w:wordWrap/>
              <w:overflowPunct/>
              <w:topLinePunct w:val="0"/>
              <w:bidi w:val="0"/>
              <w:snapToGrid w:val="0"/>
              <w:spacing w:line="300" w:lineRule="auto"/>
              <w:ind w:left="0"/>
              <w:jc w:val="both"/>
              <w:rPr>
                <w:rFonts w:hint="eastAsia" w:ascii="仿宋_GB2312" w:hAnsi="仿宋_GB2312" w:eastAsia="仿宋_GB2312" w:cs="仿宋_GB2312"/>
                <w:bCs/>
                <w:color w:val="auto"/>
                <w:sz w:val="32"/>
                <w:szCs w:val="32"/>
                <w:highlight w:val="none"/>
              </w:rPr>
            </w:pPr>
          </w:p>
        </w:tc>
        <w:tc>
          <w:tcPr>
            <w:tcW w:w="1513" w:type="dxa"/>
            <w:noWrap w:val="0"/>
            <w:vAlign w:val="center"/>
          </w:tcPr>
          <w:p w14:paraId="4B6871B4">
            <w:pPr>
              <w:pageBreakBefore w:val="0"/>
              <w:widowControl/>
              <w:kinsoku/>
              <w:wordWrap/>
              <w:overflowPunct/>
              <w:topLinePunct w:val="0"/>
              <w:bidi w:val="0"/>
              <w:snapToGrid w:val="0"/>
              <w:spacing w:line="300" w:lineRule="auto"/>
              <w:ind w:left="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给排水供暖设备维护</w:t>
            </w:r>
          </w:p>
        </w:tc>
        <w:tc>
          <w:tcPr>
            <w:tcW w:w="1057" w:type="dxa"/>
            <w:noWrap w:val="0"/>
            <w:vAlign w:val="center"/>
          </w:tcPr>
          <w:p w14:paraId="78163A13">
            <w:pPr>
              <w:pageBreakBefore w:val="0"/>
              <w:widowControl/>
              <w:kinsoku/>
              <w:wordWrap/>
              <w:overflowPunct/>
              <w:topLinePunct w:val="0"/>
              <w:bidi w:val="0"/>
              <w:snapToGrid w:val="0"/>
              <w:spacing w:line="300" w:lineRule="auto"/>
              <w:ind w:left="0" w:leftChars="0"/>
              <w:jc w:val="center"/>
              <w:rPr>
                <w:rFonts w:hint="eastAsia" w:ascii="仿宋_GB2312" w:hAnsi="仿宋_GB2312" w:eastAsia="仿宋_GB2312" w:cs="仿宋_GB2312"/>
                <w:bCs/>
                <w:color w:val="auto"/>
                <w:kern w:val="2"/>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rPr>
              <w:t>1</w:t>
            </w:r>
          </w:p>
        </w:tc>
        <w:tc>
          <w:tcPr>
            <w:tcW w:w="1115" w:type="dxa"/>
            <w:noWrap w:val="0"/>
            <w:vAlign w:val="center"/>
          </w:tcPr>
          <w:p w14:paraId="47A05243">
            <w:pPr>
              <w:pageBreakBefore w:val="0"/>
              <w:widowControl/>
              <w:kinsoku/>
              <w:wordWrap/>
              <w:overflowPunct/>
              <w:topLinePunct w:val="0"/>
              <w:bidi w:val="0"/>
              <w:snapToGrid w:val="0"/>
              <w:spacing w:line="300" w:lineRule="auto"/>
              <w:ind w:left="0" w:leftChars="0"/>
              <w:jc w:val="center"/>
              <w:rPr>
                <w:rFonts w:hint="default" w:ascii="仿宋_GB2312" w:hAnsi="仿宋_GB2312" w:eastAsia="仿宋_GB2312" w:cs="仿宋_GB2312"/>
                <w:bCs/>
                <w:color w:val="auto"/>
                <w:kern w:val="2"/>
                <w:sz w:val="32"/>
                <w:szCs w:val="32"/>
                <w:highlight w:val="none"/>
                <w:lang w:val="en-US" w:eastAsia="zh-CN" w:bidi="ar-SA"/>
              </w:rPr>
            </w:pPr>
            <w:r>
              <w:rPr>
                <w:rFonts w:hint="eastAsia" w:ascii="仿宋_GB2312" w:hAnsi="仿宋_GB2312" w:eastAsia="仿宋_GB2312" w:cs="仿宋_GB2312"/>
                <w:bCs/>
                <w:color w:val="auto"/>
                <w:kern w:val="2"/>
                <w:sz w:val="32"/>
                <w:szCs w:val="32"/>
                <w:highlight w:val="none"/>
                <w:lang w:val="en-US" w:eastAsia="zh-CN" w:bidi="ar-SA"/>
              </w:rPr>
              <w:t>1</w:t>
            </w:r>
          </w:p>
        </w:tc>
        <w:tc>
          <w:tcPr>
            <w:tcW w:w="4307" w:type="dxa"/>
            <w:noWrap w:val="0"/>
            <w:vAlign w:val="center"/>
          </w:tcPr>
          <w:p w14:paraId="161EA807">
            <w:pPr>
              <w:pageBreakBefore w:val="0"/>
              <w:widowControl/>
              <w:kinsoku/>
              <w:wordWrap/>
              <w:overflowPunct/>
              <w:topLinePunct w:val="0"/>
              <w:bidi w:val="0"/>
              <w:snapToGrid w:val="0"/>
              <w:spacing w:line="300" w:lineRule="auto"/>
              <w:ind w:left="0" w:leftChars="0"/>
              <w:jc w:val="both"/>
              <w:rPr>
                <w:rFonts w:hint="eastAsia" w:ascii="仿宋_GB2312" w:hAnsi="仿宋_GB2312" w:eastAsia="仿宋_GB2312" w:cs="仿宋_GB2312"/>
                <w:bCs/>
                <w:color w:val="auto"/>
                <w:kern w:val="2"/>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rPr>
              <w:t>24小时；男性50周岁以下。</w:t>
            </w:r>
          </w:p>
        </w:tc>
      </w:tr>
      <w:tr w14:paraId="3DA49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17" w:type="dxa"/>
            <w:noWrap w:val="0"/>
            <w:vAlign w:val="center"/>
          </w:tcPr>
          <w:p w14:paraId="2108B425">
            <w:pPr>
              <w:pageBreakBefore w:val="0"/>
              <w:widowControl/>
              <w:kinsoku/>
              <w:wordWrap/>
              <w:overflowPunct/>
              <w:topLinePunct w:val="0"/>
              <w:bidi w:val="0"/>
              <w:snapToGrid w:val="0"/>
              <w:spacing w:line="300" w:lineRule="auto"/>
              <w:ind w:left="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保洁服务</w:t>
            </w:r>
          </w:p>
        </w:tc>
        <w:tc>
          <w:tcPr>
            <w:tcW w:w="1513" w:type="dxa"/>
            <w:noWrap w:val="0"/>
            <w:vAlign w:val="center"/>
          </w:tcPr>
          <w:p w14:paraId="42E427A6">
            <w:pPr>
              <w:pageBreakBefore w:val="0"/>
              <w:widowControl/>
              <w:kinsoku/>
              <w:wordWrap/>
              <w:overflowPunct/>
              <w:topLinePunct w:val="0"/>
              <w:bidi w:val="0"/>
              <w:snapToGrid w:val="0"/>
              <w:spacing w:line="300" w:lineRule="auto"/>
              <w:ind w:left="0" w:leftChars="0"/>
              <w:jc w:val="both"/>
              <w:rPr>
                <w:rFonts w:hint="eastAsia" w:ascii="仿宋_GB2312" w:hAnsi="仿宋_GB2312" w:eastAsia="仿宋_GB2312" w:cs="仿宋_GB2312"/>
                <w:bCs/>
                <w:color w:val="auto"/>
                <w:kern w:val="2"/>
                <w:sz w:val="32"/>
                <w:szCs w:val="32"/>
                <w:highlight w:val="none"/>
                <w:lang w:val="en-US" w:eastAsia="zh-CN" w:bidi="ar-SA"/>
              </w:rPr>
            </w:pPr>
            <w:r>
              <w:rPr>
                <w:rFonts w:hint="eastAsia" w:ascii="仿宋_GB2312" w:hAnsi="仿宋_GB2312" w:eastAsia="仿宋_GB2312" w:cs="仿宋_GB2312"/>
                <w:bCs/>
                <w:color w:val="auto"/>
                <w:sz w:val="32"/>
                <w:szCs w:val="32"/>
                <w:highlight w:val="none"/>
              </w:rPr>
              <w:t>保洁员</w:t>
            </w:r>
          </w:p>
        </w:tc>
        <w:tc>
          <w:tcPr>
            <w:tcW w:w="1057" w:type="dxa"/>
            <w:noWrap w:val="0"/>
            <w:vAlign w:val="center"/>
          </w:tcPr>
          <w:p w14:paraId="66E9FF33">
            <w:pPr>
              <w:pageBreakBefore w:val="0"/>
              <w:widowControl/>
              <w:kinsoku/>
              <w:wordWrap/>
              <w:overflowPunct/>
              <w:topLinePunct w:val="0"/>
              <w:bidi w:val="0"/>
              <w:snapToGrid w:val="0"/>
              <w:spacing w:line="300" w:lineRule="auto"/>
              <w:ind w:left="0" w:leftChars="0"/>
              <w:jc w:val="center"/>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8</w:t>
            </w:r>
          </w:p>
        </w:tc>
        <w:tc>
          <w:tcPr>
            <w:tcW w:w="1115" w:type="dxa"/>
            <w:noWrap w:val="0"/>
            <w:vAlign w:val="center"/>
          </w:tcPr>
          <w:p w14:paraId="6B197E0F">
            <w:pPr>
              <w:pageBreakBefore w:val="0"/>
              <w:widowControl/>
              <w:kinsoku/>
              <w:wordWrap/>
              <w:overflowPunct/>
              <w:topLinePunct w:val="0"/>
              <w:bidi w:val="0"/>
              <w:snapToGrid w:val="0"/>
              <w:spacing w:line="300" w:lineRule="auto"/>
              <w:ind w:left="0" w:leftChars="0"/>
              <w:jc w:val="center"/>
              <w:rPr>
                <w:rFonts w:hint="default"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2</w:t>
            </w:r>
          </w:p>
        </w:tc>
        <w:tc>
          <w:tcPr>
            <w:tcW w:w="4307" w:type="dxa"/>
            <w:noWrap w:val="0"/>
            <w:vAlign w:val="center"/>
          </w:tcPr>
          <w:p w14:paraId="42DB7BDD">
            <w:pPr>
              <w:pageBreakBefore w:val="0"/>
              <w:widowControl/>
              <w:kinsoku/>
              <w:wordWrap/>
              <w:overflowPunct/>
              <w:topLinePunct w:val="0"/>
              <w:bidi w:val="0"/>
              <w:snapToGrid w:val="0"/>
              <w:spacing w:line="300" w:lineRule="auto"/>
              <w:ind w:left="0" w:leftChars="0"/>
              <w:jc w:val="both"/>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rPr>
              <w:t>24小时；</w:t>
            </w:r>
            <w:r>
              <w:rPr>
                <w:rFonts w:hint="eastAsia" w:ascii="仿宋_GB2312" w:hAnsi="仿宋_GB2312" w:eastAsia="仿宋_GB2312" w:cs="仿宋_GB2312"/>
                <w:b w:val="0"/>
                <w:bCs/>
                <w:color w:val="auto"/>
                <w:kern w:val="2"/>
                <w:sz w:val="32"/>
                <w:szCs w:val="32"/>
                <w:highlight w:val="none"/>
                <w:lang w:val="en-US" w:eastAsia="zh-CN" w:bidi="ar-SA"/>
              </w:rPr>
              <w:t>男性60周岁以下或女性50周岁以下。</w:t>
            </w:r>
          </w:p>
          <w:p w14:paraId="555BA034">
            <w:pPr>
              <w:pageBreakBefore w:val="0"/>
              <w:widowControl/>
              <w:kinsoku/>
              <w:wordWrap/>
              <w:overflowPunct/>
              <w:topLinePunct w:val="0"/>
              <w:bidi w:val="0"/>
              <w:snapToGrid w:val="0"/>
              <w:spacing w:line="300" w:lineRule="auto"/>
              <w:ind w:left="0" w:leftChars="0"/>
              <w:jc w:val="both"/>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主要保障24小时值班或会议办公区域；提供保洁用具，负责办公区域、公共走廊、卫生间、楼梯间、园区道路、地下车库等全域日常清洁、垃圾清运、环境消杀，保持场所整洁卫生。</w:t>
            </w:r>
          </w:p>
        </w:tc>
      </w:tr>
      <w:tr w14:paraId="3DA23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17" w:type="dxa"/>
            <w:noWrap w:val="0"/>
            <w:vAlign w:val="center"/>
          </w:tcPr>
          <w:p w14:paraId="03F56CBF">
            <w:pPr>
              <w:pageBreakBefore w:val="0"/>
              <w:widowControl/>
              <w:kinsoku/>
              <w:wordWrap/>
              <w:overflowPunct/>
              <w:topLinePunct w:val="0"/>
              <w:bidi w:val="0"/>
              <w:snapToGrid w:val="0"/>
              <w:spacing w:line="300" w:lineRule="auto"/>
              <w:ind w:left="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lang w:val="en-US" w:eastAsia="zh-CN"/>
              </w:rPr>
              <w:t>绿化服务</w:t>
            </w:r>
          </w:p>
        </w:tc>
        <w:tc>
          <w:tcPr>
            <w:tcW w:w="1513" w:type="dxa"/>
            <w:noWrap w:val="0"/>
            <w:vAlign w:val="center"/>
          </w:tcPr>
          <w:p w14:paraId="6631C3F6">
            <w:pPr>
              <w:pageBreakBefore w:val="0"/>
              <w:widowControl/>
              <w:kinsoku/>
              <w:wordWrap/>
              <w:overflowPunct/>
              <w:topLinePunct w:val="0"/>
              <w:bidi w:val="0"/>
              <w:snapToGrid w:val="0"/>
              <w:spacing w:line="300" w:lineRule="auto"/>
              <w:ind w:left="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绿化工</w:t>
            </w:r>
          </w:p>
        </w:tc>
        <w:tc>
          <w:tcPr>
            <w:tcW w:w="1057" w:type="dxa"/>
            <w:noWrap w:val="0"/>
            <w:vAlign w:val="center"/>
          </w:tcPr>
          <w:p w14:paraId="24BC529A">
            <w:pPr>
              <w:pStyle w:val="3"/>
              <w:ind w:left="0" w:leftChars="0" w:firstLine="320" w:firstLineChars="100"/>
              <w:rPr>
                <w:rFonts w:hint="default"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1</w:t>
            </w:r>
          </w:p>
        </w:tc>
        <w:tc>
          <w:tcPr>
            <w:tcW w:w="1115" w:type="dxa"/>
            <w:noWrap w:val="0"/>
            <w:vAlign w:val="center"/>
          </w:tcPr>
          <w:p w14:paraId="7882175D">
            <w:pPr>
              <w:pStyle w:val="3"/>
              <w:rPr>
                <w:rFonts w:hint="default" w:ascii="仿宋_GB2312" w:hAnsi="仿宋_GB2312" w:eastAsia="仿宋_GB2312" w:cs="仿宋_GB2312"/>
                <w:b w:val="0"/>
                <w:bCs/>
                <w:color w:val="auto"/>
                <w:kern w:val="2"/>
                <w:sz w:val="32"/>
                <w:szCs w:val="32"/>
                <w:highlight w:val="none"/>
                <w:lang w:val="en-US" w:eastAsia="zh-CN" w:bidi="ar-SA"/>
              </w:rPr>
            </w:pPr>
            <w:r>
              <w:rPr>
                <w:rFonts w:hint="eastAsia" w:hAnsi="仿宋_GB2312" w:cs="仿宋_GB2312"/>
                <w:b w:val="0"/>
                <w:bCs/>
                <w:color w:val="auto"/>
                <w:kern w:val="2"/>
                <w:sz w:val="32"/>
                <w:szCs w:val="32"/>
                <w:highlight w:val="none"/>
                <w:lang w:val="en-US" w:eastAsia="zh-CN" w:bidi="ar-SA"/>
              </w:rPr>
              <w:t>0</w:t>
            </w:r>
          </w:p>
        </w:tc>
        <w:tc>
          <w:tcPr>
            <w:tcW w:w="4307" w:type="dxa"/>
            <w:noWrap w:val="0"/>
            <w:vAlign w:val="center"/>
          </w:tcPr>
          <w:p w14:paraId="6739FF28">
            <w:pPr>
              <w:pStyle w:val="3"/>
              <w:ind w:left="0" w:leftChars="0" w:firstLine="0" w:firstLineChars="0"/>
              <w:rPr>
                <w:rFonts w:hint="eastAsia" w:ascii="仿宋_GB2312" w:hAnsi="仿宋_GB2312" w:eastAsia="仿宋_GB2312" w:cs="仿宋_GB2312"/>
                <w:b w:val="0"/>
                <w:bCs/>
                <w:color w:val="auto"/>
                <w:kern w:val="2"/>
                <w:sz w:val="32"/>
                <w:szCs w:val="32"/>
                <w:highlight w:val="none"/>
                <w:lang w:val="en-US" w:eastAsia="zh-CN" w:bidi="ar-SA"/>
              </w:rPr>
            </w:pPr>
            <w:r>
              <w:rPr>
                <w:rFonts w:hint="eastAsia" w:hAnsi="仿宋_GB2312" w:cs="仿宋_GB2312"/>
                <w:b w:val="0"/>
                <w:bCs/>
                <w:color w:val="auto"/>
                <w:kern w:val="2"/>
                <w:sz w:val="32"/>
                <w:szCs w:val="32"/>
                <w:highlight w:val="none"/>
                <w:lang w:val="en-US" w:eastAsia="zh-CN" w:bidi="ar-SA"/>
              </w:rPr>
              <w:t>8小时工作制；</w:t>
            </w:r>
            <w:r>
              <w:rPr>
                <w:rFonts w:hint="eastAsia" w:ascii="仿宋_GB2312" w:hAnsi="仿宋_GB2312" w:eastAsia="仿宋_GB2312" w:cs="仿宋_GB2312"/>
                <w:b w:val="0"/>
                <w:bCs/>
                <w:color w:val="auto"/>
                <w:kern w:val="2"/>
                <w:sz w:val="32"/>
                <w:szCs w:val="32"/>
                <w:highlight w:val="none"/>
                <w:lang w:val="en-US" w:eastAsia="zh-CN" w:bidi="ar-SA"/>
              </w:rPr>
              <w:t>男性、55周岁以内，熟练掌握绿植修剪、浇灌、施肥、病虫害防治等技能，负责院区绿植、草坪、花木日常养护，维护绿化景观效果。</w:t>
            </w:r>
          </w:p>
        </w:tc>
      </w:tr>
      <w:tr w14:paraId="370E1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17" w:type="dxa"/>
            <w:vMerge w:val="restart"/>
            <w:noWrap w:val="0"/>
            <w:vAlign w:val="center"/>
          </w:tcPr>
          <w:p w14:paraId="0FADB023">
            <w:pPr>
              <w:pageBreakBefore w:val="0"/>
              <w:widowControl/>
              <w:kinsoku/>
              <w:wordWrap/>
              <w:overflowPunct/>
              <w:topLinePunct w:val="0"/>
              <w:bidi w:val="0"/>
              <w:snapToGrid w:val="0"/>
              <w:spacing w:line="300" w:lineRule="auto"/>
              <w:ind w:left="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保安服务</w:t>
            </w:r>
          </w:p>
        </w:tc>
        <w:tc>
          <w:tcPr>
            <w:tcW w:w="1513" w:type="dxa"/>
            <w:noWrap w:val="0"/>
            <w:vAlign w:val="center"/>
          </w:tcPr>
          <w:p w14:paraId="12FF1CDE">
            <w:pPr>
              <w:pageBreakBefore w:val="0"/>
              <w:widowControl/>
              <w:kinsoku/>
              <w:wordWrap/>
              <w:overflowPunct/>
              <w:topLinePunct w:val="0"/>
              <w:bidi w:val="0"/>
              <w:snapToGrid w:val="0"/>
              <w:spacing w:line="300" w:lineRule="auto"/>
              <w:ind w:left="0" w:leftChars="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门岗</w:t>
            </w:r>
          </w:p>
          <w:p w14:paraId="2A890ACC">
            <w:pPr>
              <w:pageBreakBefore w:val="0"/>
              <w:widowControl/>
              <w:kinsoku/>
              <w:wordWrap/>
              <w:overflowPunct/>
              <w:topLinePunct w:val="0"/>
              <w:bidi w:val="0"/>
              <w:snapToGrid w:val="0"/>
              <w:spacing w:line="300" w:lineRule="auto"/>
              <w:ind w:left="0" w:leftChars="0"/>
              <w:jc w:val="both"/>
              <w:rPr>
                <w:rFonts w:hint="eastAsia" w:eastAsia="仿宋_GB2312"/>
                <w:lang w:val="en-US" w:eastAsia="zh-CN"/>
              </w:rPr>
            </w:pPr>
            <w:r>
              <w:rPr>
                <w:rFonts w:hint="eastAsia" w:ascii="仿宋_GB2312" w:hAnsi="仿宋_GB2312" w:eastAsia="仿宋_GB2312" w:cs="仿宋_GB2312"/>
                <w:bCs/>
                <w:color w:val="auto"/>
                <w:sz w:val="32"/>
                <w:szCs w:val="32"/>
                <w:highlight w:val="none"/>
                <w:lang w:eastAsia="zh-CN"/>
              </w:rPr>
              <w:t>秩序员</w:t>
            </w:r>
          </w:p>
        </w:tc>
        <w:tc>
          <w:tcPr>
            <w:tcW w:w="1057" w:type="dxa"/>
            <w:noWrap w:val="0"/>
            <w:vAlign w:val="center"/>
          </w:tcPr>
          <w:p w14:paraId="667C22BC">
            <w:pPr>
              <w:pStyle w:val="3"/>
              <w:ind w:left="0" w:leftChars="0" w:firstLine="0" w:firstLineChars="0"/>
              <w:jc w:val="center"/>
              <w:rPr>
                <w:rFonts w:hint="default" w:ascii="仿宋_GB2312" w:hAnsi="仿宋_GB2312" w:eastAsia="仿宋_GB2312" w:cs="仿宋_GB2312"/>
                <w:b w:val="0"/>
                <w:bCs/>
                <w:color w:val="auto"/>
                <w:kern w:val="2"/>
                <w:sz w:val="32"/>
                <w:szCs w:val="32"/>
                <w:highlight w:val="none"/>
                <w:lang w:val="en-US" w:eastAsia="zh-CN" w:bidi="ar-SA"/>
              </w:rPr>
            </w:pPr>
            <w:r>
              <w:rPr>
                <w:rFonts w:hint="eastAsia" w:hAnsi="仿宋_GB2312" w:cs="仿宋_GB2312"/>
                <w:b w:val="0"/>
                <w:bCs/>
                <w:color w:val="auto"/>
                <w:kern w:val="2"/>
                <w:sz w:val="32"/>
                <w:szCs w:val="32"/>
                <w:highlight w:val="none"/>
                <w:lang w:val="en-US" w:eastAsia="zh-CN" w:bidi="ar-SA"/>
              </w:rPr>
              <w:t>4</w:t>
            </w:r>
          </w:p>
        </w:tc>
        <w:tc>
          <w:tcPr>
            <w:tcW w:w="1115" w:type="dxa"/>
            <w:noWrap w:val="0"/>
            <w:vAlign w:val="center"/>
          </w:tcPr>
          <w:p w14:paraId="4A519401">
            <w:pPr>
              <w:pStyle w:val="3"/>
              <w:ind w:left="0" w:leftChars="0" w:firstLine="0" w:firstLineChars="0"/>
              <w:jc w:val="center"/>
              <w:rPr>
                <w:rFonts w:hint="default" w:ascii="仿宋_GB2312" w:hAnsi="仿宋_GB2312" w:eastAsia="仿宋_GB2312" w:cs="仿宋_GB2312"/>
                <w:b w:val="0"/>
                <w:bCs/>
                <w:color w:val="auto"/>
                <w:kern w:val="2"/>
                <w:sz w:val="32"/>
                <w:szCs w:val="32"/>
                <w:highlight w:val="none"/>
                <w:lang w:val="en-US" w:eastAsia="zh-CN" w:bidi="ar-SA"/>
              </w:rPr>
            </w:pPr>
            <w:r>
              <w:rPr>
                <w:rFonts w:hint="eastAsia" w:hAnsi="仿宋_GB2312" w:cs="仿宋_GB2312"/>
                <w:b w:val="0"/>
                <w:bCs/>
                <w:color w:val="auto"/>
                <w:kern w:val="2"/>
                <w:sz w:val="32"/>
                <w:szCs w:val="32"/>
                <w:highlight w:val="none"/>
                <w:lang w:val="en-US" w:eastAsia="zh-CN" w:bidi="ar-SA"/>
              </w:rPr>
              <w:t>2</w:t>
            </w:r>
          </w:p>
        </w:tc>
        <w:tc>
          <w:tcPr>
            <w:tcW w:w="4307" w:type="dxa"/>
            <w:noWrap w:val="0"/>
            <w:vAlign w:val="center"/>
          </w:tcPr>
          <w:p w14:paraId="4FF811B5">
            <w:pPr>
              <w:pStyle w:val="3"/>
              <w:ind w:left="0" w:leftChars="0" w:firstLine="0" w:firstLineChars="0"/>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24小时；男性45周岁以内，身高170cm 以上，形象岗175cm以上，实行24小时工作制，负责院区门禁管理、人员车辆疏导、治安巡查、秩序维护、突发情况处置，保障办公区域安全有序。</w:t>
            </w:r>
          </w:p>
        </w:tc>
      </w:tr>
      <w:tr w14:paraId="532FB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17" w:type="dxa"/>
            <w:vMerge w:val="continue"/>
            <w:noWrap w:val="0"/>
            <w:vAlign w:val="center"/>
          </w:tcPr>
          <w:p w14:paraId="7D2A6E28">
            <w:pPr>
              <w:pageBreakBefore w:val="0"/>
              <w:widowControl/>
              <w:kinsoku/>
              <w:wordWrap/>
              <w:overflowPunct/>
              <w:topLinePunct w:val="0"/>
              <w:bidi w:val="0"/>
              <w:snapToGrid w:val="0"/>
              <w:spacing w:line="300" w:lineRule="auto"/>
              <w:ind w:left="0"/>
              <w:jc w:val="both"/>
              <w:rPr>
                <w:rFonts w:hint="eastAsia" w:ascii="仿宋_GB2312" w:hAnsi="仿宋_GB2312" w:eastAsia="仿宋_GB2312" w:cs="仿宋_GB2312"/>
                <w:bCs/>
                <w:color w:val="auto"/>
                <w:sz w:val="32"/>
                <w:szCs w:val="32"/>
                <w:highlight w:val="none"/>
              </w:rPr>
            </w:pPr>
          </w:p>
        </w:tc>
        <w:tc>
          <w:tcPr>
            <w:tcW w:w="1513" w:type="dxa"/>
            <w:noWrap w:val="0"/>
            <w:vAlign w:val="center"/>
          </w:tcPr>
          <w:p w14:paraId="70BF256F">
            <w:pPr>
              <w:pageBreakBefore w:val="0"/>
              <w:widowControl/>
              <w:kinsoku/>
              <w:wordWrap/>
              <w:overflowPunct/>
              <w:topLinePunct w:val="0"/>
              <w:bidi w:val="0"/>
              <w:snapToGrid w:val="0"/>
              <w:spacing w:line="300" w:lineRule="auto"/>
              <w:ind w:left="0" w:leftChars="0"/>
              <w:jc w:val="both"/>
              <w:rPr>
                <w:rFonts w:hint="eastAsia" w:ascii="仿宋_GB2312" w:hAnsi="仿宋_GB2312" w:eastAsia="仿宋_GB2312" w:cs="仿宋_GB2312"/>
                <w:bCs/>
                <w:color w:val="auto"/>
                <w:kern w:val="2"/>
                <w:sz w:val="32"/>
                <w:szCs w:val="32"/>
                <w:highlight w:val="none"/>
                <w:lang w:val="en-US" w:eastAsia="zh-CN" w:bidi="ar-SA"/>
              </w:rPr>
            </w:pPr>
            <w:r>
              <w:rPr>
                <w:rFonts w:hint="eastAsia" w:ascii="仿宋_GB2312" w:hAnsi="仿宋_GB2312" w:eastAsia="仿宋_GB2312" w:cs="仿宋_GB2312"/>
                <w:bCs/>
                <w:color w:val="auto"/>
                <w:sz w:val="32"/>
                <w:szCs w:val="32"/>
                <w:highlight w:val="none"/>
              </w:rPr>
              <w:t>消控岗</w:t>
            </w:r>
          </w:p>
        </w:tc>
        <w:tc>
          <w:tcPr>
            <w:tcW w:w="1057" w:type="dxa"/>
            <w:noWrap w:val="0"/>
            <w:vAlign w:val="center"/>
          </w:tcPr>
          <w:p w14:paraId="1862F7C7">
            <w:pPr>
              <w:pageBreakBefore w:val="0"/>
              <w:widowControl/>
              <w:kinsoku/>
              <w:wordWrap/>
              <w:overflowPunct/>
              <w:topLinePunct w:val="0"/>
              <w:bidi w:val="0"/>
              <w:snapToGrid w:val="0"/>
              <w:spacing w:line="300" w:lineRule="auto"/>
              <w:ind w:left="0" w:leftChars="0"/>
              <w:jc w:val="center"/>
              <w:rPr>
                <w:rFonts w:hint="eastAsia" w:ascii="仿宋_GB2312" w:hAnsi="仿宋_GB2312" w:eastAsia="仿宋_GB2312" w:cs="仿宋_GB2312"/>
                <w:bCs/>
                <w:color w:val="auto"/>
                <w:kern w:val="2"/>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rPr>
              <w:t>1</w:t>
            </w:r>
          </w:p>
        </w:tc>
        <w:tc>
          <w:tcPr>
            <w:tcW w:w="1115" w:type="dxa"/>
            <w:noWrap w:val="0"/>
            <w:vAlign w:val="center"/>
          </w:tcPr>
          <w:p w14:paraId="79CC84C1">
            <w:pPr>
              <w:pageBreakBefore w:val="0"/>
              <w:widowControl/>
              <w:kinsoku/>
              <w:wordWrap/>
              <w:overflowPunct/>
              <w:topLinePunct w:val="0"/>
              <w:bidi w:val="0"/>
              <w:snapToGrid w:val="0"/>
              <w:spacing w:line="300" w:lineRule="auto"/>
              <w:ind w:left="0" w:leftChars="0"/>
              <w:jc w:val="center"/>
              <w:rPr>
                <w:rFonts w:hint="eastAsia" w:ascii="仿宋_GB2312" w:hAnsi="仿宋_GB2312" w:eastAsia="仿宋_GB2312" w:cs="仿宋_GB2312"/>
                <w:bCs/>
                <w:color w:val="auto"/>
                <w:kern w:val="2"/>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rPr>
              <w:t>3</w:t>
            </w:r>
          </w:p>
        </w:tc>
        <w:tc>
          <w:tcPr>
            <w:tcW w:w="4307" w:type="dxa"/>
            <w:noWrap w:val="0"/>
            <w:vAlign w:val="center"/>
          </w:tcPr>
          <w:p w14:paraId="52A6C092">
            <w:pPr>
              <w:pageBreakBefore w:val="0"/>
              <w:widowControl/>
              <w:kinsoku/>
              <w:wordWrap/>
              <w:overflowPunct/>
              <w:topLinePunct w:val="0"/>
              <w:bidi w:val="0"/>
              <w:snapToGrid w:val="0"/>
              <w:spacing w:line="300" w:lineRule="auto"/>
              <w:ind w:left="0" w:left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24小时；男性60周岁以下或女性50周岁以下，持有消防设施操作证。</w:t>
            </w:r>
          </w:p>
          <w:p w14:paraId="656036F7">
            <w:pPr>
              <w:pageBreakBefore w:val="0"/>
              <w:widowControl/>
              <w:kinsoku/>
              <w:wordWrap/>
              <w:overflowPunct/>
              <w:topLinePunct w:val="0"/>
              <w:bidi w:val="0"/>
              <w:snapToGrid w:val="0"/>
              <w:spacing w:line="300" w:lineRule="auto"/>
              <w:ind w:left="0" w:left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45周岁以内，持有效消防设施操作员证上岗，实行24小时双岗值守，负责消防控制室设备监控、消防设施巡检、火警应急处置、消防台账记录。</w:t>
            </w:r>
          </w:p>
        </w:tc>
      </w:tr>
      <w:tr w14:paraId="6A695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17" w:type="dxa"/>
            <w:noWrap w:val="0"/>
            <w:vAlign w:val="center"/>
          </w:tcPr>
          <w:p w14:paraId="0925107A">
            <w:pPr>
              <w:pageBreakBefore w:val="0"/>
              <w:widowControl/>
              <w:kinsoku/>
              <w:wordWrap/>
              <w:overflowPunct/>
              <w:topLinePunct w:val="0"/>
              <w:bidi w:val="0"/>
              <w:snapToGrid w:val="0"/>
              <w:spacing w:line="300" w:lineRule="auto"/>
              <w:ind w:left="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会议服务</w:t>
            </w:r>
          </w:p>
        </w:tc>
        <w:tc>
          <w:tcPr>
            <w:tcW w:w="1513" w:type="dxa"/>
            <w:noWrap w:val="0"/>
            <w:vAlign w:val="center"/>
          </w:tcPr>
          <w:p w14:paraId="54E0ED76">
            <w:pPr>
              <w:pageBreakBefore w:val="0"/>
              <w:widowControl/>
              <w:kinsoku/>
              <w:wordWrap/>
              <w:overflowPunct/>
              <w:topLinePunct w:val="0"/>
              <w:bidi w:val="0"/>
              <w:snapToGrid w:val="0"/>
              <w:spacing w:line="300" w:lineRule="auto"/>
              <w:ind w:left="0" w:leftChars="0"/>
              <w:jc w:val="both"/>
              <w:rPr>
                <w:rFonts w:hint="eastAsia" w:ascii="仿宋_GB2312" w:hAnsi="仿宋_GB2312" w:eastAsia="仿宋_GB2312" w:cs="仿宋_GB2312"/>
                <w:bCs/>
                <w:color w:val="auto"/>
                <w:kern w:val="2"/>
                <w:sz w:val="32"/>
                <w:szCs w:val="32"/>
                <w:highlight w:val="none"/>
                <w:lang w:val="en-US" w:eastAsia="zh-CN" w:bidi="ar-SA"/>
              </w:rPr>
            </w:pPr>
            <w:r>
              <w:rPr>
                <w:rFonts w:hint="eastAsia" w:ascii="仿宋_GB2312" w:hAnsi="仿宋_GB2312" w:eastAsia="仿宋_GB2312" w:cs="仿宋_GB2312"/>
                <w:bCs/>
                <w:color w:val="auto"/>
                <w:sz w:val="32"/>
                <w:szCs w:val="32"/>
                <w:highlight w:val="none"/>
              </w:rPr>
              <w:t>会务</w:t>
            </w:r>
          </w:p>
        </w:tc>
        <w:tc>
          <w:tcPr>
            <w:tcW w:w="1057" w:type="dxa"/>
            <w:noWrap w:val="0"/>
            <w:vAlign w:val="center"/>
          </w:tcPr>
          <w:p w14:paraId="0E449123">
            <w:pPr>
              <w:pageBreakBefore w:val="0"/>
              <w:widowControl/>
              <w:kinsoku/>
              <w:wordWrap/>
              <w:overflowPunct/>
              <w:topLinePunct w:val="0"/>
              <w:bidi w:val="0"/>
              <w:snapToGrid w:val="0"/>
              <w:spacing w:line="300" w:lineRule="auto"/>
              <w:ind w:left="0" w:leftChars="0"/>
              <w:jc w:val="center"/>
              <w:rPr>
                <w:rFonts w:hint="eastAsia" w:ascii="仿宋_GB2312" w:hAnsi="仿宋_GB2312" w:eastAsia="仿宋_GB2312" w:cs="仿宋_GB2312"/>
                <w:bCs/>
                <w:color w:val="auto"/>
                <w:kern w:val="2"/>
                <w:sz w:val="32"/>
                <w:szCs w:val="32"/>
                <w:highlight w:val="none"/>
                <w:lang w:val="en-US" w:eastAsia="zh-CN" w:bidi="ar-SA"/>
              </w:rPr>
            </w:pPr>
            <w:r>
              <w:rPr>
                <w:rFonts w:hint="eastAsia" w:ascii="仿宋_GB2312" w:hAnsi="仿宋_GB2312" w:eastAsia="仿宋_GB2312" w:cs="仿宋_GB2312"/>
                <w:bCs/>
                <w:color w:val="auto"/>
                <w:kern w:val="2"/>
                <w:sz w:val="32"/>
                <w:szCs w:val="32"/>
                <w:highlight w:val="none"/>
                <w:lang w:val="en-US" w:eastAsia="zh-CN" w:bidi="ar-SA"/>
              </w:rPr>
              <w:t>1</w:t>
            </w:r>
          </w:p>
        </w:tc>
        <w:tc>
          <w:tcPr>
            <w:tcW w:w="1115" w:type="dxa"/>
            <w:noWrap w:val="0"/>
            <w:vAlign w:val="center"/>
          </w:tcPr>
          <w:p w14:paraId="08961568">
            <w:pPr>
              <w:pStyle w:val="3"/>
              <w:rPr>
                <w:rFonts w:hint="default"/>
                <w:color w:val="auto"/>
                <w:highlight w:val="none"/>
                <w:lang w:val="en-US" w:eastAsia="zh-CN"/>
              </w:rPr>
            </w:pPr>
            <w:r>
              <w:rPr>
                <w:rFonts w:hint="eastAsia" w:hAnsi="仿宋_GB2312" w:cs="仿宋_GB2312"/>
                <w:b w:val="0"/>
                <w:bCs/>
                <w:color w:val="auto"/>
                <w:kern w:val="2"/>
                <w:sz w:val="32"/>
                <w:szCs w:val="32"/>
                <w:highlight w:val="none"/>
                <w:lang w:val="en-US" w:eastAsia="zh-CN" w:bidi="ar-SA"/>
              </w:rPr>
              <w:t>2</w:t>
            </w:r>
          </w:p>
        </w:tc>
        <w:tc>
          <w:tcPr>
            <w:tcW w:w="4307" w:type="dxa"/>
            <w:noWrap w:val="0"/>
            <w:vAlign w:val="center"/>
          </w:tcPr>
          <w:p w14:paraId="37C3893A">
            <w:pPr>
              <w:pageBreakBefore w:val="0"/>
              <w:widowControl/>
              <w:kinsoku/>
              <w:wordWrap/>
              <w:overflowPunct/>
              <w:topLinePunct w:val="0"/>
              <w:bidi w:val="0"/>
              <w:snapToGrid w:val="0"/>
              <w:spacing w:line="300" w:lineRule="auto"/>
              <w:ind w:left="0" w:left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女性；35周岁以内，本科及以上学历，负责会议室布置、茶水服务、会中续水、应急保障；会后10分钟清场，核查涉密遗留物品保障会议高效开展。</w:t>
            </w:r>
          </w:p>
          <w:p w14:paraId="3293378D">
            <w:pPr>
              <w:pageBreakBefore w:val="0"/>
              <w:widowControl/>
              <w:kinsoku/>
              <w:wordWrap/>
              <w:overflowPunct/>
              <w:topLinePunct w:val="0"/>
              <w:bidi w:val="0"/>
              <w:snapToGrid w:val="0"/>
              <w:spacing w:line="300" w:lineRule="auto"/>
              <w:ind w:left="0" w:left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（早晚班）</w:t>
            </w:r>
          </w:p>
        </w:tc>
      </w:tr>
      <w:bookmarkEnd w:id="12"/>
      <w:bookmarkEnd w:id="13"/>
      <w:bookmarkEnd w:id="14"/>
    </w:tbl>
    <w:p w14:paraId="62165B87">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highlight w:val="none"/>
          <w:lang w:eastAsia="zh-CN"/>
        </w:rPr>
      </w:pPr>
      <w:bookmarkStart w:id="15" w:name="_Toc20385"/>
      <w:bookmarkStart w:id="16" w:name="_Toc21574"/>
      <w:bookmarkStart w:id="17" w:name="_Toc1962"/>
      <w:r>
        <w:rPr>
          <w:rFonts w:hint="eastAsia" w:ascii="仿宋_GB2312" w:hAnsi="仿宋_GB2312" w:eastAsia="仿宋_GB2312" w:cs="仿宋_GB2312"/>
          <w:b/>
          <w:bCs/>
          <w:color w:val="auto"/>
          <w:sz w:val="32"/>
          <w:szCs w:val="32"/>
          <w:highlight w:val="none"/>
          <w:lang w:val="en-US" w:eastAsia="zh-CN"/>
        </w:rPr>
        <w:t>以上人员需为专职服务人员，不得在其他项目中任职，同时需在供应商本单位缴纳相关保险，并承诺工资水平不低于石家庄市最低标准。</w:t>
      </w:r>
    </w:p>
    <w:p w14:paraId="4986E8B0">
      <w:pPr>
        <w:pStyle w:val="3"/>
        <w:bidi w:val="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6</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商务要求</w:t>
      </w:r>
    </w:p>
    <w:p w14:paraId="0894A9A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询价报价：本项目最高限价为130.91万元，询价报价超过最高限价的为无效询价。询价报价必须包含完成采购项目所需的服务、承诺、义务、人员工资、保险、税金等所有费用，不包含物耗费。</w:t>
      </w:r>
    </w:p>
    <w:bookmarkEnd w:id="15"/>
    <w:bookmarkEnd w:id="16"/>
    <w:bookmarkEnd w:id="17"/>
    <w:p w14:paraId="389AEE39">
      <w:pPr>
        <w:pStyle w:val="19"/>
        <w:keepNext w:val="0"/>
        <w:keepLines w:val="0"/>
        <w:widowControl w:val="0"/>
        <w:suppressLineNumbers w:val="0"/>
        <w:adjustRightInd w:val="0"/>
        <w:snapToGrid w:val="0"/>
        <w:spacing w:before="0" w:beforeAutospacing="0" w:after="0" w:afterAutospacing="0" w:line="560" w:lineRule="exact"/>
        <w:ind w:right="0" w:firstLine="640" w:firstLineChars="200"/>
        <w:jc w:val="both"/>
        <w:outlineLvl w:val="0"/>
        <w:rPr>
          <w:rFonts w:hint="eastAsia" w:ascii="黑体" w:hAnsi="黑体" w:eastAsia="黑体" w:cs="黑体"/>
          <w:b w:val="0"/>
          <w:bCs w:val="0"/>
          <w:kern w:val="2"/>
          <w:sz w:val="32"/>
          <w:szCs w:val="32"/>
        </w:rPr>
      </w:pPr>
      <w:r>
        <w:rPr>
          <w:rFonts w:hint="eastAsia" w:ascii="黑体" w:hAnsi="黑体" w:eastAsia="黑体" w:cs="黑体"/>
          <w:b w:val="0"/>
          <w:bCs w:val="0"/>
          <w:kern w:val="2"/>
          <w:sz w:val="32"/>
          <w:szCs w:val="32"/>
          <w:lang w:val="en-US" w:eastAsia="zh-CN" w:bidi="ar"/>
        </w:rPr>
        <w:t>三、服务质量及考核标准</w:t>
      </w:r>
    </w:p>
    <w:p w14:paraId="13690FD9">
      <w:pPr>
        <w:spacing w:line="560" w:lineRule="exact"/>
        <w:ind w:firstLine="640" w:firstLineChars="200"/>
        <w:jc w:val="left"/>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根据市级党政机关办公用房物业服务管理指导意见等文件要求，制定《物业服务检查考核办法》，加强对物业服务的日常巡查和年度考核，严禁物业服务企业中标后降低服务质量，全面评价物业服务合同履行和节能降耗等情况。</w:t>
      </w:r>
    </w:p>
    <w:p w14:paraId="1364ACE5">
      <w:pPr>
        <w:spacing w:line="560" w:lineRule="exact"/>
        <w:ind w:firstLine="640" w:firstLineChars="200"/>
        <w:jc w:val="left"/>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eastAsia="zh-CN"/>
        </w:rPr>
        <w:t>四、项目绩效</w:t>
      </w:r>
    </w:p>
    <w:p w14:paraId="474F9013">
      <w:pPr>
        <w:spacing w:line="560" w:lineRule="exact"/>
        <w:ind w:firstLine="640" w:firstLineChars="200"/>
        <w:jc w:val="left"/>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b w:val="0"/>
          <w:bCs w:val="0"/>
          <w:color w:val="auto"/>
          <w:sz w:val="32"/>
          <w:szCs w:val="32"/>
          <w:highlight w:val="none"/>
          <w:lang w:val="en-US" w:eastAsia="zh-CN"/>
        </w:rPr>
        <w:t>按照石家庄市机关事务管理局和石家庄市财政局《关于党政机关办公楼（区）物业管理服务内容及费用标准的指导意见（暂行）》及</w:t>
      </w:r>
      <w:r>
        <w:rPr>
          <w:rFonts w:hint="eastAsia" w:ascii="仿宋_GB2312" w:hAnsi="仿宋_GB2312" w:eastAsia="仿宋_GB2312" w:cs="仿宋_GB2312"/>
          <w:color w:val="auto"/>
          <w:sz w:val="32"/>
          <w:szCs w:val="32"/>
          <w:highlight w:val="none"/>
          <w:lang w:eastAsia="zh-CN"/>
        </w:rPr>
        <w:t>石家庄市机关事务管理局《关于加强和规范市级党政机关办公用房物业服务的指导意见》（石事管〔</w:t>
      </w:r>
      <w:r>
        <w:rPr>
          <w:rFonts w:hint="eastAsia" w:ascii="仿宋_GB2312" w:hAnsi="仿宋_GB2312" w:eastAsia="仿宋_GB2312" w:cs="仿宋_GB2312"/>
          <w:color w:val="auto"/>
          <w:sz w:val="32"/>
          <w:szCs w:val="32"/>
          <w:highlight w:val="none"/>
          <w:lang w:val="en-US" w:eastAsia="zh-CN"/>
        </w:rPr>
        <w:t>2021</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3号</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规定，我单位将依法合规选聘规章制度健全、财务状况良好、服务质量优秀、社会口碑良好的企业，为我局提供物业服务及大院运行维护服务。</w:t>
      </w:r>
    </w:p>
    <w:p w14:paraId="66FC3344">
      <w:pPr>
        <w:numPr>
          <w:ilvl w:val="0"/>
          <w:numId w:val="0"/>
        </w:numPr>
        <w:spacing w:line="560" w:lineRule="exact"/>
        <w:ind w:firstLine="640" w:firstLineChars="200"/>
        <w:jc w:val="left"/>
        <w:rPr>
          <w:rFonts w:hint="eastAsia" w:ascii="仿宋_GB2312" w:hAnsi="仿宋_GB2312" w:eastAsia="仿宋_GB2312" w:cs="仿宋_GB2312"/>
          <w:i/>
          <w:iCs/>
          <w:sz w:val="32"/>
          <w:szCs w:val="32"/>
          <w:highlight w:val="none"/>
          <w:u w:val="single"/>
          <w:lang w:eastAsia="zh-CN"/>
        </w:rPr>
      </w:pPr>
      <w:r>
        <w:rPr>
          <w:rFonts w:hint="eastAsia" w:ascii="仿宋_GB2312" w:hAnsi="仿宋_GB2312" w:eastAsia="仿宋_GB2312" w:cs="仿宋_GB2312"/>
          <w:color w:val="auto"/>
          <w:sz w:val="32"/>
          <w:szCs w:val="32"/>
          <w:highlight w:val="none"/>
          <w:lang w:val="en-US" w:eastAsia="zh-CN"/>
        </w:rPr>
        <w:t>购买</w:t>
      </w:r>
      <w:r>
        <w:rPr>
          <w:rFonts w:hint="eastAsia" w:ascii="仿宋_GB2312" w:hAnsi="仿宋_GB2312" w:eastAsia="仿宋_GB2312" w:cs="仿宋_GB2312"/>
          <w:b w:val="0"/>
          <w:bCs w:val="0"/>
          <w:color w:val="auto"/>
          <w:sz w:val="32"/>
          <w:szCs w:val="32"/>
          <w:lang w:val="en-US" w:eastAsia="zh-CN" w:bidi="ar-SA"/>
        </w:rPr>
        <w:t>物业管理服务</w:t>
      </w:r>
      <w:r>
        <w:rPr>
          <w:rFonts w:hint="eastAsia" w:ascii="仿宋_GB2312" w:hAnsi="仿宋_GB2312" w:eastAsia="仿宋_GB2312" w:cs="仿宋_GB2312"/>
          <w:color w:val="auto"/>
          <w:sz w:val="32"/>
          <w:szCs w:val="32"/>
          <w:highlight w:val="none"/>
          <w:lang w:val="en-US" w:eastAsia="zh-CN"/>
        </w:rPr>
        <w:t>能够保障党政机关</w:t>
      </w:r>
      <w:r>
        <w:rPr>
          <w:rFonts w:hint="eastAsia" w:ascii="仿宋_GB2312" w:hAnsi="仿宋_GB2312" w:eastAsia="仿宋_GB2312" w:cs="仿宋_GB2312"/>
          <w:sz w:val="32"/>
          <w:szCs w:val="32"/>
          <w:lang w:val="en-US" w:eastAsia="zh-CN"/>
        </w:rPr>
        <w:t>办公场所正常运行，更好的</w:t>
      </w:r>
      <w:r>
        <w:rPr>
          <w:rFonts w:hint="eastAsia" w:ascii="仿宋_GB2312" w:hAnsi="仿宋_GB2312" w:eastAsia="仿宋_GB2312" w:cs="仿宋_GB2312"/>
          <w:color w:val="auto"/>
          <w:sz w:val="32"/>
          <w:szCs w:val="32"/>
          <w:highlight w:val="none"/>
          <w:lang w:val="en-US" w:eastAsia="zh-CN"/>
        </w:rPr>
        <w:t>履职尽责、高效运转的重要举措，进一步提高物业服务质量和水平，逐步实现物业管理规范化、市场化和专业化。</w:t>
      </w:r>
    </w:p>
    <w:p w14:paraId="16626AA0">
      <w:pPr>
        <w:keepNext w:val="0"/>
        <w:keepLines w:val="0"/>
        <w:widowControl w:val="0"/>
        <w:suppressLineNumbers w:val="0"/>
        <w:adjustRightInd w:val="0"/>
        <w:snapToGrid w:val="0"/>
        <w:spacing w:before="0" w:beforeAutospacing="0" w:after="0" w:afterAutospacing="0" w:line="560" w:lineRule="exact"/>
        <w:ind w:right="0" w:firstLine="640" w:firstLineChars="200"/>
        <w:jc w:val="both"/>
        <w:rPr>
          <w:rFonts w:hint="eastAsia" w:ascii="黑体" w:hAnsi="黑体" w:eastAsia="黑体" w:cs="黑体"/>
          <w:b w:val="0"/>
          <w:bCs w:val="0"/>
          <w:kern w:val="2"/>
          <w:sz w:val="32"/>
          <w:szCs w:val="32"/>
        </w:rPr>
      </w:pPr>
      <w:r>
        <w:rPr>
          <w:rFonts w:hint="eastAsia" w:ascii="黑体" w:hAnsi="黑体" w:eastAsia="黑体" w:cs="黑体"/>
          <w:b w:val="0"/>
          <w:bCs w:val="0"/>
          <w:kern w:val="2"/>
          <w:sz w:val="32"/>
          <w:szCs w:val="32"/>
          <w:lang w:val="en-US" w:eastAsia="zh-CN" w:bidi="ar"/>
        </w:rPr>
        <w:t>五、项目验收方案及要求</w:t>
      </w:r>
    </w:p>
    <w:p w14:paraId="35B5D29B">
      <w:pPr>
        <w:ind w:firstLine="640" w:firstLineChars="200"/>
        <w:jc w:val="lef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中标方提供的服务应符合招标文件、投标文件及合同约定的相关要求。服务期满并达到履约要求后，采购方向局采购办报《履约验收申请表》，并组织局采购领导小组成员单位和相关专家对本项目进行验收。</w:t>
      </w:r>
    </w:p>
    <w:p w14:paraId="11E31491">
      <w:pPr>
        <w:pStyle w:val="21"/>
        <w:numPr>
          <w:ilvl w:val="0"/>
          <w:numId w:val="2"/>
        </w:numPr>
        <w:ind w:left="0" w:leftChars="0" w:firstLine="640" w:firstLineChars="200"/>
        <w:jc w:val="both"/>
        <w:rPr>
          <w:rFonts w:hint="eastAsia" w:ascii="黑体" w:hAnsi="黑体" w:eastAsia="黑体" w:cs="黑体"/>
          <w:b w:val="0"/>
          <w:bCs/>
          <w:kern w:val="2"/>
          <w:sz w:val="32"/>
          <w:szCs w:val="32"/>
          <w:lang w:val="en-US" w:eastAsia="zh-CN" w:bidi="ar"/>
        </w:rPr>
      </w:pPr>
      <w:r>
        <w:rPr>
          <w:rFonts w:hint="eastAsia" w:ascii="黑体" w:hAnsi="黑体" w:eastAsia="黑体" w:cs="黑体"/>
          <w:b w:val="0"/>
          <w:bCs/>
          <w:kern w:val="2"/>
          <w:sz w:val="32"/>
          <w:szCs w:val="32"/>
          <w:lang w:val="en-US" w:eastAsia="zh-CN" w:bidi="ar"/>
        </w:rPr>
        <w:t>时间安排</w:t>
      </w:r>
    </w:p>
    <w:p w14:paraId="21EAB2BA">
      <w:pPr>
        <w:ind w:firstLine="640" w:firstLineChars="200"/>
        <w:jc w:val="lef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物业管理费项目服务期限为：壹年。</w:t>
      </w:r>
    </w:p>
    <w:p w14:paraId="6E66EFC1">
      <w:pPr>
        <w:keepNext w:val="0"/>
        <w:keepLines w:val="0"/>
        <w:widowControl w:val="0"/>
        <w:suppressLineNumbers w:val="0"/>
        <w:autoSpaceDE w:val="0"/>
        <w:autoSpaceDN/>
        <w:adjustRightInd w:val="0"/>
        <w:snapToGrid w:val="0"/>
        <w:spacing w:before="0" w:beforeAutospacing="0" w:after="0" w:afterAutospacing="0" w:line="560" w:lineRule="exact"/>
        <w:ind w:left="0" w:leftChars="0" w:right="0" w:firstLine="640" w:firstLineChars="200"/>
        <w:jc w:val="both"/>
        <w:rPr>
          <w:rFonts w:hint="eastAsia" w:ascii="黑体" w:hAnsi="黑体" w:eastAsia="黑体" w:cs="黑体"/>
          <w:b w:val="0"/>
          <w:bCs w:val="0"/>
          <w:kern w:val="2"/>
          <w:sz w:val="32"/>
          <w:szCs w:val="32"/>
        </w:rPr>
      </w:pPr>
      <w:r>
        <w:rPr>
          <w:rFonts w:hint="eastAsia" w:ascii="黑体" w:hAnsi="黑体" w:eastAsia="黑体" w:cs="黑体"/>
          <w:b w:val="0"/>
          <w:bCs w:val="0"/>
          <w:kern w:val="2"/>
          <w:sz w:val="32"/>
          <w:szCs w:val="32"/>
          <w:lang w:val="en-US" w:eastAsia="zh-CN" w:bidi="ar"/>
        </w:rPr>
        <w:t>七、经费预算</w:t>
      </w:r>
    </w:p>
    <w:p w14:paraId="7813738B">
      <w:pPr>
        <w:pStyle w:val="9"/>
        <w:keepNext w:val="0"/>
        <w:keepLines w:val="0"/>
        <w:pageBreakBefore w:val="0"/>
        <w:kinsoku/>
        <w:wordWrap/>
        <w:overflowPunct/>
        <w:topLinePunct w:val="0"/>
        <w:autoSpaceDE/>
        <w:autoSpaceDN/>
        <w:bidi w:val="0"/>
        <w:adjustRightInd w:val="0"/>
        <w:spacing w:line="560" w:lineRule="exact"/>
        <w:ind w:right="0" w:rightChars="0" w:firstLine="640"/>
        <w:jc w:val="left"/>
        <w:textAlignment w:val="auto"/>
        <w:rPr>
          <w:rFonts w:hint="default" w:ascii="仿宋_GB2312" w:hAnsi="仿宋_GB2312" w:eastAsia="仿宋_GB2312" w:cs="仿宋_GB2312"/>
          <w:b w:val="0"/>
          <w:kern w:val="2"/>
          <w:sz w:val="32"/>
          <w:szCs w:val="32"/>
          <w:highlight w:val="none"/>
          <w:lang w:val="en-US" w:eastAsia="zh-CN" w:bidi="ar-SA"/>
        </w:rPr>
      </w:pPr>
      <w:r>
        <w:rPr>
          <w:rFonts w:hint="eastAsia" w:ascii="仿宋_GB2312" w:hAnsi="仿宋_GB2312" w:eastAsia="仿宋_GB2312" w:cs="仿宋_GB2312"/>
          <w:sz w:val="32"/>
          <w:szCs w:val="32"/>
          <w:lang w:eastAsia="zh-CN"/>
        </w:rPr>
        <w:t>采购项目预（概）算：</w:t>
      </w:r>
      <w:r>
        <w:rPr>
          <w:rFonts w:hint="eastAsia" w:ascii="仿宋_GB2312" w:hAnsi="仿宋_GB2312" w:eastAsia="仿宋_GB2312" w:cs="仿宋_GB2312"/>
          <w:b w:val="0"/>
          <w:kern w:val="2"/>
          <w:sz w:val="32"/>
          <w:szCs w:val="32"/>
          <w:highlight w:val="none"/>
          <w:lang w:val="en-US" w:eastAsia="zh-CN" w:bidi="ar-SA"/>
        </w:rPr>
        <w:t>130.91万元。</w:t>
      </w:r>
    </w:p>
    <w:p w14:paraId="604D8FDA">
      <w:pPr>
        <w:keepNext w:val="0"/>
        <w:keepLines w:val="0"/>
        <w:widowControl w:val="0"/>
        <w:suppressLineNumbers w:val="0"/>
        <w:autoSpaceDE w:val="0"/>
        <w:autoSpaceDN/>
        <w:adjustRightInd w:val="0"/>
        <w:snapToGrid w:val="0"/>
        <w:spacing w:before="0" w:beforeAutospacing="0" w:after="0" w:afterAutospacing="0" w:line="560" w:lineRule="exact"/>
        <w:ind w:left="0" w:leftChars="0" w:right="0" w:firstLine="640" w:firstLineChars="200"/>
        <w:jc w:val="both"/>
        <w:rPr>
          <w:rFonts w:hint="eastAsia" w:ascii="黑体" w:hAnsi="黑体" w:eastAsia="黑体" w:cs="黑体"/>
          <w:b w:val="0"/>
          <w:bCs w:val="0"/>
          <w:kern w:val="2"/>
          <w:sz w:val="32"/>
          <w:szCs w:val="32"/>
          <w:lang w:val="en-US" w:eastAsia="zh-CN" w:bidi="ar"/>
        </w:rPr>
      </w:pPr>
      <w:r>
        <w:rPr>
          <w:rFonts w:hint="eastAsia" w:ascii="黑体" w:hAnsi="黑体" w:eastAsia="黑体" w:cs="黑体"/>
          <w:b w:val="0"/>
          <w:bCs w:val="0"/>
          <w:kern w:val="2"/>
          <w:sz w:val="32"/>
          <w:szCs w:val="32"/>
          <w:lang w:val="en-US" w:eastAsia="zh-CN" w:bidi="ar"/>
        </w:rPr>
        <w:t>八、供应商资格条件</w:t>
      </w:r>
    </w:p>
    <w:p w14:paraId="1BC0351B">
      <w:pPr>
        <w:numPr>
          <w:ilvl w:val="0"/>
          <w:numId w:val="0"/>
        </w:numPr>
        <w:spacing w:line="560" w:lineRule="exact"/>
        <w:ind w:firstLine="640" w:firstLineChars="200"/>
        <w:jc w:val="left"/>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本项目面向中小企业。</w:t>
      </w:r>
    </w:p>
    <w:p w14:paraId="231E8885">
      <w:pPr>
        <w:pStyle w:val="9"/>
        <w:keepNext w:val="0"/>
        <w:keepLines w:val="0"/>
        <w:pageBreakBefore w:val="0"/>
        <w:kinsoku/>
        <w:wordWrap/>
        <w:overflowPunct/>
        <w:topLinePunct w:val="0"/>
        <w:autoSpaceDE/>
        <w:autoSpaceDN/>
        <w:bidi w:val="0"/>
        <w:adjustRightInd w:val="0"/>
        <w:spacing w:line="560" w:lineRule="exact"/>
        <w:ind w:right="0" w:rightChars="0"/>
        <w:jc w:val="left"/>
        <w:textAlignment w:val="auto"/>
        <w:rPr>
          <w:rFonts w:hint="eastAsia" w:ascii="黑体" w:hAnsi="黑体" w:eastAsia="黑体" w:cs="黑体"/>
          <w:b w:val="0"/>
          <w:bCs/>
          <w:sz w:val="32"/>
          <w:szCs w:val="32"/>
        </w:rPr>
      </w:pPr>
    </w:p>
    <w:p w14:paraId="60D8E14D">
      <w:pPr>
        <w:pStyle w:val="9"/>
        <w:keepNext w:val="0"/>
        <w:keepLines w:val="0"/>
        <w:pageBreakBefore w:val="0"/>
        <w:kinsoku/>
        <w:wordWrap/>
        <w:overflowPunct/>
        <w:topLinePunct w:val="0"/>
        <w:autoSpaceDE/>
        <w:autoSpaceDN/>
        <w:bidi w:val="0"/>
        <w:adjustRightInd w:val="0"/>
        <w:spacing w:line="560" w:lineRule="exact"/>
        <w:ind w:right="0" w:rightChars="0"/>
        <w:jc w:val="left"/>
        <w:textAlignment w:val="auto"/>
        <w:rPr>
          <w:rFonts w:hint="eastAsia" w:ascii="黑体" w:hAnsi="黑体" w:eastAsia="黑体" w:cs="黑体"/>
          <w:b w:val="0"/>
          <w:bCs/>
          <w:sz w:val="32"/>
          <w:szCs w:val="32"/>
        </w:rPr>
      </w:pPr>
    </w:p>
    <w:p w14:paraId="2F1B1DE3">
      <w:pPr>
        <w:pStyle w:val="9"/>
        <w:keepNext w:val="0"/>
        <w:keepLines w:val="0"/>
        <w:pageBreakBefore w:val="0"/>
        <w:kinsoku/>
        <w:wordWrap/>
        <w:overflowPunct/>
        <w:topLinePunct w:val="0"/>
        <w:autoSpaceDE/>
        <w:autoSpaceDN/>
        <w:bidi w:val="0"/>
        <w:adjustRightInd w:val="0"/>
        <w:spacing w:line="560" w:lineRule="exact"/>
        <w:ind w:right="0" w:rightChars="0"/>
        <w:jc w:val="left"/>
        <w:textAlignment w:val="auto"/>
        <w:rPr>
          <w:rFonts w:hint="eastAsia" w:ascii="黑体" w:hAnsi="黑体" w:eastAsia="黑体" w:cs="黑体"/>
          <w:b w:val="0"/>
          <w:bCs/>
          <w:sz w:val="32"/>
          <w:szCs w:val="32"/>
        </w:rPr>
      </w:pPr>
    </w:p>
    <w:p w14:paraId="5C3CC29B">
      <w:pPr>
        <w:pStyle w:val="9"/>
        <w:keepNext w:val="0"/>
        <w:keepLines w:val="0"/>
        <w:pageBreakBefore w:val="0"/>
        <w:kinsoku/>
        <w:wordWrap/>
        <w:overflowPunct/>
        <w:topLinePunct w:val="0"/>
        <w:autoSpaceDE/>
        <w:autoSpaceDN/>
        <w:bidi w:val="0"/>
        <w:adjustRightInd w:val="0"/>
        <w:spacing w:line="560" w:lineRule="exact"/>
        <w:ind w:right="0" w:rightChars="0"/>
        <w:jc w:val="left"/>
        <w:textAlignment w:val="auto"/>
        <w:rPr>
          <w:rFonts w:hint="eastAsia" w:ascii="黑体" w:hAnsi="黑体" w:eastAsia="黑体" w:cs="黑体"/>
          <w:b w:val="0"/>
          <w:bCs/>
          <w:sz w:val="32"/>
          <w:szCs w:val="32"/>
        </w:rPr>
      </w:pPr>
    </w:p>
    <w:p w14:paraId="1915EDDA">
      <w:pPr>
        <w:pStyle w:val="9"/>
        <w:keepNext w:val="0"/>
        <w:keepLines w:val="0"/>
        <w:pageBreakBefore w:val="0"/>
        <w:kinsoku/>
        <w:wordWrap/>
        <w:overflowPunct/>
        <w:topLinePunct w:val="0"/>
        <w:autoSpaceDE/>
        <w:autoSpaceDN/>
        <w:bidi w:val="0"/>
        <w:adjustRightInd w:val="0"/>
        <w:spacing w:line="560" w:lineRule="exact"/>
        <w:ind w:right="0" w:rightChars="0"/>
        <w:jc w:val="left"/>
        <w:textAlignment w:val="auto"/>
        <w:rPr>
          <w:rFonts w:hint="eastAsia" w:ascii="黑体" w:hAnsi="黑体" w:eastAsia="黑体" w:cs="黑体"/>
          <w:b w:val="0"/>
          <w:bCs/>
          <w:sz w:val="32"/>
          <w:szCs w:val="32"/>
        </w:rPr>
      </w:pPr>
    </w:p>
    <w:p w14:paraId="1594FABD">
      <w:pPr>
        <w:pStyle w:val="9"/>
        <w:keepNext w:val="0"/>
        <w:keepLines w:val="0"/>
        <w:pageBreakBefore w:val="0"/>
        <w:kinsoku/>
        <w:wordWrap/>
        <w:overflowPunct/>
        <w:topLinePunct w:val="0"/>
        <w:autoSpaceDE/>
        <w:autoSpaceDN/>
        <w:bidi w:val="0"/>
        <w:adjustRightInd w:val="0"/>
        <w:spacing w:line="560" w:lineRule="exact"/>
        <w:ind w:right="0" w:rightChars="0"/>
        <w:jc w:val="left"/>
        <w:textAlignment w:val="auto"/>
        <w:rPr>
          <w:rFonts w:hint="eastAsia" w:ascii="黑体" w:hAnsi="黑体" w:eastAsia="黑体" w:cs="黑体"/>
          <w:b w:val="0"/>
          <w:bCs/>
          <w:sz w:val="32"/>
          <w:szCs w:val="32"/>
        </w:rPr>
      </w:pPr>
    </w:p>
    <w:p w14:paraId="4ADA4A32">
      <w:pPr>
        <w:pStyle w:val="9"/>
        <w:keepNext w:val="0"/>
        <w:keepLines w:val="0"/>
        <w:pageBreakBefore w:val="0"/>
        <w:kinsoku/>
        <w:wordWrap/>
        <w:overflowPunct/>
        <w:topLinePunct w:val="0"/>
        <w:autoSpaceDE/>
        <w:autoSpaceDN/>
        <w:bidi w:val="0"/>
        <w:adjustRightInd w:val="0"/>
        <w:spacing w:line="560" w:lineRule="exact"/>
        <w:ind w:right="0" w:rightChars="0"/>
        <w:jc w:val="left"/>
        <w:textAlignment w:val="auto"/>
        <w:rPr>
          <w:rFonts w:hint="eastAsia" w:ascii="黑体" w:hAnsi="黑体" w:eastAsia="黑体" w:cs="黑体"/>
          <w:b w:val="0"/>
          <w:bCs/>
          <w:sz w:val="32"/>
          <w:szCs w:val="32"/>
        </w:rPr>
      </w:pPr>
    </w:p>
    <w:p w14:paraId="7B6D1912">
      <w:pPr>
        <w:pStyle w:val="9"/>
        <w:keepNext w:val="0"/>
        <w:keepLines w:val="0"/>
        <w:pageBreakBefore w:val="0"/>
        <w:kinsoku/>
        <w:wordWrap/>
        <w:overflowPunct/>
        <w:topLinePunct w:val="0"/>
        <w:autoSpaceDE/>
        <w:autoSpaceDN/>
        <w:bidi w:val="0"/>
        <w:adjustRightInd w:val="0"/>
        <w:spacing w:line="560" w:lineRule="exact"/>
        <w:ind w:right="0" w:rightChars="0"/>
        <w:jc w:val="left"/>
        <w:textAlignment w:val="auto"/>
        <w:rPr>
          <w:rFonts w:hint="eastAsia" w:ascii="黑体" w:hAnsi="黑体" w:eastAsia="黑体" w:cs="黑体"/>
          <w:b w:val="0"/>
          <w:bCs/>
          <w:sz w:val="32"/>
          <w:szCs w:val="32"/>
        </w:rPr>
      </w:pPr>
    </w:p>
    <w:p w14:paraId="6E6CC26F">
      <w:pPr>
        <w:pStyle w:val="9"/>
        <w:keepNext w:val="0"/>
        <w:keepLines w:val="0"/>
        <w:pageBreakBefore w:val="0"/>
        <w:kinsoku/>
        <w:wordWrap/>
        <w:overflowPunct/>
        <w:topLinePunct w:val="0"/>
        <w:autoSpaceDE/>
        <w:autoSpaceDN/>
        <w:bidi w:val="0"/>
        <w:adjustRightInd w:val="0"/>
        <w:spacing w:line="560" w:lineRule="exact"/>
        <w:ind w:right="0" w:rightChars="0"/>
        <w:jc w:val="left"/>
        <w:textAlignment w:val="auto"/>
        <w:rPr>
          <w:rFonts w:hint="eastAsia" w:ascii="黑体" w:hAnsi="黑体" w:eastAsia="黑体" w:cs="黑体"/>
          <w:b w:val="0"/>
          <w:bCs/>
          <w:sz w:val="32"/>
          <w:szCs w:val="32"/>
        </w:rPr>
      </w:pPr>
    </w:p>
    <w:p w14:paraId="750BAF02">
      <w:pPr>
        <w:pStyle w:val="9"/>
        <w:keepNext w:val="0"/>
        <w:keepLines w:val="0"/>
        <w:pageBreakBefore w:val="0"/>
        <w:kinsoku/>
        <w:wordWrap/>
        <w:overflowPunct/>
        <w:topLinePunct w:val="0"/>
        <w:autoSpaceDE/>
        <w:autoSpaceDN/>
        <w:bidi w:val="0"/>
        <w:adjustRightInd w:val="0"/>
        <w:spacing w:line="560" w:lineRule="exact"/>
        <w:ind w:right="0" w:rightChars="0"/>
        <w:jc w:val="left"/>
        <w:textAlignment w:val="auto"/>
        <w:rPr>
          <w:rFonts w:hint="eastAsia" w:ascii="黑体" w:hAnsi="黑体" w:eastAsia="黑体" w:cs="黑体"/>
          <w:b w:val="0"/>
          <w:bCs/>
          <w:sz w:val="32"/>
          <w:szCs w:val="32"/>
        </w:rPr>
      </w:pPr>
    </w:p>
    <w:p w14:paraId="4C9FE289">
      <w:pPr>
        <w:pStyle w:val="9"/>
        <w:keepNext w:val="0"/>
        <w:keepLines w:val="0"/>
        <w:pageBreakBefore w:val="0"/>
        <w:kinsoku/>
        <w:wordWrap/>
        <w:overflowPunct/>
        <w:topLinePunct w:val="0"/>
        <w:autoSpaceDE/>
        <w:autoSpaceDN/>
        <w:bidi w:val="0"/>
        <w:adjustRightInd w:val="0"/>
        <w:spacing w:line="560" w:lineRule="exact"/>
        <w:ind w:right="0" w:rightChars="0"/>
        <w:jc w:val="left"/>
        <w:textAlignment w:val="auto"/>
        <w:rPr>
          <w:rFonts w:hint="eastAsia" w:ascii="黑体" w:hAnsi="黑体" w:eastAsia="黑体" w:cs="黑体"/>
          <w:b w:val="0"/>
          <w:bCs/>
          <w:sz w:val="32"/>
          <w:szCs w:val="32"/>
        </w:rPr>
      </w:pPr>
    </w:p>
    <w:p w14:paraId="09E88F0D">
      <w:pPr>
        <w:pStyle w:val="9"/>
        <w:keepNext w:val="0"/>
        <w:keepLines w:val="0"/>
        <w:pageBreakBefore w:val="0"/>
        <w:kinsoku/>
        <w:wordWrap/>
        <w:overflowPunct/>
        <w:topLinePunct w:val="0"/>
        <w:autoSpaceDE/>
        <w:autoSpaceDN/>
        <w:bidi w:val="0"/>
        <w:adjustRightInd w:val="0"/>
        <w:spacing w:line="560" w:lineRule="exact"/>
        <w:ind w:right="0" w:rightChars="0"/>
        <w:jc w:val="left"/>
        <w:textAlignment w:val="auto"/>
        <w:rPr>
          <w:rFonts w:hint="eastAsia" w:ascii="黑体" w:hAnsi="黑体" w:eastAsia="黑体" w:cs="黑体"/>
          <w:b w:val="0"/>
          <w:bCs/>
          <w:sz w:val="32"/>
          <w:szCs w:val="32"/>
        </w:rPr>
      </w:pPr>
    </w:p>
    <w:p w14:paraId="4AD657F8">
      <w:pPr>
        <w:pStyle w:val="9"/>
        <w:keepNext w:val="0"/>
        <w:keepLines w:val="0"/>
        <w:pageBreakBefore w:val="0"/>
        <w:widowControl w:val="0"/>
        <w:kinsoku/>
        <w:wordWrap/>
        <w:overflowPunct/>
        <w:topLinePunct w:val="0"/>
        <w:autoSpaceDE/>
        <w:autoSpaceDN/>
        <w:bidi w:val="0"/>
        <w:adjustRightInd/>
        <w:snapToGrid/>
        <w:spacing w:line="560" w:lineRule="exact"/>
        <w:ind w:left="420" w:right="0" w:rightChars="0"/>
        <w:textAlignment w:val="auto"/>
        <w:outlineLvl w:val="9"/>
        <w:rPr>
          <w:rFonts w:hint="eastAsia" w:ascii="方正小标宋_GBK" w:hAnsi="方正小标宋_GBK" w:eastAsia="方正小标宋_GBK" w:cs="方正小标宋_GBK"/>
          <w:b w:val="0"/>
          <w:bCs/>
          <w:sz w:val="32"/>
          <w:szCs w:val="32"/>
          <w:lang w:val="en-US" w:eastAsia="zh-CN"/>
        </w:rPr>
      </w:pPr>
    </w:p>
    <w:sectPr>
      <w:headerReference r:id="rId5" w:type="default"/>
      <w:footerReference r:id="rId6" w:type="default"/>
      <w:pgSz w:w="11906" w:h="16838"/>
      <w:pgMar w:top="1440" w:right="1800" w:bottom="1440" w:left="1800" w:header="851" w:footer="992" w:gutter="0"/>
      <w:cols w:space="425"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方正小标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254E7">
    <w:pPr>
      <w:pStyle w:val="13"/>
      <w:ind w:right="360"/>
    </w:pP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5F381D">
    <w:pPr>
      <w:pStyle w:val="13"/>
      <w:jc w:val="center"/>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6B4FE">
    <w:pPr>
      <w:snapToGrid w:val="0"/>
      <w:spacing w:line="560" w:lineRule="exact"/>
      <w:ind w:right="420"/>
      <w:rPr>
        <w:szCs w:val="18"/>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41070">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5B2EA3"/>
    <w:multiLevelType w:val="multilevel"/>
    <w:tmpl w:val="1E5B2EA3"/>
    <w:lvl w:ilvl="0" w:tentative="0">
      <w:start w:val="1"/>
      <w:numFmt w:val="decimal"/>
      <w:lvlText w:val="%1"/>
      <w:lvlJc w:val="left"/>
      <w:pPr>
        <w:ind w:left="0" w:firstLine="0"/>
      </w:pPr>
      <w:rPr>
        <w:rFonts w:hint="eastAsia" w:cs="Times New Roman"/>
        <w:b w:val="0"/>
        <w:i w:val="0"/>
        <w:iCs w:val="0"/>
        <w:caps w:val="0"/>
        <w:smallCaps w:val="0"/>
        <w:strike w:val="0"/>
        <w:dstrike w:val="0"/>
        <w:vanish w:val="0"/>
        <w:color w:val="000000"/>
        <w:spacing w:val="0"/>
        <w:position w:val="0"/>
        <w:u w:val="none"/>
        <w:vertAlign w:val="baseline"/>
        <w:lang w:val="en-US"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decimal"/>
      <w:isLgl/>
      <w:lvlText w:val="%1.%2"/>
      <w:lvlJc w:val="left"/>
      <w:pPr>
        <w:ind w:left="0" w:firstLine="0"/>
      </w:pPr>
      <w:rPr>
        <w:b w:val="0"/>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2" w:tentative="0">
      <w:start w:val="1"/>
      <w:numFmt w:val="decimal"/>
      <w:pStyle w:val="4"/>
      <w:isLgl/>
      <w:lvlText w:val="%1.%2.%3"/>
      <w:lvlJc w:val="left"/>
      <w:pPr>
        <w:ind w:left="0" w:firstLine="0"/>
      </w:pPr>
      <w:rPr>
        <w:rFonts w:hint="eastAsia"/>
      </w:rPr>
    </w:lvl>
    <w:lvl w:ilvl="3" w:tentative="0">
      <w:start w:val="1"/>
      <w:numFmt w:val="decimal"/>
      <w:isLgl/>
      <w:lvlText w:val="%1.%2.%3.%4"/>
      <w:lvlJc w:val="left"/>
      <w:pPr>
        <w:ind w:left="0" w:firstLine="0"/>
      </w:pPr>
      <w:rPr>
        <w:rFonts w:hint="eastAsia"/>
      </w:rPr>
    </w:lvl>
    <w:lvl w:ilvl="4" w:tentative="0">
      <w:start w:val="1"/>
      <w:numFmt w:val="decimal"/>
      <w:isLg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
    <w:nsid w:val="62DE0707"/>
    <w:multiLevelType w:val="singleLevel"/>
    <w:tmpl w:val="62DE0707"/>
    <w:lvl w:ilvl="0" w:tentative="0">
      <w:start w:val="6"/>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dit="forms"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A44"/>
    <w:rsid w:val="00004422"/>
    <w:rsid w:val="00036664"/>
    <w:rsid w:val="0004439D"/>
    <w:rsid w:val="00185CC7"/>
    <w:rsid w:val="001A7A62"/>
    <w:rsid w:val="001E5AFA"/>
    <w:rsid w:val="002C0A44"/>
    <w:rsid w:val="0032468E"/>
    <w:rsid w:val="003D574E"/>
    <w:rsid w:val="003E1BA0"/>
    <w:rsid w:val="0046143B"/>
    <w:rsid w:val="004A3AB1"/>
    <w:rsid w:val="004C0C8A"/>
    <w:rsid w:val="004E6E6C"/>
    <w:rsid w:val="00506845"/>
    <w:rsid w:val="00552C48"/>
    <w:rsid w:val="00560D65"/>
    <w:rsid w:val="00603A16"/>
    <w:rsid w:val="00684E4E"/>
    <w:rsid w:val="00693727"/>
    <w:rsid w:val="006E0458"/>
    <w:rsid w:val="0075335E"/>
    <w:rsid w:val="0075695E"/>
    <w:rsid w:val="007F5DE8"/>
    <w:rsid w:val="00811124"/>
    <w:rsid w:val="00876E1F"/>
    <w:rsid w:val="00890D18"/>
    <w:rsid w:val="0099229D"/>
    <w:rsid w:val="009F30A1"/>
    <w:rsid w:val="00A10953"/>
    <w:rsid w:val="00A16E81"/>
    <w:rsid w:val="00A403BF"/>
    <w:rsid w:val="00A46E9B"/>
    <w:rsid w:val="00A752FC"/>
    <w:rsid w:val="00A91C3A"/>
    <w:rsid w:val="00A960A3"/>
    <w:rsid w:val="00AC1EBB"/>
    <w:rsid w:val="00AC4FE5"/>
    <w:rsid w:val="00BF58B1"/>
    <w:rsid w:val="00C245A2"/>
    <w:rsid w:val="00C56BBB"/>
    <w:rsid w:val="00C80A00"/>
    <w:rsid w:val="00C93AA0"/>
    <w:rsid w:val="00D71FB0"/>
    <w:rsid w:val="00DA3B74"/>
    <w:rsid w:val="00DE3410"/>
    <w:rsid w:val="00DE57BA"/>
    <w:rsid w:val="00DE737C"/>
    <w:rsid w:val="00EB5E32"/>
    <w:rsid w:val="00FD79A8"/>
    <w:rsid w:val="00FE2C98"/>
    <w:rsid w:val="01D53C37"/>
    <w:rsid w:val="01FE3B56"/>
    <w:rsid w:val="02B80751"/>
    <w:rsid w:val="034E7427"/>
    <w:rsid w:val="054637EC"/>
    <w:rsid w:val="05732022"/>
    <w:rsid w:val="05A255BA"/>
    <w:rsid w:val="05AA1AAE"/>
    <w:rsid w:val="05C20325"/>
    <w:rsid w:val="06FF4152"/>
    <w:rsid w:val="0A5228A9"/>
    <w:rsid w:val="0A666707"/>
    <w:rsid w:val="0ACE0286"/>
    <w:rsid w:val="0B156206"/>
    <w:rsid w:val="0B8C0DA3"/>
    <w:rsid w:val="0BA31992"/>
    <w:rsid w:val="0C63233E"/>
    <w:rsid w:val="0CD60C9A"/>
    <w:rsid w:val="0E88796A"/>
    <w:rsid w:val="0EC0759D"/>
    <w:rsid w:val="0ED619B3"/>
    <w:rsid w:val="0EDF32A9"/>
    <w:rsid w:val="105B6A84"/>
    <w:rsid w:val="10BD0069"/>
    <w:rsid w:val="10E34450"/>
    <w:rsid w:val="11E76B9F"/>
    <w:rsid w:val="12684593"/>
    <w:rsid w:val="1320369B"/>
    <w:rsid w:val="13325751"/>
    <w:rsid w:val="135D040F"/>
    <w:rsid w:val="13621EEC"/>
    <w:rsid w:val="138564F0"/>
    <w:rsid w:val="13AA5E2B"/>
    <w:rsid w:val="13D73627"/>
    <w:rsid w:val="13E41600"/>
    <w:rsid w:val="14D30BDE"/>
    <w:rsid w:val="15627182"/>
    <w:rsid w:val="15A52F2E"/>
    <w:rsid w:val="17C821C3"/>
    <w:rsid w:val="18C563ED"/>
    <w:rsid w:val="19156CD4"/>
    <w:rsid w:val="194A05B4"/>
    <w:rsid w:val="1AC66850"/>
    <w:rsid w:val="1B642266"/>
    <w:rsid w:val="1B8D5C41"/>
    <w:rsid w:val="1E486234"/>
    <w:rsid w:val="1F012D15"/>
    <w:rsid w:val="1F6623C1"/>
    <w:rsid w:val="20304FD0"/>
    <w:rsid w:val="204E102B"/>
    <w:rsid w:val="209F0638"/>
    <w:rsid w:val="213868ED"/>
    <w:rsid w:val="219A57C2"/>
    <w:rsid w:val="222840E4"/>
    <w:rsid w:val="22DF2C0B"/>
    <w:rsid w:val="2384645F"/>
    <w:rsid w:val="238D0876"/>
    <w:rsid w:val="23973171"/>
    <w:rsid w:val="24BB6482"/>
    <w:rsid w:val="275D3454"/>
    <w:rsid w:val="27D2138F"/>
    <w:rsid w:val="2805730B"/>
    <w:rsid w:val="28D94CC5"/>
    <w:rsid w:val="28E145A1"/>
    <w:rsid w:val="2901229F"/>
    <w:rsid w:val="29BC1BEA"/>
    <w:rsid w:val="2A962289"/>
    <w:rsid w:val="2B57444A"/>
    <w:rsid w:val="2B8F1973"/>
    <w:rsid w:val="2BCD7650"/>
    <w:rsid w:val="2C770D7D"/>
    <w:rsid w:val="2D5A65C5"/>
    <w:rsid w:val="2D7F55C2"/>
    <w:rsid w:val="2DEB62CF"/>
    <w:rsid w:val="2E922A59"/>
    <w:rsid w:val="2EB57CCE"/>
    <w:rsid w:val="2F811C83"/>
    <w:rsid w:val="2F9013C2"/>
    <w:rsid w:val="2FC2640F"/>
    <w:rsid w:val="3156643E"/>
    <w:rsid w:val="32075721"/>
    <w:rsid w:val="32BC67A5"/>
    <w:rsid w:val="32D76267"/>
    <w:rsid w:val="332609ED"/>
    <w:rsid w:val="33433250"/>
    <w:rsid w:val="346A24A1"/>
    <w:rsid w:val="36336D3C"/>
    <w:rsid w:val="37664A4B"/>
    <w:rsid w:val="376A10BB"/>
    <w:rsid w:val="37D31B27"/>
    <w:rsid w:val="392B32DA"/>
    <w:rsid w:val="3A3F6D53"/>
    <w:rsid w:val="3A9F725A"/>
    <w:rsid w:val="3B2535D0"/>
    <w:rsid w:val="3C3314A1"/>
    <w:rsid w:val="3C375784"/>
    <w:rsid w:val="3C771D8C"/>
    <w:rsid w:val="3ED04B63"/>
    <w:rsid w:val="3F345B9D"/>
    <w:rsid w:val="3FC2791B"/>
    <w:rsid w:val="3FCD703E"/>
    <w:rsid w:val="403959A7"/>
    <w:rsid w:val="40B93D70"/>
    <w:rsid w:val="423E416A"/>
    <w:rsid w:val="426C1730"/>
    <w:rsid w:val="42B43088"/>
    <w:rsid w:val="43010842"/>
    <w:rsid w:val="43C92044"/>
    <w:rsid w:val="44127729"/>
    <w:rsid w:val="45330549"/>
    <w:rsid w:val="457B6F59"/>
    <w:rsid w:val="47145EF0"/>
    <w:rsid w:val="47D64CBF"/>
    <w:rsid w:val="486D2B74"/>
    <w:rsid w:val="48BA422E"/>
    <w:rsid w:val="49862862"/>
    <w:rsid w:val="4A103E4C"/>
    <w:rsid w:val="4A2A696C"/>
    <w:rsid w:val="4B34396A"/>
    <w:rsid w:val="4B562B1E"/>
    <w:rsid w:val="4BCF0A3E"/>
    <w:rsid w:val="4C900CC1"/>
    <w:rsid w:val="4D4E52B1"/>
    <w:rsid w:val="4E276751"/>
    <w:rsid w:val="4E486040"/>
    <w:rsid w:val="50120259"/>
    <w:rsid w:val="5096171E"/>
    <w:rsid w:val="50FD61CC"/>
    <w:rsid w:val="52B30142"/>
    <w:rsid w:val="52B34A6D"/>
    <w:rsid w:val="535165EE"/>
    <w:rsid w:val="53EA4A51"/>
    <w:rsid w:val="545E3EDB"/>
    <w:rsid w:val="546A57C4"/>
    <w:rsid w:val="54BD7D6C"/>
    <w:rsid w:val="54E16872"/>
    <w:rsid w:val="55223BCA"/>
    <w:rsid w:val="56561DB1"/>
    <w:rsid w:val="569F214B"/>
    <w:rsid w:val="580426D3"/>
    <w:rsid w:val="58AB425E"/>
    <w:rsid w:val="596671F9"/>
    <w:rsid w:val="59B11BB7"/>
    <w:rsid w:val="59CD4E8E"/>
    <w:rsid w:val="59FF1043"/>
    <w:rsid w:val="5A312564"/>
    <w:rsid w:val="5A431531"/>
    <w:rsid w:val="5A4C59FE"/>
    <w:rsid w:val="5B0E18F6"/>
    <w:rsid w:val="5B4A3877"/>
    <w:rsid w:val="5B5F0B54"/>
    <w:rsid w:val="5B7F49C4"/>
    <w:rsid w:val="5B8649E8"/>
    <w:rsid w:val="5C253BEE"/>
    <w:rsid w:val="5C405349"/>
    <w:rsid w:val="5EAE0D08"/>
    <w:rsid w:val="5F0919A4"/>
    <w:rsid w:val="60456754"/>
    <w:rsid w:val="617625B0"/>
    <w:rsid w:val="61817A1F"/>
    <w:rsid w:val="62037CDB"/>
    <w:rsid w:val="620F2B8A"/>
    <w:rsid w:val="62517FC0"/>
    <w:rsid w:val="62720114"/>
    <w:rsid w:val="627853EA"/>
    <w:rsid w:val="631E69AA"/>
    <w:rsid w:val="638C03E2"/>
    <w:rsid w:val="64481E81"/>
    <w:rsid w:val="645131D3"/>
    <w:rsid w:val="65707F32"/>
    <w:rsid w:val="659C40EE"/>
    <w:rsid w:val="65D63B5B"/>
    <w:rsid w:val="66014531"/>
    <w:rsid w:val="66302E0F"/>
    <w:rsid w:val="672B0915"/>
    <w:rsid w:val="67AB00FD"/>
    <w:rsid w:val="67BE26CC"/>
    <w:rsid w:val="680A67C8"/>
    <w:rsid w:val="68837F16"/>
    <w:rsid w:val="68E07AEE"/>
    <w:rsid w:val="69006831"/>
    <w:rsid w:val="6A4A6515"/>
    <w:rsid w:val="6A4C7071"/>
    <w:rsid w:val="6A640F76"/>
    <w:rsid w:val="6C784183"/>
    <w:rsid w:val="6D6A2812"/>
    <w:rsid w:val="6DD00BA9"/>
    <w:rsid w:val="6E2C46FB"/>
    <w:rsid w:val="6F125D61"/>
    <w:rsid w:val="6F857F81"/>
    <w:rsid w:val="70642025"/>
    <w:rsid w:val="70F652BC"/>
    <w:rsid w:val="71407CFA"/>
    <w:rsid w:val="726C6ADB"/>
    <w:rsid w:val="751F4904"/>
    <w:rsid w:val="759706CC"/>
    <w:rsid w:val="75B430DD"/>
    <w:rsid w:val="762941A2"/>
    <w:rsid w:val="76536B40"/>
    <w:rsid w:val="76D36788"/>
    <w:rsid w:val="77A16398"/>
    <w:rsid w:val="77CE39B5"/>
    <w:rsid w:val="77D53717"/>
    <w:rsid w:val="77DD7433"/>
    <w:rsid w:val="784D55E5"/>
    <w:rsid w:val="78A71B1C"/>
    <w:rsid w:val="7C115EE7"/>
    <w:rsid w:val="7CA33860"/>
    <w:rsid w:val="7D242C86"/>
    <w:rsid w:val="7DBE5B9D"/>
    <w:rsid w:val="7E1A6E9E"/>
    <w:rsid w:val="7E9C0E44"/>
    <w:rsid w:val="7ECD2214"/>
    <w:rsid w:val="7F50046D"/>
    <w:rsid w:val="7F911058"/>
    <w:rsid w:val="7FB23D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jc w:val="left"/>
      <w:outlineLvl w:val="0"/>
    </w:pPr>
    <w:rPr>
      <w:rFonts w:ascii="宋体" w:hAnsi="宋体"/>
      <w:b/>
      <w:sz w:val="32"/>
      <w:szCs w:val="20"/>
    </w:rPr>
  </w:style>
  <w:style w:type="paragraph" w:styleId="3">
    <w:name w:val="heading 2"/>
    <w:basedOn w:val="1"/>
    <w:next w:val="1"/>
    <w:unhideWhenUsed/>
    <w:qFormat/>
    <w:uiPriority w:val="0"/>
    <w:pPr>
      <w:keepNext/>
      <w:tabs>
        <w:tab w:val="left" w:pos="1044"/>
      </w:tabs>
      <w:adjustRightInd w:val="0"/>
      <w:spacing w:line="360" w:lineRule="atLeast"/>
      <w:ind w:left="1044" w:hanging="468"/>
      <w:jc w:val="left"/>
      <w:textAlignment w:val="baseline"/>
      <w:outlineLvl w:val="1"/>
    </w:pPr>
    <w:rPr>
      <w:rFonts w:ascii="仿宋_GB2312" w:eastAsia="仿宋_GB2312"/>
      <w:b/>
      <w:sz w:val="28"/>
      <w:szCs w:val="28"/>
    </w:rPr>
  </w:style>
  <w:style w:type="paragraph" w:styleId="4">
    <w:name w:val="heading 3"/>
    <w:basedOn w:val="1"/>
    <w:next w:val="1"/>
    <w:unhideWhenUsed/>
    <w:qFormat/>
    <w:uiPriority w:val="0"/>
    <w:pPr>
      <w:keepNext/>
      <w:keepLines/>
      <w:numPr>
        <w:ilvl w:val="2"/>
        <w:numId w:val="1"/>
      </w:numPr>
      <w:spacing w:before="240" w:after="240"/>
      <w:jc w:val="left"/>
      <w:outlineLvl w:val="2"/>
    </w:pPr>
    <w:rPr>
      <w:bCs/>
      <w:szCs w:val="32"/>
    </w:rPr>
  </w:style>
  <w:style w:type="paragraph" w:styleId="5">
    <w:name w:val="heading 4"/>
    <w:basedOn w:val="1"/>
    <w:next w:val="1"/>
    <w:unhideWhenUsed/>
    <w:qFormat/>
    <w:uiPriority w:val="0"/>
    <w:pPr>
      <w:keepNext/>
      <w:keepLines/>
      <w:spacing w:before="280" w:after="290" w:line="372" w:lineRule="auto"/>
      <w:outlineLvl w:val="3"/>
    </w:pPr>
    <w:rPr>
      <w:rFonts w:ascii="Cambria" w:hAnsi="Cambria" w:eastAsia="宋体" w:cs="Times New Roman"/>
      <w:b/>
      <w:bCs/>
      <w:sz w:val="28"/>
      <w:szCs w:val="28"/>
    </w:rPr>
  </w:style>
  <w:style w:type="paragraph" w:styleId="6">
    <w:name w:val="heading 5"/>
    <w:basedOn w:val="1"/>
    <w:next w:val="1"/>
    <w:unhideWhenUsed/>
    <w:qFormat/>
    <w:uiPriority w:val="0"/>
    <w:pPr>
      <w:keepNext/>
      <w:keepLines/>
      <w:spacing w:before="280" w:after="290" w:line="376" w:lineRule="atLeast"/>
      <w:outlineLvl w:val="4"/>
    </w:pPr>
    <w:rPr>
      <w:bCs/>
      <w:szCs w:val="28"/>
    </w:rPr>
  </w:style>
  <w:style w:type="character" w:default="1" w:styleId="25">
    <w:name w:val="Default Paragraph Font"/>
    <w:unhideWhenUsed/>
    <w:qFormat/>
    <w:uiPriority w:val="1"/>
  </w:style>
  <w:style w:type="table" w:default="1" w:styleId="23">
    <w:name w:val="Normal Table"/>
    <w:unhideWhenUsed/>
    <w:qFormat/>
    <w:uiPriority w:val="99"/>
    <w:tblPr>
      <w:tblCellMar>
        <w:top w:w="0" w:type="dxa"/>
        <w:left w:w="108" w:type="dxa"/>
        <w:bottom w:w="0" w:type="dxa"/>
        <w:right w:w="108" w:type="dxa"/>
      </w:tblCellMar>
    </w:tblPr>
  </w:style>
  <w:style w:type="paragraph" w:styleId="7">
    <w:name w:val="Normal Indent"/>
    <w:basedOn w:val="1"/>
    <w:qFormat/>
    <w:uiPriority w:val="0"/>
    <w:pPr>
      <w:spacing w:line="360" w:lineRule="auto"/>
      <w:ind w:firstLine="420"/>
    </w:pPr>
    <w:rPr>
      <w:szCs w:val="20"/>
    </w:rPr>
  </w:style>
  <w:style w:type="paragraph" w:styleId="8">
    <w:name w:val="annotation text"/>
    <w:basedOn w:val="1"/>
    <w:link w:val="39"/>
    <w:qFormat/>
    <w:uiPriority w:val="0"/>
    <w:pPr>
      <w:jc w:val="left"/>
    </w:pPr>
  </w:style>
  <w:style w:type="paragraph" w:styleId="9">
    <w:name w:val="Body Text"/>
    <w:basedOn w:val="1"/>
    <w:qFormat/>
    <w:uiPriority w:val="0"/>
    <w:pPr>
      <w:jc w:val="center"/>
    </w:pPr>
    <w:rPr>
      <w:rFonts w:ascii="宋体"/>
      <w:b/>
      <w:sz w:val="48"/>
    </w:rPr>
  </w:style>
  <w:style w:type="paragraph" w:styleId="10">
    <w:name w:val="Body Text Indent"/>
    <w:basedOn w:val="1"/>
    <w:next w:val="1"/>
    <w:unhideWhenUsed/>
    <w:qFormat/>
    <w:uiPriority w:val="99"/>
    <w:pPr>
      <w:spacing w:after="120"/>
      <w:ind w:left="420" w:leftChars="200"/>
    </w:pPr>
    <w:rPr>
      <w:rFonts w:ascii="Times New Roman" w:hAnsi="Times New Roman" w:eastAsia="宋体" w:cs="Times New Roman"/>
      <w:szCs w:val="24"/>
    </w:rPr>
  </w:style>
  <w:style w:type="paragraph" w:styleId="11">
    <w:name w:val="toc 3"/>
    <w:basedOn w:val="1"/>
    <w:next w:val="1"/>
    <w:qFormat/>
    <w:uiPriority w:val="0"/>
    <w:pPr>
      <w:spacing w:line="400" w:lineRule="exact"/>
      <w:ind w:left="420"/>
      <w:jc w:val="left"/>
    </w:pPr>
    <w:rPr>
      <w:rFonts w:ascii="仿宋_GB2312" w:eastAsia="仿宋_GB2312"/>
      <w:i/>
      <w:iCs/>
      <w:spacing w:val="-20"/>
      <w:sz w:val="13"/>
      <w:szCs w:val="13"/>
    </w:rPr>
  </w:style>
  <w:style w:type="paragraph" w:styleId="12">
    <w:name w:val="Balloon Text"/>
    <w:basedOn w:val="1"/>
    <w:link w:val="41"/>
    <w:qFormat/>
    <w:uiPriority w:val="0"/>
    <w:rPr>
      <w:sz w:val="18"/>
      <w:szCs w:val="18"/>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0"/>
    <w:pPr>
      <w:spacing w:before="120" w:after="120"/>
      <w:jc w:val="left"/>
    </w:pPr>
    <w:rPr>
      <w:b/>
      <w:bCs/>
      <w:caps/>
    </w:rPr>
  </w:style>
  <w:style w:type="paragraph" w:styleId="16">
    <w:name w:val="toc 4"/>
    <w:basedOn w:val="1"/>
    <w:next w:val="1"/>
    <w:qFormat/>
    <w:uiPriority w:val="0"/>
    <w:pPr>
      <w:ind w:left="1260" w:leftChars="600"/>
    </w:pPr>
  </w:style>
  <w:style w:type="paragraph" w:styleId="17">
    <w:name w:val="Body Text Indent 3"/>
    <w:basedOn w:val="1"/>
    <w:qFormat/>
    <w:uiPriority w:val="0"/>
    <w:pPr>
      <w:ind w:firstLine="560" w:firstLineChars="200"/>
    </w:pPr>
    <w:rPr>
      <w:rFonts w:ascii="仿宋_GB2312" w:eastAsia="仿宋_GB2312"/>
      <w:sz w:val="28"/>
    </w:rPr>
  </w:style>
  <w:style w:type="paragraph" w:styleId="18">
    <w:name w:val="toc 2"/>
    <w:basedOn w:val="1"/>
    <w:next w:val="1"/>
    <w:qFormat/>
    <w:uiPriority w:val="0"/>
    <w:pPr>
      <w:tabs>
        <w:tab w:val="right" w:leader="dot" w:pos="9038"/>
      </w:tabs>
      <w:spacing w:line="60" w:lineRule="atLeast"/>
      <w:ind w:left="210"/>
      <w:jc w:val="left"/>
    </w:pPr>
    <w:rPr>
      <w:smallCaps/>
    </w:rPr>
  </w:style>
  <w:style w:type="paragraph" w:styleId="19">
    <w:name w:val="Normal (Web)"/>
    <w:basedOn w:val="1"/>
    <w:qFormat/>
    <w:uiPriority w:val="0"/>
    <w:rPr>
      <w:rFonts w:ascii="Calibri" w:hAnsi="Calibri" w:eastAsia="宋体" w:cs="Times New Roman"/>
      <w:sz w:val="24"/>
    </w:rPr>
  </w:style>
  <w:style w:type="paragraph" w:styleId="20">
    <w:name w:val="annotation subject"/>
    <w:basedOn w:val="8"/>
    <w:next w:val="8"/>
    <w:link w:val="40"/>
    <w:qFormat/>
    <w:uiPriority w:val="0"/>
    <w:rPr>
      <w:b/>
      <w:bCs/>
    </w:rPr>
  </w:style>
  <w:style w:type="paragraph" w:styleId="21">
    <w:name w:val="Body Text First Indent"/>
    <w:basedOn w:val="9"/>
    <w:next w:val="22"/>
    <w:unhideWhenUsed/>
    <w:qFormat/>
    <w:uiPriority w:val="99"/>
    <w:pPr>
      <w:ind w:firstLine="420" w:firstLineChars="100"/>
    </w:pPr>
  </w:style>
  <w:style w:type="paragraph" w:styleId="22">
    <w:name w:val="Body Text First Indent 2"/>
    <w:basedOn w:val="10"/>
    <w:next w:val="1"/>
    <w:unhideWhenUsed/>
    <w:qFormat/>
    <w:uiPriority w:val="99"/>
    <w:pPr>
      <w:ind w:firstLine="420" w:firstLineChars="200"/>
    </w:p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page number"/>
    <w:basedOn w:val="25"/>
    <w:qFormat/>
    <w:uiPriority w:val="0"/>
  </w:style>
  <w:style w:type="character" w:styleId="27">
    <w:name w:val="Hyperlink"/>
    <w:basedOn w:val="25"/>
    <w:qFormat/>
    <w:uiPriority w:val="0"/>
    <w:rPr>
      <w:color w:val="0000FF"/>
      <w:u w:val="single"/>
    </w:rPr>
  </w:style>
  <w:style w:type="character" w:styleId="28">
    <w:name w:val="annotation reference"/>
    <w:basedOn w:val="25"/>
    <w:qFormat/>
    <w:uiPriority w:val="0"/>
    <w:rPr>
      <w:sz w:val="21"/>
      <w:szCs w:val="21"/>
    </w:rPr>
  </w:style>
  <w:style w:type="paragraph" w:customStyle="1" w:styleId="29">
    <w:name w:val="Char"/>
    <w:basedOn w:val="1"/>
    <w:qFormat/>
    <w:uiPriority w:val="0"/>
    <w:rPr>
      <w:szCs w:val="20"/>
    </w:rPr>
  </w:style>
  <w:style w:type="paragraph" w:customStyle="1" w:styleId="30">
    <w:name w:val="表格文字"/>
    <w:basedOn w:val="1"/>
    <w:next w:val="9"/>
    <w:qFormat/>
    <w:uiPriority w:val="0"/>
    <w:pPr>
      <w:spacing w:line="360" w:lineRule="auto"/>
      <w:jc w:val="left"/>
    </w:pPr>
    <w:rPr>
      <w:rFonts w:ascii="Times New Roman" w:hAnsi="Times New Roman"/>
      <w:bCs/>
      <w:spacing w:val="10"/>
      <w:kern w:val="0"/>
      <w:szCs w:val="21"/>
    </w:rPr>
  </w:style>
  <w:style w:type="paragraph" w:customStyle="1" w:styleId="31">
    <w:name w:val="正文1"/>
    <w:basedOn w:val="32"/>
    <w:qFormat/>
    <w:uiPriority w:val="0"/>
    <w:pPr>
      <w:jc w:val="both"/>
    </w:pPr>
    <w:rPr>
      <w:rFonts w:ascii="Times New Roman" w:hAnsi="Times New Roman" w:eastAsia="Times New Roman"/>
      <w:sz w:val="21"/>
    </w:rPr>
  </w:style>
  <w:style w:type="paragraph" w:customStyle="1" w:styleId="32">
    <w:name w:val="[Normal]"/>
    <w:qFormat/>
    <w:uiPriority w:val="0"/>
    <w:rPr>
      <w:rFonts w:ascii="宋体" w:hAnsi="宋体" w:eastAsiaTheme="minorEastAsia" w:cstheme="minorBidi"/>
      <w:sz w:val="24"/>
      <w:szCs w:val="22"/>
      <w:lang w:val="en-US" w:eastAsia="en-US" w:bidi="ar-SA"/>
    </w:rPr>
  </w:style>
  <w:style w:type="paragraph" w:customStyle="1" w:styleId="33">
    <w:name w:val="正文采用"/>
    <w:qFormat/>
    <w:uiPriority w:val="0"/>
    <w:pPr>
      <w:spacing w:line="500" w:lineRule="exact"/>
      <w:ind w:firstLine="560" w:firstLineChars="200"/>
    </w:pPr>
    <w:rPr>
      <w:rFonts w:ascii="宋体" w:hAnsi="宋体" w:eastAsiaTheme="minorEastAsia" w:cstheme="minorBidi"/>
      <w:kern w:val="2"/>
      <w:sz w:val="28"/>
      <w:szCs w:val="28"/>
      <w:lang w:val="zh-CN" w:eastAsia="zh-CN" w:bidi="ar-SA"/>
    </w:rPr>
  </w:style>
  <w:style w:type="paragraph" w:customStyle="1" w:styleId="34">
    <w:name w:val="C503-正文格式"/>
    <w:basedOn w:val="1"/>
    <w:qFormat/>
    <w:uiPriority w:val="0"/>
    <w:pPr>
      <w:spacing w:line="360" w:lineRule="auto"/>
      <w:ind w:firstLine="480" w:firstLineChars="200"/>
    </w:pPr>
    <w:rPr>
      <w:rFonts w:cs="宋体"/>
      <w:sz w:val="24"/>
      <w:szCs w:val="22"/>
    </w:rPr>
  </w:style>
  <w:style w:type="character" w:customStyle="1" w:styleId="35">
    <w:name w:val="font51"/>
    <w:basedOn w:val="25"/>
    <w:qFormat/>
    <w:uiPriority w:val="0"/>
    <w:rPr>
      <w:rFonts w:hint="eastAsia" w:ascii="仿宋" w:hAnsi="仿宋" w:eastAsia="仿宋" w:cs="仿宋"/>
      <w:color w:val="000000"/>
      <w:sz w:val="22"/>
      <w:szCs w:val="22"/>
      <w:u w:val="none"/>
    </w:rPr>
  </w:style>
  <w:style w:type="table" w:customStyle="1" w:styleId="36">
    <w:name w:val="网格型8"/>
    <w:basedOn w:val="2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7">
    <w:name w:val="列出段落1"/>
    <w:basedOn w:val="1"/>
    <w:qFormat/>
    <w:uiPriority w:val="34"/>
    <w:pPr>
      <w:ind w:firstLine="420"/>
    </w:pPr>
  </w:style>
  <w:style w:type="character" w:customStyle="1" w:styleId="38">
    <w:name w:val="font31"/>
    <w:basedOn w:val="25"/>
    <w:qFormat/>
    <w:uiPriority w:val="0"/>
    <w:rPr>
      <w:rFonts w:hint="eastAsia" w:ascii="宋体" w:hAnsi="宋体" w:eastAsia="宋体" w:cs="宋体"/>
      <w:color w:val="000000"/>
      <w:sz w:val="24"/>
      <w:szCs w:val="24"/>
      <w:u w:val="none"/>
    </w:rPr>
  </w:style>
  <w:style w:type="character" w:customStyle="1" w:styleId="39">
    <w:name w:val="批注文字 字符"/>
    <w:basedOn w:val="25"/>
    <w:link w:val="8"/>
    <w:qFormat/>
    <w:uiPriority w:val="0"/>
    <w:rPr>
      <w:rFonts w:asciiTheme="minorHAnsi" w:hAnsiTheme="minorHAnsi" w:eastAsiaTheme="minorEastAsia" w:cstheme="minorBidi"/>
      <w:kern w:val="2"/>
      <w:sz w:val="21"/>
      <w:szCs w:val="24"/>
    </w:rPr>
  </w:style>
  <w:style w:type="character" w:customStyle="1" w:styleId="40">
    <w:name w:val="批注主题 字符"/>
    <w:basedOn w:val="39"/>
    <w:link w:val="20"/>
    <w:qFormat/>
    <w:uiPriority w:val="0"/>
    <w:rPr>
      <w:rFonts w:asciiTheme="minorHAnsi" w:hAnsiTheme="minorHAnsi" w:eastAsiaTheme="minorEastAsia" w:cstheme="minorBidi"/>
      <w:b/>
      <w:bCs/>
      <w:kern w:val="2"/>
      <w:sz w:val="21"/>
      <w:szCs w:val="24"/>
    </w:rPr>
  </w:style>
  <w:style w:type="character" w:customStyle="1" w:styleId="41">
    <w:name w:val="批注框文本 字符"/>
    <w:basedOn w:val="25"/>
    <w:link w:val="12"/>
    <w:qFormat/>
    <w:uiPriority w:val="0"/>
    <w:rPr>
      <w:rFonts w:asciiTheme="minorHAnsi" w:hAnsiTheme="minorHAnsi" w:eastAsiaTheme="minorEastAsia" w:cstheme="minorBidi"/>
      <w:kern w:val="2"/>
      <w:sz w:val="18"/>
      <w:szCs w:val="18"/>
    </w:rPr>
  </w:style>
  <w:style w:type="paragraph" w:customStyle="1" w:styleId="42">
    <w:name w:val="正文文本缩进1"/>
    <w:basedOn w:val="1"/>
    <w:qFormat/>
    <w:uiPriority w:val="0"/>
    <w:pPr>
      <w:spacing w:line="360" w:lineRule="auto"/>
      <w:ind w:firstLine="643"/>
    </w:pPr>
    <w:rPr>
      <w:rFonts w:ascii="Times New Roman" w:hAnsi="Times New Roman" w:eastAsia="Times New Roman" w:cs="宋体"/>
      <w:b/>
      <w:color w:val="000000"/>
      <w:kern w:val="0"/>
      <w:sz w:val="32"/>
      <w:szCs w:val="20"/>
      <w:lang w:eastAsia="en-US"/>
    </w:rPr>
  </w:style>
  <w:style w:type="paragraph" w:customStyle="1" w:styleId="43">
    <w:name w:val="列表段落1"/>
    <w:basedOn w:val="1"/>
    <w:qFormat/>
    <w:uiPriority w:val="99"/>
    <w:pPr>
      <w:ind w:firstLine="420" w:firstLineChars="200"/>
    </w:pPr>
  </w:style>
  <w:style w:type="character" w:customStyle="1" w:styleId="44">
    <w:name w:val="未处理的提及1"/>
    <w:basedOn w:val="25"/>
    <w:unhideWhenUsed/>
    <w:qFormat/>
    <w:uiPriority w:val="99"/>
    <w:rPr>
      <w:color w:val="605E5C"/>
      <w:shd w:val="clear" w:color="auto" w:fill="E1DFDD"/>
    </w:rPr>
  </w:style>
  <w:style w:type="paragraph" w:customStyle="1" w:styleId="45">
    <w:name w:val="正文缩进1"/>
    <w:basedOn w:val="1"/>
    <w:qFormat/>
    <w:uiPriority w:val="0"/>
    <w:pPr>
      <w:ind w:firstLine="42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B04EC-07C7-4E0E-AA78-E90E6A301CD3}">
  <ds:schemaRefs/>
</ds:datastoreItem>
</file>

<file path=docProps/app.xml><?xml version="1.0" encoding="utf-8"?>
<Properties xmlns="http://schemas.openxmlformats.org/officeDocument/2006/extended-properties" xmlns:vt="http://schemas.openxmlformats.org/officeDocument/2006/docPropsVTypes">
  <Template>Normal</Template>
  <Pages>33</Pages>
  <Words>6249</Words>
  <Characters>6522</Characters>
  <Lines>38</Lines>
  <Paragraphs>10</Paragraphs>
  <TotalTime>13</TotalTime>
  <ScaleCrop>false</ScaleCrop>
  <LinksUpToDate>false</LinksUpToDate>
  <CharactersWithSpaces>6571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2019-10-28T08:51:00Z</dcterms:created>
  <dc:creator>Administrator</dc:creator>
  <cp:lastModifiedBy>土豆王子</cp:lastModifiedBy>
  <cp:lastPrinted>2020-09-21T05:55:00Z</cp:lastPrinted>
  <dcterms:modified xsi:type="dcterms:W3CDTF">2026-07-28T09:15:58Z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040C07269E06422F9983D811D5E06BE2_13</vt:lpwstr>
  </property>
  <property fmtid="{D5CDD505-2E9C-101B-9397-08002B2CF9AE}" pid="4" name="KSOTemplateDocerSaveRecord">
    <vt:lpwstr>eyJoZGlkIjoiMjljNjZlNmZhYzYxZmU2NjIyY2E3MTA4YjI0YmI2NjEiLCJ1c2VySWQiOiIxMTY2NTc2MTA4In0=</vt:lpwstr>
  </property>
</Properties>
</file>