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6D4834">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sz w:val="44"/>
          <w:szCs w:val="44"/>
          <w:lang w:eastAsia="zh-CN"/>
        </w:rPr>
      </w:pPr>
    </w:p>
    <w:p w14:paraId="35535E4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lang w:eastAsia="zh-CN"/>
        </w:rPr>
        <w:t>《</w:t>
      </w:r>
      <w:r>
        <w:rPr>
          <w:rFonts w:hint="default" w:ascii="Arial" w:hAnsi="Arial" w:eastAsia="方正小标宋简体" w:cs="Arial"/>
          <w:sz w:val="44"/>
          <w:szCs w:val="44"/>
          <w:lang w:eastAsia="zh-CN"/>
        </w:rPr>
        <w:t>石家庄市岗南黄壁庄水库饮用水水源污染防治条例</w:t>
      </w:r>
      <w:r>
        <w:rPr>
          <w:rFonts w:hint="eastAsia" w:ascii="方正小标宋简体" w:hAnsi="方正小标宋简体" w:eastAsia="方正小标宋简体" w:cs="方正小标宋简体"/>
          <w:sz w:val="44"/>
          <w:szCs w:val="44"/>
        </w:rPr>
        <w:t>（修订草案）</w:t>
      </w:r>
      <w:r>
        <w:rPr>
          <w:rFonts w:hint="eastAsia" w:ascii="方正小标宋简体" w:hAnsi="方正小标宋简体" w:eastAsia="方正小标宋简体" w:cs="方正小标宋简体"/>
          <w:sz w:val="44"/>
          <w:szCs w:val="44"/>
          <w:lang w:eastAsia="zh-CN"/>
        </w:rPr>
        <w:t>》</w:t>
      </w:r>
    </w:p>
    <w:p w14:paraId="5251A920">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黑体" w:hAnsi="黑体" w:eastAsia="黑体" w:cs="黑体"/>
        </w:rPr>
      </w:pPr>
    </w:p>
    <w:p w14:paraId="7C782C7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第一条</w:t>
      </w:r>
      <w:r>
        <w:rPr>
          <w:rFonts w:hint="eastAsia" w:ascii="宋体" w:hAnsi="宋体" w:eastAsia="黑体" w:cs="黑体"/>
          <w:color w:val="000000"/>
          <w:kern w:val="0"/>
          <w:sz w:val="32"/>
          <w:szCs w:val="32"/>
          <w:lang w:eastAsia="zh-CN"/>
        </w:rPr>
        <w:t>【</w:t>
      </w:r>
      <w:r>
        <w:rPr>
          <w:rFonts w:hint="eastAsia" w:ascii="宋体" w:hAnsi="宋体" w:eastAsia="黑体" w:cs="黑体"/>
          <w:color w:val="000000"/>
          <w:kern w:val="0"/>
          <w:sz w:val="32"/>
          <w:szCs w:val="32"/>
          <w:lang w:val="en-US" w:eastAsia="zh-CN"/>
        </w:rPr>
        <w:t>立法目的</w:t>
      </w:r>
      <w:r>
        <w:rPr>
          <w:rFonts w:hint="eastAsia" w:ascii="宋体" w:hAnsi="宋体" w:eastAsia="黑体" w:cs="黑体"/>
          <w:color w:val="000000"/>
          <w:kern w:val="0"/>
          <w:sz w:val="32"/>
          <w:szCs w:val="32"/>
          <w:lang w:eastAsia="zh-CN"/>
        </w:rPr>
        <w:t>】</w:t>
      </w:r>
      <w:r>
        <w:rPr>
          <w:rFonts w:hint="eastAsia"/>
          <w:sz w:val="32"/>
          <w:szCs w:val="32"/>
        </w:rPr>
        <w:t xml:space="preserve">  </w:t>
      </w:r>
      <w:r>
        <w:rPr>
          <w:rFonts w:hint="eastAsia" w:ascii="仿宋_GB2312" w:hAnsi="仿宋_GB2312" w:eastAsia="仿宋_GB2312" w:cs="仿宋_GB2312"/>
          <w:sz w:val="32"/>
          <w:szCs w:val="32"/>
        </w:rPr>
        <w:t>为</w:t>
      </w:r>
      <w:r>
        <w:rPr>
          <w:rFonts w:hint="eastAsia" w:ascii="方正仿宋_GB2312" w:hAnsi="方正仿宋_GB2312" w:eastAsia="方正仿宋_GB2312" w:cs="方正仿宋_GB2312"/>
          <w:sz w:val="32"/>
          <w:szCs w:val="32"/>
        </w:rPr>
        <w:t>防治岗南、黄壁庄水库（以下简称两库）饮用水水源污染，保护和改善饮用水水质，保障</w:t>
      </w:r>
      <w:r>
        <w:rPr>
          <w:rFonts w:hint="eastAsia" w:ascii="方正仿宋_GB2312" w:hAnsi="方正仿宋_GB2312" w:eastAsia="方正仿宋_GB2312" w:cs="方正仿宋_GB2312"/>
          <w:sz w:val="32"/>
          <w:szCs w:val="32"/>
          <w:lang w:val="en-US" w:eastAsia="zh-CN"/>
        </w:rPr>
        <w:t>公众</w:t>
      </w:r>
      <w:r>
        <w:rPr>
          <w:rFonts w:hint="eastAsia" w:ascii="方正仿宋_GB2312" w:hAnsi="方正仿宋_GB2312" w:eastAsia="方正仿宋_GB2312" w:cs="方正仿宋_GB2312"/>
          <w:sz w:val="32"/>
          <w:szCs w:val="32"/>
        </w:rPr>
        <w:t>健康，促进经济与环境协调发展，根据</w:t>
      </w:r>
      <w:r>
        <w:rPr>
          <w:rFonts w:hint="eastAsia" w:ascii="方正仿宋_GB2312" w:hAnsi="方正仿宋_GB2312" w:eastAsia="方正仿宋_GB2312" w:cs="方正仿宋_GB2312"/>
          <w:sz w:val="32"/>
          <w:szCs w:val="32"/>
          <w:lang w:val="en-US" w:eastAsia="zh-CN"/>
        </w:rPr>
        <w:t>《中华人民共和国生态环境法典》</w:t>
      </w:r>
      <w:r>
        <w:rPr>
          <w:rFonts w:hint="eastAsia" w:ascii="方正仿宋_GB2312" w:hAnsi="方正仿宋_GB2312" w:eastAsia="方正仿宋_GB2312" w:cs="方正仿宋_GB2312"/>
          <w:sz w:val="32"/>
          <w:szCs w:val="32"/>
        </w:rPr>
        <w:t>及有关法律、法规的规定，结合本市实际，制定本条例</w:t>
      </w:r>
      <w:r>
        <w:rPr>
          <w:rFonts w:hint="eastAsia" w:ascii="仿宋_GB2312" w:hAnsi="仿宋_GB2312" w:eastAsia="仿宋_GB2312" w:cs="仿宋_GB2312"/>
          <w:sz w:val="32"/>
          <w:szCs w:val="32"/>
        </w:rPr>
        <w:t>。</w:t>
      </w:r>
    </w:p>
    <w:p w14:paraId="4C75B09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第二条</w:t>
      </w:r>
      <w:r>
        <w:rPr>
          <w:rFonts w:hint="eastAsia" w:ascii="宋体" w:hAnsi="宋体" w:eastAsia="黑体" w:cs="黑体"/>
          <w:color w:val="000000"/>
          <w:kern w:val="0"/>
          <w:sz w:val="32"/>
          <w:szCs w:val="32"/>
          <w:lang w:eastAsia="zh-CN"/>
        </w:rPr>
        <w:t>【</w:t>
      </w:r>
      <w:r>
        <w:rPr>
          <w:rFonts w:hint="eastAsia" w:ascii="宋体" w:hAnsi="宋体" w:eastAsia="黑体" w:cs="黑体"/>
          <w:color w:val="000000"/>
          <w:kern w:val="0"/>
          <w:sz w:val="32"/>
          <w:szCs w:val="32"/>
          <w:lang w:val="en-US" w:eastAsia="zh-CN"/>
        </w:rPr>
        <w:t>适用范围</w:t>
      </w:r>
      <w:r>
        <w:rPr>
          <w:rFonts w:hint="eastAsia" w:ascii="宋体" w:hAnsi="宋体" w:eastAsia="黑体" w:cs="黑体"/>
          <w:color w:val="000000"/>
          <w:kern w:val="0"/>
          <w:sz w:val="32"/>
          <w:szCs w:val="32"/>
          <w:lang w:eastAsia="zh-CN"/>
        </w:rPr>
        <w:t>】</w:t>
      </w:r>
      <w:r>
        <w:rPr>
          <w:rFonts w:hint="eastAsia"/>
          <w:sz w:val="32"/>
          <w:szCs w:val="32"/>
        </w:rPr>
        <w:t xml:space="preserve">  </w:t>
      </w:r>
      <w:r>
        <w:rPr>
          <w:rFonts w:hint="eastAsia" w:ascii="仿宋_GB2312" w:hAnsi="仿宋_GB2312" w:eastAsia="仿宋_GB2312" w:cs="仿宋_GB2312"/>
          <w:sz w:val="32"/>
          <w:szCs w:val="32"/>
        </w:rPr>
        <w:t>本条例适用于两库饮用水水源保护区范围内的饮用水水源污染防治和管理。</w:t>
      </w:r>
    </w:p>
    <w:p w14:paraId="49B3B34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第三条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政府责任</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市人民政府应当将两库饮用水水源保护区内水污染防治工作纳入本市国民经济和社会发展计划，按流域区域明确责任，落实防治措施。</w:t>
      </w:r>
    </w:p>
    <w:p w14:paraId="5F2991E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rPr>
      </w:pPr>
      <w:r>
        <w:rPr>
          <w:rFonts w:hint="eastAsia" w:ascii="仿宋_GB2312" w:hAnsi="仿宋_GB2312" w:eastAsia="仿宋_GB2312" w:cs="仿宋_GB2312"/>
          <w:sz w:val="32"/>
          <w:szCs w:val="32"/>
        </w:rPr>
        <w:t>平山县、井陉县、灵寿县、鹿泉区、井陉矿区（以下简称有关县、区）人民政府应当按照国土空间规划和水污染防治的要求进行建设，不断改善生态环境，确保两库饮用水水质符合国家饮用水水源标准。</w:t>
      </w:r>
    </w:p>
    <w:p w14:paraId="5F0D231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第四条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政府职责</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市人民政府及有关县、区人民政府应当帮助因保护两库饮用水水源水质而关闭、停产（业）的企业，网箱养鱼户做好转产和人员的安置工作。</w:t>
      </w:r>
    </w:p>
    <w:p w14:paraId="47B07FF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五</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制度安排</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市人民政府实行水环境保护目标责任制和考核评价制度，将水环境保护目标完成情况作为对有关县、区人民政府及其负责人考核评价的内容。</w:t>
      </w:r>
    </w:p>
    <w:p w14:paraId="5CC25C6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六</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生态补偿</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市人民政府应当建立两库水源保护和库区生态建设补偿机制，具体办法由市人民政府制定。</w:t>
      </w:r>
    </w:p>
    <w:p w14:paraId="395FC9D2">
      <w:pPr>
        <w:keepNext w:val="0"/>
        <w:keepLines w:val="0"/>
        <w:pageBreakBefore w:val="0"/>
        <w:widowControl/>
        <w:kinsoku/>
        <w:wordWrap/>
        <w:overflowPunct/>
        <w:topLinePunct w:val="0"/>
        <w:autoSpaceDE/>
        <w:autoSpaceDN/>
        <w:bidi w:val="0"/>
        <w:adjustRightInd/>
        <w:snapToGrid/>
        <w:spacing w:before="0" w:beforeLines="0" w:line="560" w:lineRule="exact"/>
        <w:ind w:firstLine="640" w:firstLineChars="200"/>
        <w:jc w:val="both"/>
        <w:textAlignment w:val="auto"/>
        <w:rPr>
          <w:rFonts w:hint="eastAsia" w:ascii="方正仿宋_GB2312" w:hAnsi="方正仿宋_GB2312" w:eastAsia="方正仿宋_GB2312" w:cs="方正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七</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监管主体</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sz w:val="32"/>
          <w:szCs w:val="32"/>
        </w:rPr>
        <w:t>市人民政府生态环境主管部门对两库饮用水水源的污染防治工作实施统一监督管理。</w:t>
      </w:r>
    </w:p>
    <w:p w14:paraId="60397063">
      <w:pPr>
        <w:keepNext w:val="0"/>
        <w:keepLines w:val="0"/>
        <w:pageBreakBefore w:val="0"/>
        <w:widowControl/>
        <w:kinsoku/>
        <w:wordWrap/>
        <w:overflowPunct/>
        <w:topLinePunct w:val="0"/>
        <w:autoSpaceDE/>
        <w:autoSpaceDN/>
        <w:bidi w:val="0"/>
        <w:adjustRightInd/>
        <w:snapToGrid/>
        <w:spacing w:before="0" w:beforeLines="0" w:line="560" w:lineRule="exact"/>
        <w:ind w:firstLine="640" w:firstLineChars="200"/>
        <w:jc w:val="both"/>
        <w:textAlignment w:val="auto"/>
        <w:rPr>
          <w:rFonts w:hint="eastAsia" w:ascii="方正仿宋_GB2312" w:hAnsi="方正仿宋_GB2312" w:eastAsia="方正仿宋_GB2312" w:cs="方正仿宋_GB2312"/>
          <w:sz w:val="32"/>
          <w:szCs w:val="32"/>
        </w:rPr>
      </w:pPr>
      <w:r>
        <w:rPr>
          <w:rFonts w:hint="eastAsia" w:ascii="方正仿宋_GB2312" w:hAnsi="方正仿宋_GB2312" w:eastAsia="方正仿宋_GB2312" w:cs="方正仿宋_GB2312"/>
          <w:sz w:val="32"/>
          <w:szCs w:val="32"/>
        </w:rPr>
        <w:t>有关县、区人民政府生态环境主管部门负责辖区内本条例的实施工作。</w:t>
      </w:r>
    </w:p>
    <w:p w14:paraId="31DD79FE">
      <w:pPr>
        <w:keepNext w:val="0"/>
        <w:keepLines w:val="0"/>
        <w:pageBreakBefore w:val="0"/>
        <w:widowControl/>
        <w:kinsoku/>
        <w:wordWrap/>
        <w:overflowPunct/>
        <w:topLinePunct w:val="0"/>
        <w:autoSpaceDE/>
        <w:autoSpaceDN/>
        <w:bidi w:val="0"/>
        <w:adjustRightInd/>
        <w:snapToGrid/>
        <w:spacing w:before="0" w:beforeLines="0" w:line="560" w:lineRule="exact"/>
        <w:ind w:firstLine="640" w:firstLineChars="200"/>
        <w:jc w:val="both"/>
        <w:textAlignment w:val="auto"/>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rPr>
        <w:t>发展改革、自然资源、住房城乡建设</w:t>
      </w:r>
      <w:bookmarkStart w:id="0" w:name="_GoBack"/>
      <w:bookmarkEnd w:id="0"/>
      <w:r>
        <w:rPr>
          <w:rFonts w:hint="eastAsia" w:ascii="方正仿宋_GB2312" w:hAnsi="方正仿宋_GB2312" w:eastAsia="方正仿宋_GB2312" w:cs="方正仿宋_GB2312"/>
          <w:sz w:val="32"/>
          <w:szCs w:val="32"/>
        </w:rPr>
        <w:t>、水</w:t>
      </w:r>
      <w:r>
        <w:rPr>
          <w:rFonts w:hint="eastAsia" w:ascii="方正仿宋_GB2312" w:hAnsi="方正仿宋_GB2312" w:eastAsia="方正仿宋_GB2312" w:cs="方正仿宋_GB2312"/>
          <w:sz w:val="32"/>
          <w:szCs w:val="32"/>
          <w:lang w:val="en-US" w:eastAsia="zh-CN"/>
        </w:rPr>
        <w:t>行政</w:t>
      </w:r>
      <w:r>
        <w:rPr>
          <w:rFonts w:hint="eastAsia" w:ascii="方正仿宋_GB2312" w:hAnsi="方正仿宋_GB2312" w:eastAsia="方正仿宋_GB2312" w:cs="方正仿宋_GB2312"/>
          <w:sz w:val="32"/>
          <w:szCs w:val="32"/>
        </w:rPr>
        <w:t>、卫生健康、农业农村、林业、</w:t>
      </w:r>
      <w:r>
        <w:rPr>
          <w:rFonts w:hint="eastAsia" w:ascii="方正仿宋_GB2312" w:hAnsi="方正仿宋_GB2312" w:eastAsia="方正仿宋_GB2312" w:cs="方正仿宋_GB2312"/>
          <w:sz w:val="32"/>
          <w:szCs w:val="32"/>
          <w:lang w:val="en-US" w:eastAsia="zh-CN"/>
        </w:rPr>
        <w:t>城市管理</w:t>
      </w:r>
      <w:r>
        <w:rPr>
          <w:rFonts w:hint="eastAsia" w:ascii="方正仿宋_GB2312" w:hAnsi="方正仿宋_GB2312" w:eastAsia="方正仿宋_GB2312" w:cs="方正仿宋_GB2312"/>
          <w:sz w:val="32"/>
          <w:szCs w:val="32"/>
        </w:rPr>
        <w:t>等主管部门和公安机关</w:t>
      </w:r>
      <w:r>
        <w:rPr>
          <w:rFonts w:hint="eastAsia" w:ascii="方正仿宋_GB2312" w:hAnsi="方正仿宋_GB2312" w:eastAsia="方正仿宋_GB2312" w:cs="方正仿宋_GB2312"/>
          <w:sz w:val="32"/>
          <w:szCs w:val="32"/>
          <w:lang w:val="en-US" w:eastAsia="zh-CN"/>
        </w:rPr>
        <w:t>在各自职责范围内</w:t>
      </w:r>
      <w:r>
        <w:rPr>
          <w:rFonts w:hint="eastAsia" w:ascii="方正仿宋_GB2312" w:hAnsi="方正仿宋_GB2312" w:eastAsia="方正仿宋_GB2312" w:cs="方正仿宋_GB2312"/>
          <w:sz w:val="32"/>
          <w:szCs w:val="32"/>
        </w:rPr>
        <w:t>对两库饮用水水源污染防治</w:t>
      </w:r>
      <w:r>
        <w:rPr>
          <w:rFonts w:hint="eastAsia" w:ascii="方正仿宋_GB2312" w:hAnsi="方正仿宋_GB2312" w:eastAsia="方正仿宋_GB2312" w:cs="方正仿宋_GB2312"/>
          <w:sz w:val="32"/>
          <w:szCs w:val="32"/>
          <w:lang w:val="en-US" w:eastAsia="zh-CN"/>
        </w:rPr>
        <w:t>工作</w:t>
      </w:r>
      <w:r>
        <w:rPr>
          <w:rFonts w:hint="eastAsia" w:ascii="方正仿宋_GB2312" w:hAnsi="方正仿宋_GB2312" w:eastAsia="方正仿宋_GB2312" w:cs="方正仿宋_GB2312"/>
          <w:sz w:val="32"/>
          <w:szCs w:val="32"/>
        </w:rPr>
        <w:t>实施监督管理。</w:t>
      </w:r>
    </w:p>
    <w:p w14:paraId="050ED4D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八</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公众权利和义务</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任何单位和个人都有责任和义务保护两库饮用水水源，并有权对污染两库饮用水水质的行为进行制止、检举和控告。</w:t>
      </w:r>
    </w:p>
    <w:p w14:paraId="239A4D27">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仿宋_GB2312" w:hAnsi="仿宋_GB2312" w:eastAsia="仿宋_GB2312" w:cs="仿宋_GB2312"/>
          <w:sz w:val="32"/>
          <w:szCs w:val="32"/>
        </w:rPr>
        <w:t>县级以上人民政府对水源污染防治工作中做出突出贡献的个人和单位，应当按照国家和省有关规定给予表彰和奖励。</w:t>
      </w:r>
    </w:p>
    <w:p w14:paraId="2D02097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九</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保护区制度</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市人民政府应当建立两库饮用水水源保护区制度。两库饮用水水源保护区分为一、二级保护区，并在两库饮用水水源保护区的边界设立明确的地理界标和明显的警示标志。</w:t>
      </w:r>
    </w:p>
    <w:p w14:paraId="5CF2D2D0">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仿宋_GB2312" w:hAnsi="仿宋_GB2312" w:eastAsia="仿宋_GB2312" w:cs="仿宋_GB2312"/>
          <w:sz w:val="32"/>
          <w:szCs w:val="32"/>
        </w:rPr>
        <w:t>两库饮用水水源保护区范围以省人民政府批准的范围为准。</w:t>
      </w:r>
    </w:p>
    <w:p w14:paraId="3205BEF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十</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准保护区范围</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在两库饮用水水源二级保护区以外以地表分水岭为界，本市行政区域内黄壁庄水库上游滹沱河水系范围为准保护区。</w:t>
      </w:r>
    </w:p>
    <w:p w14:paraId="5A3BF60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十一</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水质标准</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两库</w:t>
      </w:r>
      <w:r>
        <w:rPr>
          <w:rFonts w:hint="eastAsia" w:ascii="仿宋_GB2312" w:hAnsi="仿宋_GB2312" w:eastAsia="仿宋_GB2312" w:cs="仿宋_GB2312"/>
          <w:sz w:val="32"/>
          <w:szCs w:val="32"/>
          <w:lang w:val="en-US" w:eastAsia="zh-CN"/>
        </w:rPr>
        <w:t>饮用水</w:t>
      </w:r>
      <w:r>
        <w:rPr>
          <w:rFonts w:hint="eastAsia" w:ascii="仿宋_GB2312" w:hAnsi="仿宋_GB2312" w:eastAsia="仿宋_GB2312" w:cs="仿宋_GB2312"/>
          <w:sz w:val="32"/>
          <w:szCs w:val="32"/>
        </w:rPr>
        <w:t>水</w:t>
      </w:r>
      <w:r>
        <w:rPr>
          <w:rFonts w:hint="eastAsia" w:ascii="方正仿宋_GB2312" w:hAnsi="方正仿宋_GB2312" w:eastAsia="方正仿宋_GB2312" w:cs="方正仿宋_GB2312"/>
          <w:b w:val="0"/>
          <w:bCs w:val="0"/>
          <w:sz w:val="32"/>
          <w:szCs w:val="32"/>
          <w:vertAlign w:val="baseline"/>
        </w:rPr>
        <w:t>源水质标准按国家地表水环境质量标准执行</w:t>
      </w:r>
      <w:r>
        <w:rPr>
          <w:rFonts w:hint="eastAsia" w:ascii="仿宋_GB2312" w:hAnsi="仿宋_GB2312" w:eastAsia="仿宋_GB2312" w:cs="仿宋_GB2312"/>
          <w:sz w:val="32"/>
          <w:szCs w:val="32"/>
        </w:rPr>
        <w:t>。</w:t>
      </w:r>
    </w:p>
    <w:p w14:paraId="4136E6C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黑体" w:hAnsi="黑体" w:eastAsia="黑体" w:cs="黑体"/>
          <w:sz w:val="32"/>
          <w:szCs w:val="32"/>
        </w:rPr>
        <w:t>第</w:t>
      </w:r>
      <w:r>
        <w:rPr>
          <w:rFonts w:hint="eastAsia" w:ascii="黑体" w:hAnsi="黑体" w:eastAsia="黑体" w:cs="黑体"/>
          <w:sz w:val="32"/>
          <w:szCs w:val="32"/>
          <w:lang w:eastAsia="zh-CN"/>
        </w:rPr>
        <w:t>十二</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一级保护区禁止行为</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一级保护区为非建设区和非旅游区，区域内禁止下列行为：</w:t>
      </w:r>
    </w:p>
    <w:p w14:paraId="4267666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（一）新建、改建、扩建与供水设施和保护水源无关的建设项目；</w:t>
      </w:r>
    </w:p>
    <w:p w14:paraId="71DB8B1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（二）直接或间接向水体排放污水、废液、倾倒垃圾、渣土和</w:t>
      </w:r>
      <w:r>
        <w:rPr>
          <w:rFonts w:hint="eastAsia" w:ascii="方正仿宋_GB2312" w:hAnsi="方正仿宋_GB2312" w:eastAsia="方正仿宋_GB2312" w:cs="方正仿宋_GB2312"/>
          <w:b w:val="0"/>
          <w:bCs w:val="0"/>
          <w:sz w:val="32"/>
          <w:szCs w:val="32"/>
          <w:vertAlign w:val="baseline"/>
          <w:lang w:val="en-US" w:eastAsia="zh-CN"/>
        </w:rPr>
        <w:t>其他</w:t>
      </w:r>
      <w:r>
        <w:rPr>
          <w:rFonts w:hint="eastAsia" w:ascii="方正仿宋_GB2312" w:hAnsi="方正仿宋_GB2312" w:eastAsia="方正仿宋_GB2312" w:cs="方正仿宋_GB2312"/>
          <w:b w:val="0"/>
          <w:bCs w:val="0"/>
          <w:sz w:val="32"/>
          <w:szCs w:val="32"/>
          <w:vertAlign w:val="baseline"/>
        </w:rPr>
        <w:t>固体废弃物；</w:t>
      </w:r>
    </w:p>
    <w:p w14:paraId="434B153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（三）进行水上训练以及</w:t>
      </w:r>
      <w:r>
        <w:rPr>
          <w:rFonts w:hint="eastAsia" w:ascii="方正仿宋_GB2312" w:hAnsi="方正仿宋_GB2312" w:eastAsia="方正仿宋_GB2312" w:cs="方正仿宋_GB2312"/>
          <w:b w:val="0"/>
          <w:bCs w:val="0"/>
          <w:sz w:val="32"/>
          <w:szCs w:val="32"/>
          <w:vertAlign w:val="baseline"/>
          <w:lang w:val="en-US" w:eastAsia="zh-CN"/>
        </w:rPr>
        <w:t>其他</w:t>
      </w:r>
      <w:r>
        <w:rPr>
          <w:rFonts w:hint="eastAsia" w:ascii="方正仿宋_GB2312" w:hAnsi="方正仿宋_GB2312" w:eastAsia="方正仿宋_GB2312" w:cs="方正仿宋_GB2312"/>
          <w:b w:val="0"/>
          <w:bCs w:val="0"/>
          <w:sz w:val="32"/>
          <w:szCs w:val="32"/>
          <w:vertAlign w:val="baseline"/>
        </w:rPr>
        <w:t>水上体育、娱乐活动；</w:t>
      </w:r>
    </w:p>
    <w:p w14:paraId="3DAE9C8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（四）洗刷车辆、衣物和</w:t>
      </w:r>
      <w:r>
        <w:rPr>
          <w:rFonts w:hint="eastAsia" w:ascii="方正仿宋_GB2312" w:hAnsi="方正仿宋_GB2312" w:eastAsia="方正仿宋_GB2312" w:cs="方正仿宋_GB2312"/>
          <w:b w:val="0"/>
          <w:bCs w:val="0"/>
          <w:sz w:val="32"/>
          <w:szCs w:val="32"/>
          <w:vertAlign w:val="baseline"/>
          <w:lang w:val="en-US" w:eastAsia="zh-CN"/>
        </w:rPr>
        <w:t>其他</w:t>
      </w:r>
      <w:r>
        <w:rPr>
          <w:rFonts w:hint="eastAsia" w:ascii="方正仿宋_GB2312" w:hAnsi="方正仿宋_GB2312" w:eastAsia="方正仿宋_GB2312" w:cs="方正仿宋_GB2312"/>
          <w:b w:val="0"/>
          <w:bCs w:val="0"/>
          <w:sz w:val="32"/>
          <w:szCs w:val="32"/>
          <w:vertAlign w:val="baseline"/>
        </w:rPr>
        <w:t>器具；</w:t>
      </w:r>
    </w:p>
    <w:p w14:paraId="4D367EC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（五）毒鱼、炸鱼、电鱼；</w:t>
      </w:r>
    </w:p>
    <w:p w14:paraId="2DB7EAC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（六）网箱养鱼及对水质有污染的养殖；</w:t>
      </w:r>
    </w:p>
    <w:p w14:paraId="1AA7F8B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（七）在滩地和岸坡堆放、贮存固体废弃物和</w:t>
      </w:r>
      <w:r>
        <w:rPr>
          <w:rFonts w:hint="eastAsia" w:ascii="方正仿宋_GB2312" w:hAnsi="方正仿宋_GB2312" w:eastAsia="方正仿宋_GB2312" w:cs="方正仿宋_GB2312"/>
          <w:b w:val="0"/>
          <w:bCs w:val="0"/>
          <w:sz w:val="32"/>
          <w:szCs w:val="32"/>
          <w:vertAlign w:val="baseline"/>
          <w:lang w:val="en-US" w:eastAsia="zh-CN"/>
        </w:rPr>
        <w:t>其他</w:t>
      </w:r>
      <w:r>
        <w:rPr>
          <w:rFonts w:hint="eastAsia" w:ascii="方正仿宋_GB2312" w:hAnsi="方正仿宋_GB2312" w:eastAsia="方正仿宋_GB2312" w:cs="方正仿宋_GB2312"/>
          <w:b w:val="0"/>
          <w:bCs w:val="0"/>
          <w:sz w:val="32"/>
          <w:szCs w:val="32"/>
          <w:vertAlign w:val="baseline"/>
        </w:rPr>
        <w:t>污染物；</w:t>
      </w:r>
    </w:p>
    <w:p w14:paraId="20336D2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（八）在滩地和岸坡进行露营、野炊等污染水质的旅游活动；</w:t>
      </w:r>
    </w:p>
    <w:p w14:paraId="1E46712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（九）在两库坝上设置商业网点；</w:t>
      </w:r>
    </w:p>
    <w:p w14:paraId="2A0BEF8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rPr>
      </w:pPr>
      <w:r>
        <w:rPr>
          <w:rFonts w:hint="eastAsia" w:ascii="方正仿宋_GB2312" w:hAnsi="方正仿宋_GB2312" w:eastAsia="方正仿宋_GB2312" w:cs="方正仿宋_GB2312"/>
          <w:b w:val="0"/>
          <w:bCs w:val="0"/>
          <w:sz w:val="32"/>
          <w:szCs w:val="32"/>
          <w:vertAlign w:val="baseline"/>
        </w:rPr>
        <w:t>（十）在水库滩地和岸坡设置禽、畜养殖场和屠宰场；</w:t>
      </w:r>
    </w:p>
    <w:p w14:paraId="589C287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方正仿宋_GB2312" w:hAnsi="方正仿宋_GB2312" w:eastAsia="方正仿宋_GB2312" w:cs="方正仿宋_GB2312"/>
          <w:b w:val="0"/>
          <w:bCs w:val="0"/>
          <w:sz w:val="32"/>
          <w:szCs w:val="32"/>
          <w:vertAlign w:val="baseline"/>
        </w:rPr>
        <w:t>（十一）</w:t>
      </w:r>
      <w:r>
        <w:rPr>
          <w:rFonts w:hint="eastAsia" w:ascii="方正仿宋_GB2312" w:hAnsi="方正仿宋_GB2312" w:eastAsia="方正仿宋_GB2312" w:cs="方正仿宋_GB2312"/>
          <w:b w:val="0"/>
          <w:bCs w:val="0"/>
          <w:sz w:val="32"/>
          <w:szCs w:val="32"/>
          <w:vertAlign w:val="baseline"/>
          <w:lang w:val="en-US" w:eastAsia="zh-CN"/>
        </w:rPr>
        <w:t>其他</w:t>
      </w:r>
      <w:r>
        <w:rPr>
          <w:rFonts w:hint="eastAsia" w:ascii="方正仿宋_GB2312" w:hAnsi="方正仿宋_GB2312" w:eastAsia="方正仿宋_GB2312" w:cs="方正仿宋_GB2312"/>
          <w:b w:val="0"/>
          <w:bCs w:val="0"/>
          <w:sz w:val="32"/>
          <w:szCs w:val="32"/>
          <w:vertAlign w:val="baseline"/>
        </w:rPr>
        <w:t>污染水源水质的行为。</w:t>
      </w:r>
    </w:p>
    <w:p w14:paraId="30977BF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十三</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二级保护区建设限制</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二级保护区内不得新建、改建、扩建排放污染物的建设项目；已建成的排放污染物的建设项目，由县级以上人民政府责令拆除或者关闭。</w:t>
      </w:r>
    </w:p>
    <w:p w14:paraId="15DA165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十四</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环评要求</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在两库饮用水水源二级保护区和准保护区内建设其他项目，建设单位应当向县级以上人民政府环境影响评价审批主管部门报送环境影响评价文件，未经批准的，不得兴建。</w:t>
      </w:r>
    </w:p>
    <w:p w14:paraId="63B48F4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default" w:ascii="仿宋_GB2312" w:hAnsi="仿宋_GB2312" w:eastAsia="仿宋_GB2312" w:cs="仿宋_GB2312"/>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十五</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准保护区建设限制</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lang w:val="en-US" w:eastAsia="zh-CN"/>
        </w:rPr>
        <w:t>禁止在两库饮用水水源准保护区内新建、扩建对水体污染严重的建设项目；改建建设项目，不得增加排污量。</w:t>
      </w:r>
    </w:p>
    <w:p w14:paraId="1DA320E0">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仿宋_GB2312" w:hAnsi="仿宋_GB2312" w:eastAsia="仿宋_GB2312" w:cs="仿宋_GB2312"/>
          <w:sz w:val="32"/>
          <w:szCs w:val="32"/>
        </w:rPr>
        <w:t>对准保护区内已经建成投产的有严重污染的建设项目，有关县、区人民政府应当制定计划，限期治理</w:t>
      </w:r>
      <w:r>
        <w:rPr>
          <w:rFonts w:hint="eastAsia" w:ascii="方正仿宋_GB2312" w:hAnsi="方正仿宋_GB2312" w:eastAsia="方正仿宋_GB2312" w:cs="方正仿宋_GB2312"/>
          <w:sz w:val="32"/>
          <w:szCs w:val="32"/>
        </w:rPr>
        <w:t>。到期达不到标准的，依法采取关闭、停业、转产、迁移的措施</w:t>
      </w:r>
      <w:r>
        <w:rPr>
          <w:rFonts w:hint="eastAsia" w:ascii="仿宋_GB2312" w:hAnsi="仿宋_GB2312" w:eastAsia="仿宋_GB2312" w:cs="仿宋_GB2312"/>
          <w:sz w:val="32"/>
          <w:szCs w:val="32"/>
        </w:rPr>
        <w:t>。</w:t>
      </w:r>
    </w:p>
    <w:p w14:paraId="6050EFA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十六</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准保护区排污规定</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仿宋_GB2312" w:hAnsi="仿宋_GB2312" w:eastAsia="仿宋_GB2312" w:cs="仿宋_GB2312"/>
          <w:sz w:val="32"/>
          <w:szCs w:val="32"/>
        </w:rPr>
        <w:t>两库饮用水水源准保护区范围内的单位和个人必须遵守下列规定：</w:t>
      </w:r>
    </w:p>
    <w:p w14:paraId="7F96B53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（一）污水排放应当按照国家水污染物排放标准执行；有地方水污染物排放标准的按照地方水污染物排放标准执行。</w:t>
      </w:r>
    </w:p>
    <w:p w14:paraId="6442218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（二）水污染防治设施应当正常运行，不得擅自停用、闲置或者拆除。未能正常运行的，应当及时采取有效措施，并向所在地人民政府生态环境主管部门报告。</w:t>
      </w:r>
    </w:p>
    <w:p w14:paraId="2CD591F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仿宋_GB2312" w:hAnsi="仿宋_GB2312" w:eastAsia="仿宋_GB2312" w:cs="仿宋_GB2312"/>
          <w:sz w:val="32"/>
          <w:szCs w:val="32"/>
        </w:rPr>
        <w:t>（三）因事故排放或者突发性事件造成水体污染时，排污单位必须立即采取应急措施，防止扩大污染，并向事故发生地的县级以上人民政府或者生态环境主管部门报告。</w:t>
      </w:r>
    </w:p>
    <w:p w14:paraId="1C1FFAA4">
      <w:pPr>
        <w:keepNext w:val="0"/>
        <w:keepLines w:val="0"/>
        <w:pageBreakBefore w:val="0"/>
        <w:widowControl/>
        <w:kinsoku/>
        <w:wordWrap/>
        <w:overflowPunct/>
        <w:topLinePunct w:val="0"/>
        <w:autoSpaceDE/>
        <w:autoSpaceDN/>
        <w:bidi w:val="0"/>
        <w:adjustRightInd/>
        <w:snapToGrid/>
        <w:spacing w:before="0" w:beforeLines="0" w:line="560" w:lineRule="exact"/>
        <w:ind w:firstLine="640" w:firstLineChars="200"/>
        <w:jc w:val="both"/>
        <w:textAlignment w:val="auto"/>
        <w:rPr>
          <w:rFonts w:hint="eastAsia" w:ascii="方正仿宋_GB2312" w:hAnsi="方正仿宋_GB2312" w:eastAsia="方正仿宋_GB2312" w:cs="方正仿宋_GB2312"/>
          <w:b w:val="0"/>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十七</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农林面源污染管控</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sz w:val="32"/>
          <w:szCs w:val="32"/>
        </w:rPr>
        <w:t>农业农村、林业、生态环境等有关部门，应当采取措施，科学指导农林生产者合理施用化肥、农药等，积极发展生态农业，改善环境，保护水源。</w:t>
      </w:r>
    </w:p>
    <w:p w14:paraId="7B332EFB">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方正仿宋_GB2312" w:hAnsi="方正仿宋_GB2312" w:eastAsia="方正仿宋_GB2312" w:cs="方正仿宋_GB2312"/>
          <w:sz w:val="32"/>
          <w:szCs w:val="32"/>
        </w:rPr>
        <w:t>农林生产中禁止施用剧毒、高残毒农药</w:t>
      </w:r>
      <w:r>
        <w:rPr>
          <w:rFonts w:hint="eastAsia" w:ascii="仿宋_GB2312" w:hAnsi="仿宋_GB2312" w:eastAsia="仿宋_GB2312" w:cs="仿宋_GB2312"/>
          <w:sz w:val="32"/>
          <w:szCs w:val="32"/>
        </w:rPr>
        <w:t>。</w:t>
      </w:r>
    </w:p>
    <w:p w14:paraId="3885CFF6">
      <w:pPr>
        <w:keepNext w:val="0"/>
        <w:keepLines w:val="0"/>
        <w:pageBreakBefore w:val="0"/>
        <w:widowControl/>
        <w:kinsoku/>
        <w:wordWrap/>
        <w:overflowPunct/>
        <w:topLinePunct w:val="0"/>
        <w:autoSpaceDE/>
        <w:autoSpaceDN/>
        <w:bidi w:val="0"/>
        <w:adjustRightInd/>
        <w:snapToGrid/>
        <w:spacing w:before="0" w:beforeLines="0" w:line="560" w:lineRule="exact"/>
        <w:ind w:firstLine="640" w:firstLineChars="200"/>
        <w:jc w:val="both"/>
        <w:textAlignment w:val="auto"/>
        <w:rPr>
          <w:rFonts w:hint="eastAsia" w:ascii="方正仿宋_GB2312" w:hAnsi="方正仿宋_GB2312" w:eastAsia="方正仿宋_GB2312" w:cs="方正仿宋_GB2312"/>
          <w:b w:val="0"/>
          <w:sz w:val="32"/>
          <w:szCs w:val="32"/>
          <w:highlight w:val="none"/>
        </w:rPr>
      </w:pPr>
      <w:r>
        <w:rPr>
          <w:rFonts w:hint="eastAsia" w:ascii="黑体" w:hAnsi="黑体" w:eastAsia="黑体" w:cs="黑体"/>
          <w:sz w:val="32"/>
          <w:szCs w:val="32"/>
        </w:rPr>
        <w:t>第</w:t>
      </w:r>
      <w:r>
        <w:rPr>
          <w:rFonts w:hint="eastAsia" w:ascii="黑体" w:hAnsi="黑体" w:eastAsia="黑体" w:cs="黑体"/>
          <w:sz w:val="32"/>
          <w:szCs w:val="32"/>
          <w:lang w:eastAsia="zh-CN"/>
        </w:rPr>
        <w:t>十八</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清洁生产审核</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sz w:val="32"/>
          <w:szCs w:val="32"/>
          <w:highlight w:val="none"/>
        </w:rPr>
        <w:t>在准保护区内的工业企业，由县级人民政府发展改革主管部门会同生态环境主管部门组织实施强制性清洁生产审核。</w:t>
      </w:r>
    </w:p>
    <w:p w14:paraId="1566506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方正仿宋_GB2312" w:hAnsi="方正仿宋_GB2312" w:eastAsia="方正仿宋_GB2312" w:cs="方正仿宋_GB2312"/>
          <w:sz w:val="32"/>
          <w:szCs w:val="32"/>
          <w:highlight w:val="none"/>
        </w:rPr>
        <w:t>在准保护区内已经建成的工业企业强制性清洁生产不合格的，由县级以上人民政府发展改革主管部门责令限期改正；逾期仍不合格的，由县级以上人民政府发展改革主管部门报经有批准权的人民政府批准，责令关闭或搬迁</w:t>
      </w:r>
      <w:r>
        <w:rPr>
          <w:rFonts w:hint="eastAsia" w:ascii="仿宋_GB2312" w:hAnsi="仿宋_GB2312" w:eastAsia="仿宋_GB2312" w:cs="仿宋_GB2312"/>
          <w:sz w:val="32"/>
          <w:szCs w:val="32"/>
        </w:rPr>
        <w:t>。</w:t>
      </w:r>
    </w:p>
    <w:p w14:paraId="1B4D906C">
      <w:pPr>
        <w:keepNext w:val="0"/>
        <w:keepLines w:val="0"/>
        <w:pageBreakBefore w:val="0"/>
        <w:widowControl/>
        <w:kinsoku/>
        <w:wordWrap/>
        <w:overflowPunct/>
        <w:topLinePunct w:val="0"/>
        <w:autoSpaceDE/>
        <w:autoSpaceDN/>
        <w:bidi w:val="0"/>
        <w:adjustRightInd/>
        <w:snapToGrid/>
        <w:spacing w:before="0" w:beforeLines="0" w:line="560" w:lineRule="exact"/>
        <w:ind w:firstLine="640" w:firstLineChars="200"/>
        <w:jc w:val="both"/>
        <w:textAlignment w:val="auto"/>
        <w:rPr>
          <w:rFonts w:hint="eastAsia" w:ascii="方正仿宋_GB2312" w:hAnsi="方正仿宋_GB2312" w:eastAsia="方正仿宋_GB2312" w:cs="方正仿宋_GB2312"/>
          <w:b w:val="0"/>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十九</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生态保护</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sz w:val="32"/>
          <w:szCs w:val="32"/>
        </w:rPr>
        <w:t>市人民政府及有关县、区人民政府应当在准保护区内采取工程措施或者建造湿地、水源涵养林等生态保护措施，防止水污染物直接排入饮用水水体。</w:t>
      </w:r>
    </w:p>
    <w:p w14:paraId="422A8151">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方正仿宋_GB2312" w:hAnsi="方正仿宋_GB2312" w:eastAsia="方正仿宋_GB2312" w:cs="方正仿宋_GB2312"/>
          <w:sz w:val="32"/>
          <w:szCs w:val="32"/>
        </w:rPr>
        <w:t>任何单位和个人不得随意砍伐或毁坏林木、植被和湿地</w:t>
      </w:r>
      <w:r>
        <w:rPr>
          <w:rFonts w:hint="eastAsia" w:ascii="仿宋_GB2312" w:hAnsi="仿宋_GB2312" w:eastAsia="仿宋_GB2312" w:cs="仿宋_GB2312"/>
          <w:sz w:val="32"/>
          <w:szCs w:val="32"/>
        </w:rPr>
        <w:t>。</w:t>
      </w:r>
    </w:p>
    <w:p w14:paraId="28110EBF">
      <w:pPr>
        <w:keepNext w:val="0"/>
        <w:keepLines w:val="0"/>
        <w:pageBreakBefore w:val="0"/>
        <w:widowControl w:val="0"/>
        <w:kinsoku/>
        <w:wordWrap/>
        <w:overflowPunct/>
        <w:topLinePunct w:val="0"/>
        <w:autoSpaceDE/>
        <w:autoSpaceDN/>
        <w:bidi w:val="0"/>
        <w:adjustRightInd/>
        <w:snapToGrid/>
        <w:spacing w:beforeLines="0" w:line="560" w:lineRule="exact"/>
        <w:ind w:firstLine="640" w:firstLineChars="200"/>
        <w:jc w:val="both"/>
        <w:textAlignment w:val="auto"/>
        <w:rPr>
          <w:rFonts w:hint="eastAsia" w:ascii="方正仿宋_GB2312" w:hAnsi="方正仿宋_GB2312" w:eastAsia="方正仿宋_GB2312" w:cs="方正仿宋_GB2312"/>
          <w:b w:val="0"/>
          <w:bCs w:val="0"/>
          <w:sz w:val="32"/>
          <w:szCs w:val="32"/>
          <w:vertAlign w:val="baseline"/>
        </w:rPr>
      </w:pPr>
      <w:r>
        <w:rPr>
          <w:rFonts w:hint="eastAsia" w:ascii="黑体" w:hAnsi="黑体" w:eastAsia="黑体" w:cs="黑体"/>
          <w:sz w:val="32"/>
          <w:szCs w:val="32"/>
        </w:rPr>
        <w:t>第</w:t>
      </w:r>
      <w:r>
        <w:rPr>
          <w:rFonts w:hint="eastAsia" w:ascii="黑体" w:hAnsi="黑体" w:eastAsia="黑体" w:cs="黑体"/>
          <w:sz w:val="32"/>
          <w:szCs w:val="32"/>
          <w:lang w:eastAsia="zh-CN"/>
        </w:rPr>
        <w:t>二十</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总量与浓度控制</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各级人民政府生态环境主管部门应当采取措施减少污染物的排放，对已有的污染源实行总量和浓度控制，定期监测，及时报告。</w:t>
      </w:r>
    </w:p>
    <w:p w14:paraId="349B031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lang w:val="en-US" w:eastAsia="zh-CN"/>
        </w:rPr>
      </w:pPr>
      <w:r>
        <w:rPr>
          <w:rFonts w:hint="eastAsia" w:ascii="方正仿宋_GB2312" w:hAnsi="方正仿宋_GB2312" w:eastAsia="方正仿宋_GB2312" w:cs="方正仿宋_GB2312"/>
          <w:b w:val="0"/>
          <w:bCs w:val="0"/>
          <w:sz w:val="32"/>
          <w:szCs w:val="32"/>
          <w:vertAlign w:val="baseline"/>
        </w:rPr>
        <w:t>饮用水水源受到污染可能威胁供水安全的，生态环境主管部门应当责令有关企业事业单位和其他生产经营者采取停止排放水污染物等措施，并通报饮用水供水单位和供水、卫生健康、水行政等有关部门；跨行政区域的，还应当通报有关地方人民政府。</w:t>
      </w:r>
    </w:p>
    <w:p w14:paraId="38CA557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二十一</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违规建设罚款</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违反本条例第十二条第一项、第十三条</w:t>
      </w:r>
      <w:r>
        <w:rPr>
          <w:rFonts w:hint="eastAsia" w:ascii="方正仿宋_GB2312" w:hAnsi="方正仿宋_GB2312" w:eastAsia="方正仿宋_GB2312" w:cs="方正仿宋_GB2312"/>
          <w:b w:val="0"/>
          <w:bCs w:val="0"/>
          <w:sz w:val="32"/>
          <w:szCs w:val="32"/>
          <w:vertAlign w:val="baseline"/>
          <w:lang w:eastAsia="zh-CN"/>
        </w:rPr>
        <w:t>、</w:t>
      </w:r>
      <w:r>
        <w:rPr>
          <w:rFonts w:hint="eastAsia" w:ascii="方正仿宋_GB2312" w:hAnsi="方正仿宋_GB2312" w:eastAsia="方正仿宋_GB2312" w:cs="方正仿宋_GB2312"/>
          <w:b w:val="0"/>
          <w:bCs w:val="0"/>
          <w:sz w:val="32"/>
          <w:szCs w:val="32"/>
          <w:vertAlign w:val="baseline"/>
          <w:lang w:val="en-US" w:eastAsia="zh-CN"/>
        </w:rPr>
        <w:t>第十五条第一款</w:t>
      </w:r>
      <w:r>
        <w:rPr>
          <w:rFonts w:hint="eastAsia" w:ascii="方正仿宋_GB2312" w:hAnsi="方正仿宋_GB2312" w:eastAsia="方正仿宋_GB2312" w:cs="方正仿宋_GB2312"/>
          <w:b w:val="0"/>
          <w:bCs w:val="0"/>
          <w:sz w:val="32"/>
          <w:szCs w:val="32"/>
          <w:vertAlign w:val="baseline"/>
        </w:rPr>
        <w:t>规定开工建设的，由县级以上人民政府生态环境主管部门责令停止违法行为，处十万元以上五十万元以下的罚款</w:t>
      </w:r>
      <w:r>
        <w:rPr>
          <w:rFonts w:hint="eastAsia" w:ascii="方正仿宋_GB2312" w:hAnsi="方正仿宋_GB2312" w:eastAsia="方正仿宋_GB2312" w:cs="方正仿宋_GB2312"/>
          <w:b w:val="0"/>
          <w:bCs w:val="0"/>
          <w:sz w:val="32"/>
          <w:szCs w:val="32"/>
          <w:vertAlign w:val="baseline"/>
          <w:lang w:eastAsia="zh-CN"/>
        </w:rPr>
        <w:t>，</w:t>
      </w:r>
      <w:r>
        <w:rPr>
          <w:rFonts w:hint="eastAsia" w:ascii="方正仿宋_GB2312" w:hAnsi="方正仿宋_GB2312" w:eastAsia="方正仿宋_GB2312" w:cs="方正仿宋_GB2312"/>
          <w:b w:val="0"/>
          <w:bCs w:val="0"/>
          <w:sz w:val="32"/>
          <w:szCs w:val="32"/>
          <w:vertAlign w:val="baseline"/>
        </w:rPr>
        <w:t>并报经有批准权的人民政府批准，责令拆除或者关闭。</w:t>
      </w:r>
    </w:p>
    <w:p w14:paraId="03998FF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二十二</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一般违法行为处罚</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违反本条例第十二条第二项至第十一项规定之一的，按照</w:t>
      </w:r>
      <w:r>
        <w:rPr>
          <w:rFonts w:hint="eastAsia" w:ascii="方正仿宋_GB2312" w:hAnsi="方正仿宋_GB2312" w:eastAsia="方正仿宋_GB2312" w:cs="方正仿宋_GB2312"/>
          <w:b w:val="0"/>
          <w:bCs w:val="0"/>
          <w:sz w:val="32"/>
          <w:szCs w:val="32"/>
          <w:vertAlign w:val="baseline"/>
          <w:lang w:eastAsia="zh-CN"/>
        </w:rPr>
        <w:t>《</w:t>
      </w:r>
      <w:r>
        <w:rPr>
          <w:rFonts w:hint="eastAsia" w:ascii="方正仿宋_GB2312" w:hAnsi="方正仿宋_GB2312" w:eastAsia="方正仿宋_GB2312" w:cs="方正仿宋_GB2312"/>
          <w:b w:val="0"/>
          <w:bCs w:val="0"/>
          <w:sz w:val="32"/>
          <w:szCs w:val="32"/>
          <w:vertAlign w:val="baseline"/>
          <w:lang w:val="en-US" w:eastAsia="zh-CN"/>
        </w:rPr>
        <w:t>中华人民共和国生态环境法典》</w:t>
      </w:r>
      <w:r>
        <w:rPr>
          <w:rFonts w:hint="eastAsia" w:ascii="方正仿宋_GB2312" w:hAnsi="方正仿宋_GB2312" w:eastAsia="方正仿宋_GB2312" w:cs="方正仿宋_GB2312"/>
          <w:b w:val="0"/>
          <w:bCs w:val="0"/>
          <w:sz w:val="32"/>
          <w:szCs w:val="32"/>
          <w:vertAlign w:val="baseline"/>
        </w:rPr>
        <w:t>的相关规定予以处罚</w:t>
      </w:r>
      <w:r>
        <w:rPr>
          <w:rFonts w:hint="eastAsia" w:ascii="仿宋_GB2312" w:hAnsi="仿宋_GB2312" w:eastAsia="仿宋_GB2312" w:cs="仿宋_GB2312"/>
          <w:sz w:val="32"/>
          <w:szCs w:val="32"/>
        </w:rPr>
        <w:t>。</w:t>
      </w:r>
    </w:p>
    <w:p w14:paraId="2FAB559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二十三</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超标排放处罚</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sz w:val="32"/>
          <w:szCs w:val="32"/>
        </w:rPr>
        <w:t>违反本条例第十六条第一项规定，排放水污染物超过国家或者地方水污染物排放标准，或者超过重点水污染物排放总量控制指标的，由县级以上人民政府生态环境主管部门责令改正或者责令限制生产、停产整治，并处二十万元以上一百万元以下的罚款；情节严重的，报经有批准权的人民政府批准，责令停业、关闭</w:t>
      </w:r>
      <w:r>
        <w:rPr>
          <w:rFonts w:hint="eastAsia" w:ascii="仿宋_GB2312" w:hAnsi="仿宋_GB2312" w:eastAsia="仿宋_GB2312" w:cs="仿宋_GB2312"/>
          <w:sz w:val="32"/>
          <w:szCs w:val="32"/>
        </w:rPr>
        <w:t>。</w:t>
      </w:r>
    </w:p>
    <w:p w14:paraId="41BD3EA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二十四</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逃避监管排污处罚</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利用不正常运行水污染防治设施等逃避监管的方式排放水污染物的，由县级以上人民政府生态环境主管部门责令改正或者责令限制生产、停产整治，处</w:t>
      </w:r>
      <w:r>
        <w:rPr>
          <w:rFonts w:hint="eastAsia" w:ascii="方正仿宋_GB2312" w:hAnsi="方正仿宋_GB2312" w:eastAsia="方正仿宋_GB2312" w:cs="方正仿宋_GB2312"/>
          <w:b w:val="0"/>
          <w:bCs w:val="0"/>
          <w:sz w:val="32"/>
          <w:szCs w:val="32"/>
          <w:highlight w:val="none"/>
          <w:vertAlign w:val="baseline"/>
        </w:rPr>
        <w:t>二十万元</w:t>
      </w:r>
      <w:r>
        <w:rPr>
          <w:rFonts w:hint="eastAsia" w:ascii="方正仿宋_GB2312" w:hAnsi="方正仿宋_GB2312" w:eastAsia="方正仿宋_GB2312" w:cs="方正仿宋_GB2312"/>
          <w:b w:val="0"/>
          <w:bCs w:val="0"/>
          <w:sz w:val="32"/>
          <w:szCs w:val="32"/>
          <w:vertAlign w:val="baseline"/>
        </w:rPr>
        <w:t>以上一百万元以下的罚款</w:t>
      </w:r>
      <w:r>
        <w:rPr>
          <w:rFonts w:hint="eastAsia" w:ascii="方正仿宋_GB2312" w:hAnsi="方正仿宋_GB2312" w:eastAsia="方正仿宋_GB2312" w:cs="方正仿宋_GB2312"/>
          <w:b w:val="0"/>
          <w:bCs w:val="0"/>
          <w:sz w:val="32"/>
          <w:szCs w:val="32"/>
          <w:vertAlign w:val="baseline"/>
          <w:lang w:eastAsia="zh-CN"/>
        </w:rPr>
        <w:t>，</w:t>
      </w:r>
      <w:r>
        <w:rPr>
          <w:rFonts w:hint="eastAsia" w:ascii="方正仿宋_GB2312" w:hAnsi="方正仿宋_GB2312" w:eastAsia="方正仿宋_GB2312" w:cs="方正仿宋_GB2312"/>
          <w:b w:val="0"/>
          <w:bCs w:val="0"/>
          <w:sz w:val="32"/>
          <w:szCs w:val="32"/>
          <w:vertAlign w:val="baseline"/>
        </w:rPr>
        <w:t>并将案件移送公安机关；情节严重的，吊销排污许可证，报经有批准权的人民政府批准，责令停业、关闭</w:t>
      </w:r>
      <w:r>
        <w:rPr>
          <w:rFonts w:hint="eastAsia" w:ascii="仿宋_GB2312" w:hAnsi="仿宋_GB2312" w:eastAsia="仿宋_GB2312" w:cs="仿宋_GB2312"/>
          <w:sz w:val="32"/>
          <w:szCs w:val="32"/>
        </w:rPr>
        <w:t>。</w:t>
      </w:r>
    </w:p>
    <w:p w14:paraId="5508203E">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二十五</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移送处理</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负有生态环境保护监督管理职责的部门、机构，以及人民法院、人民检察院</w:t>
      </w:r>
      <w:r>
        <w:rPr>
          <w:rFonts w:hint="eastAsia" w:ascii="方正仿宋_GB2312" w:hAnsi="方正仿宋_GB2312" w:eastAsia="方正仿宋_GB2312" w:cs="方正仿宋_GB2312"/>
          <w:b w:val="0"/>
          <w:bCs w:val="0"/>
          <w:sz w:val="32"/>
          <w:szCs w:val="32"/>
          <w:vertAlign w:val="baseline"/>
          <w:lang w:val="en-US" w:eastAsia="zh-CN"/>
        </w:rPr>
        <w:t>在依法</w:t>
      </w:r>
      <w:r>
        <w:rPr>
          <w:rFonts w:hint="eastAsia" w:ascii="方正仿宋_GB2312" w:hAnsi="方正仿宋_GB2312" w:eastAsia="方正仿宋_GB2312" w:cs="方正仿宋_GB2312"/>
          <w:b w:val="0"/>
          <w:bCs w:val="0"/>
          <w:sz w:val="32"/>
          <w:szCs w:val="32"/>
          <w:vertAlign w:val="baseline"/>
        </w:rPr>
        <w:t>查处</w:t>
      </w:r>
      <w:r>
        <w:rPr>
          <w:rFonts w:hint="eastAsia" w:ascii="方正仿宋_GB2312" w:hAnsi="方正仿宋_GB2312" w:eastAsia="方正仿宋_GB2312" w:cs="方正仿宋_GB2312"/>
          <w:b w:val="0"/>
          <w:bCs w:val="0"/>
          <w:sz w:val="32"/>
          <w:szCs w:val="32"/>
          <w:vertAlign w:val="baseline"/>
          <w:lang w:val="en-US" w:eastAsia="zh-CN"/>
        </w:rPr>
        <w:t>生态环境</w:t>
      </w:r>
      <w:r>
        <w:rPr>
          <w:rFonts w:hint="eastAsia" w:ascii="方正仿宋_GB2312" w:hAnsi="方正仿宋_GB2312" w:eastAsia="方正仿宋_GB2312" w:cs="方正仿宋_GB2312"/>
          <w:b w:val="0"/>
          <w:bCs w:val="0"/>
          <w:sz w:val="32"/>
          <w:szCs w:val="32"/>
          <w:vertAlign w:val="baseline"/>
        </w:rPr>
        <w:t>违法行为</w:t>
      </w:r>
      <w:r>
        <w:rPr>
          <w:rFonts w:hint="eastAsia" w:ascii="方正仿宋_GB2312" w:hAnsi="方正仿宋_GB2312" w:eastAsia="方正仿宋_GB2312" w:cs="方正仿宋_GB2312"/>
          <w:b w:val="0"/>
          <w:bCs w:val="0"/>
          <w:sz w:val="32"/>
          <w:szCs w:val="32"/>
          <w:vertAlign w:val="baseline"/>
          <w:lang w:val="en-US" w:eastAsia="zh-CN"/>
        </w:rPr>
        <w:t>或者办理相关案件过程中</w:t>
      </w:r>
      <w:r>
        <w:rPr>
          <w:rFonts w:hint="eastAsia" w:ascii="方正仿宋_GB2312" w:hAnsi="方正仿宋_GB2312" w:eastAsia="方正仿宋_GB2312" w:cs="方正仿宋_GB2312"/>
          <w:b w:val="0"/>
          <w:bCs w:val="0"/>
          <w:sz w:val="32"/>
          <w:szCs w:val="32"/>
          <w:vertAlign w:val="baseline"/>
        </w:rPr>
        <w:t>，发现涉嫌犯罪的，</w:t>
      </w:r>
      <w:r>
        <w:rPr>
          <w:rFonts w:hint="eastAsia" w:ascii="方正仿宋_GB2312" w:hAnsi="方正仿宋_GB2312" w:eastAsia="方正仿宋_GB2312" w:cs="方正仿宋_GB2312"/>
          <w:b w:val="0"/>
          <w:bCs w:val="0"/>
          <w:sz w:val="32"/>
          <w:szCs w:val="32"/>
          <w:vertAlign w:val="baseline"/>
          <w:lang w:val="en-US" w:eastAsia="zh-CN"/>
        </w:rPr>
        <w:t>应当</w:t>
      </w:r>
      <w:r>
        <w:rPr>
          <w:rFonts w:hint="eastAsia" w:ascii="方正仿宋_GB2312" w:hAnsi="方正仿宋_GB2312" w:eastAsia="方正仿宋_GB2312" w:cs="方正仿宋_GB2312"/>
          <w:b w:val="0"/>
          <w:bCs w:val="0"/>
          <w:sz w:val="32"/>
          <w:szCs w:val="32"/>
          <w:vertAlign w:val="baseline"/>
        </w:rPr>
        <w:t>向公安机关或检察机关移送。</w:t>
      </w:r>
      <w:r>
        <w:rPr>
          <w:rFonts w:hint="eastAsia" w:ascii="方正仿宋_GB2312" w:hAnsi="方正仿宋_GB2312" w:eastAsia="方正仿宋_GB2312" w:cs="方正仿宋_GB2312"/>
          <w:b w:val="0"/>
          <w:bCs w:val="0"/>
          <w:sz w:val="32"/>
          <w:szCs w:val="32"/>
          <w:highlight w:val="none"/>
          <w:vertAlign w:val="baseline"/>
        </w:rPr>
        <w:t>公安机关或检察机关应当对生态环境主管部门移送的案件进行审查，作出立案或不予立案决定</w:t>
      </w:r>
      <w:r>
        <w:rPr>
          <w:rFonts w:hint="eastAsia" w:ascii="仿宋_GB2312" w:hAnsi="仿宋_GB2312" w:eastAsia="仿宋_GB2312" w:cs="仿宋_GB2312"/>
          <w:sz w:val="32"/>
          <w:szCs w:val="32"/>
        </w:rPr>
        <w:t>。</w:t>
      </w:r>
    </w:p>
    <w:p w14:paraId="06BC1128">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方正仿宋_GB2312" w:hAnsi="方正仿宋_GB2312" w:eastAsia="方正仿宋_GB2312" w:cs="方正仿宋_GB2312"/>
          <w:b w:val="0"/>
          <w:bCs w:val="0"/>
          <w:sz w:val="32"/>
          <w:szCs w:val="32"/>
          <w:vertAlign w:val="baseline"/>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二十六</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不采取应急措施处罚</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违反本条例第十六条第三项规定不立即采取应急措施的，由生态环境主管部门责令改正；情节严重的，处二十万元以上二百万元</w:t>
      </w:r>
      <w:r>
        <w:rPr>
          <w:rFonts w:hint="eastAsia" w:ascii="方正仿宋_GB2312" w:hAnsi="方正仿宋_GB2312" w:eastAsia="方正仿宋_GB2312" w:cs="方正仿宋_GB2312"/>
          <w:b w:val="0"/>
          <w:bCs w:val="0"/>
          <w:sz w:val="32"/>
          <w:szCs w:val="32"/>
          <w:vertAlign w:val="baseline"/>
          <w:lang w:val="en-US" w:eastAsia="zh-CN"/>
        </w:rPr>
        <w:t>以下</w:t>
      </w:r>
      <w:r>
        <w:rPr>
          <w:rFonts w:hint="eastAsia" w:ascii="方正仿宋_GB2312" w:hAnsi="方正仿宋_GB2312" w:eastAsia="方正仿宋_GB2312" w:cs="方正仿宋_GB2312"/>
          <w:b w:val="0"/>
          <w:bCs w:val="0"/>
          <w:sz w:val="32"/>
          <w:szCs w:val="32"/>
          <w:vertAlign w:val="baseline"/>
        </w:rPr>
        <w:t>的罚款。</w:t>
      </w:r>
    </w:p>
    <w:p w14:paraId="04D216E2">
      <w:pPr>
        <w:keepNext w:val="0"/>
        <w:keepLines w:val="0"/>
        <w:pageBreakBefore w:val="0"/>
        <w:widowControl/>
        <w:kinsoku/>
        <w:wordWrap/>
        <w:overflowPunct/>
        <w:topLinePunct w:val="0"/>
        <w:autoSpaceDE/>
        <w:autoSpaceDN/>
        <w:bidi w:val="0"/>
        <w:adjustRightInd/>
        <w:snapToGrid/>
        <w:spacing w:before="0" w:beforeLines="0" w:line="560" w:lineRule="exact"/>
        <w:ind w:firstLine="640" w:firstLineChars="200"/>
        <w:jc w:val="both"/>
        <w:textAlignment w:val="auto"/>
        <w:rPr>
          <w:rFonts w:hint="eastAsia" w:ascii="方正仿宋_GB2312" w:hAnsi="方正仿宋_GB2312" w:eastAsia="方正仿宋_GB2312" w:cs="方正仿宋_GB2312"/>
          <w:b w:val="0"/>
          <w:sz w:val="32"/>
          <w:szCs w:val="32"/>
        </w:rPr>
      </w:pPr>
      <w:r>
        <w:rPr>
          <w:rFonts w:hint="eastAsia" w:ascii="黑体" w:hAnsi="黑体" w:eastAsia="黑体" w:cs="黑体"/>
          <w:sz w:val="32"/>
          <w:szCs w:val="32"/>
        </w:rPr>
        <w:t>第</w:t>
      </w:r>
      <w:r>
        <w:rPr>
          <w:rFonts w:hint="eastAsia" w:ascii="黑体" w:hAnsi="黑体" w:eastAsia="黑体" w:cs="黑体"/>
          <w:sz w:val="32"/>
          <w:szCs w:val="32"/>
          <w:lang w:eastAsia="zh-CN"/>
        </w:rPr>
        <w:t>二十七</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行政复议与诉讼</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sz w:val="32"/>
          <w:szCs w:val="32"/>
        </w:rPr>
        <w:t>当事人对行政处罚决定不服的，可以依法申请行政复议或者提起行政诉讼。</w:t>
      </w:r>
    </w:p>
    <w:p w14:paraId="46433B1D">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方正仿宋_GB2312" w:hAnsi="方正仿宋_GB2312" w:eastAsia="方正仿宋_GB2312" w:cs="方正仿宋_GB2312"/>
          <w:sz w:val="32"/>
          <w:szCs w:val="32"/>
        </w:rPr>
        <w:t>当事人在法定期限内不申请行政复议或者提起行政诉讼，又不履行行政决定的，没有行政强制执行权的行政机关可以自期限届满之日起三个月内，依法申请人民法院强制执行</w:t>
      </w:r>
      <w:r>
        <w:rPr>
          <w:rFonts w:hint="eastAsia" w:ascii="仿宋_GB2312" w:hAnsi="仿宋_GB2312" w:eastAsia="仿宋_GB2312" w:cs="仿宋_GB2312"/>
          <w:sz w:val="32"/>
          <w:szCs w:val="32"/>
        </w:rPr>
        <w:t>。</w:t>
      </w:r>
    </w:p>
    <w:p w14:paraId="38048A2A">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二十八</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渎职处分</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b w:val="0"/>
          <w:bCs w:val="0"/>
          <w:sz w:val="32"/>
          <w:szCs w:val="32"/>
          <w:vertAlign w:val="baseline"/>
        </w:rPr>
        <w:t>环境保护监督管理人员和其他有关国家工作人员</w:t>
      </w:r>
      <w:r>
        <w:rPr>
          <w:rFonts w:hint="eastAsia" w:ascii="方正仿宋_GB2312" w:hAnsi="方正仿宋_GB2312" w:eastAsia="方正仿宋_GB2312" w:cs="方正仿宋_GB2312"/>
          <w:b w:val="0"/>
          <w:bCs w:val="0"/>
          <w:sz w:val="32"/>
          <w:szCs w:val="32"/>
          <w:vertAlign w:val="baseline"/>
          <w:lang w:val="en-US" w:eastAsia="zh-CN"/>
        </w:rPr>
        <w:t>存在</w:t>
      </w:r>
      <w:r>
        <w:rPr>
          <w:rFonts w:hint="eastAsia" w:ascii="方正仿宋_GB2312" w:hAnsi="方正仿宋_GB2312" w:eastAsia="方正仿宋_GB2312" w:cs="方正仿宋_GB2312"/>
          <w:b w:val="0"/>
          <w:bCs w:val="0"/>
          <w:sz w:val="32"/>
          <w:szCs w:val="32"/>
          <w:vertAlign w:val="baseline"/>
        </w:rPr>
        <w:t>滥用职权、玩忽职守、徇私舞弊</w:t>
      </w:r>
      <w:r>
        <w:rPr>
          <w:rFonts w:hint="eastAsia" w:ascii="方正仿宋_GB2312" w:hAnsi="方正仿宋_GB2312" w:eastAsia="方正仿宋_GB2312" w:cs="方正仿宋_GB2312"/>
          <w:b w:val="0"/>
          <w:bCs w:val="0"/>
          <w:sz w:val="32"/>
          <w:szCs w:val="32"/>
          <w:vertAlign w:val="baseline"/>
          <w:lang w:val="en-US" w:eastAsia="zh-CN"/>
        </w:rPr>
        <w:t>等违法行为</w:t>
      </w:r>
      <w:r>
        <w:rPr>
          <w:rFonts w:hint="eastAsia" w:ascii="方正仿宋_GB2312" w:hAnsi="方正仿宋_GB2312" w:eastAsia="方正仿宋_GB2312" w:cs="方正仿宋_GB2312"/>
          <w:b w:val="0"/>
          <w:bCs w:val="0"/>
          <w:sz w:val="32"/>
          <w:szCs w:val="32"/>
          <w:vertAlign w:val="baseline"/>
        </w:rPr>
        <w:t>，依法应当给予处分的，应当移送其任免机关、单位或者监察机关依法处理</w:t>
      </w:r>
      <w:r>
        <w:rPr>
          <w:rFonts w:hint="eastAsia" w:ascii="方正仿宋_GB2312" w:hAnsi="方正仿宋_GB2312" w:eastAsia="方正仿宋_GB2312" w:cs="方正仿宋_GB2312"/>
          <w:b w:val="0"/>
          <w:bCs w:val="0"/>
          <w:sz w:val="32"/>
          <w:szCs w:val="32"/>
          <w:vertAlign w:val="baseline"/>
          <w:lang w:eastAsia="zh-CN"/>
        </w:rPr>
        <w:t>；</w:t>
      </w:r>
      <w:r>
        <w:rPr>
          <w:rFonts w:hint="eastAsia" w:ascii="方正仿宋_GB2312" w:hAnsi="方正仿宋_GB2312" w:eastAsia="方正仿宋_GB2312" w:cs="方正仿宋_GB2312"/>
          <w:b w:val="0"/>
          <w:bCs w:val="0"/>
          <w:sz w:val="32"/>
          <w:szCs w:val="32"/>
          <w:vertAlign w:val="baseline"/>
        </w:rPr>
        <w:t>构成犯罪的，由司法机关依法追究刑事责任</w:t>
      </w:r>
      <w:r>
        <w:rPr>
          <w:rFonts w:hint="eastAsia" w:ascii="仿宋_GB2312" w:hAnsi="仿宋_GB2312" w:eastAsia="仿宋_GB2312" w:cs="仿宋_GB2312"/>
          <w:sz w:val="32"/>
          <w:szCs w:val="32"/>
        </w:rPr>
        <w:t>。</w:t>
      </w:r>
    </w:p>
    <w:p w14:paraId="20CDA859">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二十九</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w:t>
      </w:r>
      <w:r>
        <w:rPr>
          <w:rFonts w:hint="eastAsia" w:ascii="宋体" w:hAnsi="宋体" w:eastAsia="黑体" w:cs="黑体"/>
          <w:color w:val="000000"/>
          <w:kern w:val="0"/>
          <w:sz w:val="32"/>
          <w:szCs w:val="32"/>
          <w:highlight w:val="none"/>
          <w:lang w:val="en-US" w:eastAsia="zh-CN"/>
        </w:rPr>
        <w:t>实施细则</w:t>
      </w:r>
      <w:r>
        <w:rPr>
          <w:rFonts w:hint="eastAsia" w:ascii="宋体" w:hAnsi="宋体" w:eastAsia="黑体" w:cs="黑体"/>
          <w:color w:val="000000"/>
          <w:kern w:val="0"/>
          <w:sz w:val="32"/>
          <w:szCs w:val="32"/>
          <w:highlight w:val="none"/>
          <w:lang w:eastAsia="zh-CN"/>
        </w:rPr>
        <w:t>】</w:t>
      </w:r>
      <w:r>
        <w:rPr>
          <w:rFonts w:hint="eastAsia"/>
          <w:sz w:val="32"/>
          <w:szCs w:val="32"/>
        </w:rPr>
        <w:t xml:space="preserve">  </w:t>
      </w:r>
      <w:r>
        <w:rPr>
          <w:rFonts w:hint="eastAsia" w:ascii="方正仿宋_GB2312" w:hAnsi="方正仿宋_GB2312" w:eastAsia="方正仿宋_GB2312" w:cs="方正仿宋_GB2312"/>
          <w:sz w:val="32"/>
          <w:szCs w:val="32"/>
        </w:rPr>
        <w:t>石家庄市人民政府根据本条例制定实施细则</w:t>
      </w:r>
      <w:r>
        <w:rPr>
          <w:rFonts w:hint="eastAsia" w:ascii="仿宋_GB2312" w:hAnsi="仿宋_GB2312" w:eastAsia="仿宋_GB2312" w:cs="仿宋_GB2312"/>
          <w:sz w:val="32"/>
          <w:szCs w:val="32"/>
        </w:rPr>
        <w:t>。</w:t>
      </w:r>
    </w:p>
    <w:p w14:paraId="1017B5A4">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eastAsia="zh-CN"/>
        </w:rPr>
        <w:t>三十</w:t>
      </w:r>
      <w:r>
        <w:rPr>
          <w:rFonts w:hint="eastAsia" w:ascii="黑体" w:hAnsi="黑体" w:eastAsia="黑体" w:cs="黑体"/>
          <w:sz w:val="32"/>
          <w:szCs w:val="32"/>
        </w:rPr>
        <w:t>条</w:t>
      </w:r>
      <w:r>
        <w:rPr>
          <w:rFonts w:hint="eastAsia" w:ascii="宋体" w:hAnsi="宋体" w:eastAsia="黑体" w:cs="黑体"/>
          <w:color w:val="000000"/>
          <w:kern w:val="0"/>
          <w:sz w:val="32"/>
          <w:szCs w:val="32"/>
          <w:highlight w:val="none"/>
          <w:lang w:eastAsia="zh-CN"/>
        </w:rPr>
        <w:t>【施行日期】</w:t>
      </w:r>
      <w:r>
        <w:rPr>
          <w:rFonts w:hint="eastAsia"/>
          <w:sz w:val="32"/>
          <w:szCs w:val="32"/>
        </w:rPr>
        <w:t xml:space="preserve">  </w:t>
      </w:r>
      <w:r>
        <w:rPr>
          <w:rFonts w:hint="eastAsia" w:ascii="方正仿宋_GB2312" w:hAnsi="方正仿宋_GB2312" w:eastAsia="方正仿宋_GB2312" w:cs="方正仿宋_GB2312"/>
          <w:sz w:val="32"/>
          <w:szCs w:val="32"/>
        </w:rPr>
        <w:t>本条例自</w:t>
      </w:r>
      <w:r>
        <w:rPr>
          <w:rFonts w:hint="eastAsia" w:ascii="方正仿宋_GB2312" w:hAnsi="方正仿宋_GB2312" w:eastAsia="方正仿宋_GB2312" w:cs="方正仿宋_GB2312"/>
          <w:sz w:val="32"/>
          <w:szCs w:val="32"/>
          <w:lang w:val="en-US" w:eastAsia="zh-CN"/>
        </w:rPr>
        <w:t xml:space="preserve">   </w:t>
      </w:r>
      <w:r>
        <w:rPr>
          <w:rFonts w:hint="eastAsia" w:ascii="方正仿宋_GB2312" w:hAnsi="方正仿宋_GB2312" w:eastAsia="方正仿宋_GB2312" w:cs="方正仿宋_GB2312"/>
          <w:sz w:val="32"/>
          <w:szCs w:val="32"/>
        </w:rPr>
        <w:t>年</w:t>
      </w:r>
      <w:r>
        <w:rPr>
          <w:rFonts w:hint="eastAsia" w:ascii="方正仿宋_GB2312" w:hAnsi="方正仿宋_GB2312" w:eastAsia="方正仿宋_GB2312" w:cs="方正仿宋_GB2312"/>
          <w:sz w:val="32"/>
          <w:szCs w:val="32"/>
          <w:lang w:val="en-US" w:eastAsia="zh-CN"/>
        </w:rPr>
        <w:t xml:space="preserve"> </w:t>
      </w:r>
      <w:r>
        <w:rPr>
          <w:rFonts w:hint="eastAsia" w:ascii="方正仿宋_GB2312" w:hAnsi="方正仿宋_GB2312" w:eastAsia="方正仿宋_GB2312" w:cs="方正仿宋_GB2312"/>
          <w:sz w:val="32"/>
          <w:szCs w:val="32"/>
        </w:rPr>
        <w:t>月</w:t>
      </w:r>
      <w:r>
        <w:rPr>
          <w:rFonts w:hint="eastAsia" w:ascii="方正仿宋_GB2312" w:hAnsi="方正仿宋_GB2312" w:eastAsia="方正仿宋_GB2312" w:cs="方正仿宋_GB2312"/>
          <w:sz w:val="32"/>
          <w:szCs w:val="32"/>
          <w:lang w:val="en-US" w:eastAsia="zh-CN"/>
        </w:rPr>
        <w:t xml:space="preserve"> </w:t>
      </w:r>
      <w:r>
        <w:rPr>
          <w:rFonts w:hint="eastAsia" w:ascii="方正仿宋_GB2312" w:hAnsi="方正仿宋_GB2312" w:eastAsia="方正仿宋_GB2312" w:cs="方正仿宋_GB2312"/>
          <w:sz w:val="32"/>
          <w:szCs w:val="32"/>
        </w:rPr>
        <w:t>日起实施</w:t>
      </w:r>
      <w:r>
        <w:rPr>
          <w:rFonts w:hint="eastAsia" w:ascii="仿宋_GB2312" w:hAnsi="仿宋_GB2312" w:eastAsia="仿宋_GB2312" w:cs="仿宋_GB2312"/>
          <w:sz w:val="32"/>
          <w:szCs w:val="32"/>
        </w:rPr>
        <w:t>。</w:t>
      </w:r>
    </w:p>
    <w:sectPr>
      <w:footerReference r:id="rId3" w:type="default"/>
      <w:pgSz w:w="11906" w:h="16838"/>
      <w:pgMar w:top="2098" w:right="1474" w:bottom="1984"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微软雅黑">
    <w:altName w:val="方正黑体_GBK"/>
    <w:panose1 w:val="020B0503020204020204"/>
    <w:charset w:val="86"/>
    <w:family w:val="swiss"/>
    <w:pitch w:val="default"/>
    <w:sig w:usb0="00000000" w:usb1="00000000" w:usb2="00000016" w:usb3="00000000" w:csb0="0004001F" w:csb1="00000000"/>
  </w:font>
  <w:font w:name="方正黑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altName w:val="方正仿宋_GBK"/>
    <w:panose1 w:val="02010609030101010101"/>
    <w:charset w:val="86"/>
    <w:family w:val="auto"/>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仿宋_GB2312">
    <w:altName w:val="方正仿宋_GBK"/>
    <w:panose1 w:val="02000000000000000000"/>
    <w:charset w:val="86"/>
    <w:family w:val="auto"/>
    <w:pitch w:val="default"/>
    <w:sig w:usb0="00000000" w:usb1="00000000" w:usb2="00000012" w:usb3="00000000" w:csb0="00040001" w:csb1="00000000"/>
  </w:font>
  <w:font w:name="国标宋体-GB/T 2312">
    <w:panose1 w:val="020005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9DEC55">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D7B2E7">
                          <w:pPr>
                            <w:pStyle w:val="8"/>
                            <w:rPr>
                              <w:rFonts w:hint="eastAsia" w:ascii="国标宋体-GB/T 2312" w:hAnsi="国标宋体-GB/T 2312" w:eastAsia="国标宋体-GB/T 2312" w:cs="国标宋体-GB/T 2312"/>
                              <w:sz w:val="28"/>
                              <w:szCs w:val="28"/>
                            </w:rPr>
                          </w:pPr>
                          <w:r>
                            <w:rPr>
                              <w:rFonts w:hint="eastAsia" w:ascii="国标宋体-GB/T 2312" w:hAnsi="国标宋体-GB/T 2312" w:eastAsia="国标宋体-GB/T 2312" w:cs="国标宋体-GB/T 2312"/>
                              <w:sz w:val="28"/>
                              <w:szCs w:val="28"/>
                            </w:rPr>
                            <w:fldChar w:fldCharType="begin"/>
                          </w:r>
                          <w:r>
                            <w:rPr>
                              <w:rFonts w:hint="eastAsia" w:ascii="国标宋体-GB/T 2312" w:hAnsi="国标宋体-GB/T 2312" w:eastAsia="国标宋体-GB/T 2312" w:cs="国标宋体-GB/T 2312"/>
                              <w:sz w:val="28"/>
                              <w:szCs w:val="28"/>
                            </w:rPr>
                            <w:instrText xml:space="preserve"> PAGE  \* MERGEFORMAT </w:instrText>
                          </w:r>
                          <w:r>
                            <w:rPr>
                              <w:rFonts w:hint="eastAsia" w:ascii="国标宋体-GB/T 2312" w:hAnsi="国标宋体-GB/T 2312" w:eastAsia="国标宋体-GB/T 2312" w:cs="国标宋体-GB/T 2312"/>
                              <w:sz w:val="28"/>
                              <w:szCs w:val="28"/>
                            </w:rPr>
                            <w:fldChar w:fldCharType="separate"/>
                          </w:r>
                          <w:r>
                            <w:rPr>
                              <w:rFonts w:hint="eastAsia" w:ascii="国标宋体-GB/T 2312" w:hAnsi="国标宋体-GB/T 2312" w:eastAsia="国标宋体-GB/T 2312" w:cs="国标宋体-GB/T 2312"/>
                              <w:sz w:val="28"/>
                              <w:szCs w:val="28"/>
                            </w:rPr>
                            <w:t>1</w:t>
                          </w:r>
                          <w:r>
                            <w:rPr>
                              <w:rFonts w:hint="eastAsia" w:ascii="国标宋体-GB/T 2312" w:hAnsi="国标宋体-GB/T 2312" w:eastAsia="国标宋体-GB/T 2312" w:cs="国标宋体-GB/T 2312"/>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40D7B2E7">
                    <w:pPr>
                      <w:pStyle w:val="8"/>
                      <w:rPr>
                        <w:rFonts w:hint="eastAsia" w:ascii="国标宋体-GB/T 2312" w:hAnsi="国标宋体-GB/T 2312" w:eastAsia="国标宋体-GB/T 2312" w:cs="国标宋体-GB/T 2312"/>
                        <w:sz w:val="28"/>
                        <w:szCs w:val="28"/>
                      </w:rPr>
                    </w:pPr>
                    <w:r>
                      <w:rPr>
                        <w:rFonts w:hint="eastAsia" w:ascii="国标宋体-GB/T 2312" w:hAnsi="国标宋体-GB/T 2312" w:eastAsia="国标宋体-GB/T 2312" w:cs="国标宋体-GB/T 2312"/>
                        <w:sz w:val="28"/>
                        <w:szCs w:val="28"/>
                      </w:rPr>
                      <w:fldChar w:fldCharType="begin"/>
                    </w:r>
                    <w:r>
                      <w:rPr>
                        <w:rFonts w:hint="eastAsia" w:ascii="国标宋体-GB/T 2312" w:hAnsi="国标宋体-GB/T 2312" w:eastAsia="国标宋体-GB/T 2312" w:cs="国标宋体-GB/T 2312"/>
                        <w:sz w:val="28"/>
                        <w:szCs w:val="28"/>
                      </w:rPr>
                      <w:instrText xml:space="preserve"> PAGE  \* MERGEFORMAT </w:instrText>
                    </w:r>
                    <w:r>
                      <w:rPr>
                        <w:rFonts w:hint="eastAsia" w:ascii="国标宋体-GB/T 2312" w:hAnsi="国标宋体-GB/T 2312" w:eastAsia="国标宋体-GB/T 2312" w:cs="国标宋体-GB/T 2312"/>
                        <w:sz w:val="28"/>
                        <w:szCs w:val="28"/>
                      </w:rPr>
                      <w:fldChar w:fldCharType="separate"/>
                    </w:r>
                    <w:r>
                      <w:rPr>
                        <w:rFonts w:hint="eastAsia" w:ascii="国标宋体-GB/T 2312" w:hAnsi="国标宋体-GB/T 2312" w:eastAsia="国标宋体-GB/T 2312" w:cs="国标宋体-GB/T 2312"/>
                        <w:sz w:val="28"/>
                        <w:szCs w:val="28"/>
                      </w:rPr>
                      <w:t>1</w:t>
                    </w:r>
                    <w:r>
                      <w:rPr>
                        <w:rFonts w:hint="eastAsia" w:ascii="国标宋体-GB/T 2312" w:hAnsi="国标宋体-GB/T 2312" w:eastAsia="国标宋体-GB/T 2312" w:cs="国标宋体-GB/T 2312"/>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D7FCF92"/>
    <w:rsid w:val="0BFBA474"/>
    <w:rsid w:val="379F9E3D"/>
    <w:rsid w:val="3AECFB34"/>
    <w:rsid w:val="4B7B9B3E"/>
    <w:rsid w:val="4DFBC028"/>
    <w:rsid w:val="5FB52616"/>
    <w:rsid w:val="67B7A030"/>
    <w:rsid w:val="6D9B3C0E"/>
    <w:rsid w:val="76EFC68B"/>
    <w:rsid w:val="777DBCF1"/>
    <w:rsid w:val="779BAF89"/>
    <w:rsid w:val="7B2D3490"/>
    <w:rsid w:val="7BFF278C"/>
    <w:rsid w:val="7D394A70"/>
    <w:rsid w:val="7E6F04AC"/>
    <w:rsid w:val="7EBD8CA9"/>
    <w:rsid w:val="7EBDE698"/>
    <w:rsid w:val="7F7B2F5C"/>
    <w:rsid w:val="7FB9B1F1"/>
    <w:rsid w:val="7FFB9CCF"/>
    <w:rsid w:val="7FFD710B"/>
    <w:rsid w:val="8FFED5CA"/>
    <w:rsid w:val="9BBFB667"/>
    <w:rsid w:val="BB3F3D95"/>
    <w:rsid w:val="BBFF6916"/>
    <w:rsid w:val="BDDB8FF8"/>
    <w:rsid w:val="BEFEDB0C"/>
    <w:rsid w:val="BFBA9B75"/>
    <w:rsid w:val="D5BD2E55"/>
    <w:rsid w:val="DEBB8138"/>
    <w:rsid w:val="DEF54FB4"/>
    <w:rsid w:val="DFF56C87"/>
    <w:rsid w:val="DFFDED1D"/>
    <w:rsid w:val="E37EE2AA"/>
    <w:rsid w:val="EFDBDCAD"/>
    <w:rsid w:val="F6EF53A5"/>
    <w:rsid w:val="FB6F9E20"/>
    <w:rsid w:val="FCAE64AB"/>
    <w:rsid w:val="FD1FFEBF"/>
    <w:rsid w:val="FD3F51A2"/>
    <w:rsid w:val="FD7FCF92"/>
    <w:rsid w:val="FDE56268"/>
    <w:rsid w:val="FFDFD247"/>
    <w:rsid w:val="FFF9010B"/>
    <w:rsid w:val="FFFB837F"/>
    <w:rsid w:val="FFFF38E2"/>
    <w:rsid w:val="FFFF94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bCs/>
      <w:kern w:val="44"/>
      <w:sz w:val="48"/>
      <w:szCs w:val="48"/>
      <w:lang w:val="en-US" w:eastAsia="zh-CN" w:bidi="ar"/>
    </w:rPr>
  </w:style>
  <w:style w:type="paragraph" w:styleId="3">
    <w:name w:val="heading 3"/>
    <w:basedOn w:val="1"/>
    <w:next w:val="1"/>
    <w:qFormat/>
    <w:uiPriority w:val="0"/>
    <w:pPr>
      <w:keepNext/>
      <w:keepLines/>
      <w:spacing w:line="600" w:lineRule="exact"/>
      <w:ind w:firstLine="640" w:firstLineChars="200"/>
      <w:outlineLvl w:val="2"/>
    </w:pPr>
    <w:rPr>
      <w:rFonts w:eastAsia="楷体_GB2312"/>
      <w:bCs/>
    </w:rPr>
  </w:style>
  <w:style w:type="character" w:default="1" w:styleId="13">
    <w:name w:val="Default Paragraph Font"/>
    <w:semiHidden/>
    <w:qFormat/>
    <w:uiPriority w:val="0"/>
  </w:style>
  <w:style w:type="table" w:default="1" w:styleId="12">
    <w:name w:val="Normal Table"/>
    <w:semiHidden/>
    <w:qFormat/>
    <w:uiPriority w:val="0"/>
    <w:tblPr>
      <w:tblCellMar>
        <w:top w:w="0" w:type="dxa"/>
        <w:left w:w="108" w:type="dxa"/>
        <w:bottom w:w="0" w:type="dxa"/>
        <w:right w:w="108" w:type="dxa"/>
      </w:tblCellMar>
    </w:tblPr>
  </w:style>
  <w:style w:type="paragraph" w:styleId="4">
    <w:name w:val="Body Text"/>
    <w:basedOn w:val="1"/>
    <w:next w:val="5"/>
    <w:qFormat/>
    <w:uiPriority w:val="0"/>
    <w:pPr>
      <w:spacing w:before="0" w:after="140" w:line="276" w:lineRule="auto"/>
    </w:pPr>
  </w:style>
  <w:style w:type="paragraph" w:styleId="5">
    <w:name w:val="Title"/>
    <w:basedOn w:val="1"/>
    <w:next w:val="1"/>
    <w:qFormat/>
    <w:uiPriority w:val="0"/>
    <w:pPr>
      <w:spacing w:before="240" w:beforeLines="0" w:after="60" w:afterLines="0"/>
      <w:jc w:val="center"/>
      <w:outlineLvl w:val="0"/>
    </w:pPr>
    <w:rPr>
      <w:rFonts w:ascii="Arial" w:hAnsi="Arial" w:cs="Arial"/>
      <w:b/>
      <w:bCs/>
      <w:sz w:val="32"/>
      <w:szCs w:val="32"/>
    </w:rPr>
  </w:style>
  <w:style w:type="paragraph" w:styleId="6">
    <w:name w:val="Body Text Indent"/>
    <w:basedOn w:val="1"/>
    <w:unhideWhenUsed/>
    <w:qFormat/>
    <w:uiPriority w:val="99"/>
    <w:pPr>
      <w:ind w:firstLine="630"/>
    </w:pPr>
  </w:style>
  <w:style w:type="paragraph" w:styleId="7">
    <w:name w:val="Plain Text"/>
    <w:basedOn w:val="1"/>
    <w:unhideWhenUsed/>
    <w:qFormat/>
    <w:uiPriority w:val="99"/>
    <w:rPr>
      <w:rFonts w:ascii="宋体" w:hAnsi="Courier New" w:eastAsia="宋体" w:cs="Courier New"/>
      <w:szCs w:val="21"/>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11">
    <w:name w:val="Body Text First Indent 2"/>
    <w:basedOn w:val="6"/>
    <w:next w:val="1"/>
    <w:qFormat/>
    <w:uiPriority w:val="0"/>
    <w:pPr>
      <w:ind w:left="200" w:firstLine="420" w:firstLineChars="200"/>
    </w:pPr>
    <w:rPr>
      <w:sz w:val="32"/>
      <w:szCs w:val="32"/>
      <w:lang w:val="en-US" w:eastAsia="zh-CN" w:bidi="ar-SA"/>
    </w:rPr>
  </w:style>
  <w:style w:type="character" w:styleId="14">
    <w:name w:val="Hyperlink"/>
    <w:basedOn w:val="13"/>
    <w:qFormat/>
    <w:uiPriority w:val="0"/>
    <w:rPr>
      <w:color w:val="0000FF"/>
      <w:u w:val="single"/>
    </w:rPr>
  </w:style>
  <w:style w:type="character" w:customStyle="1" w:styleId="15">
    <w:name w:val="sect2title1"/>
    <w:basedOn w:val="13"/>
    <w:qFormat/>
    <w:uiPriority w:val="0"/>
    <w:rPr>
      <w:rFonts w:hint="eastAsia" w:ascii="微软雅黑" w:hAnsi="微软雅黑" w:eastAsia="微软雅黑"/>
      <w:b/>
      <w:bCs/>
      <w:sz w:val="21"/>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1</TotalTime>
  <ScaleCrop>false</ScaleCrop>
  <LinksUpToDate>false</LinksUpToDate>
  <CharactersWithSpaces>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2025-04-08T21:38:00Z</dcterms:created>
  <dc:creator>刘军</dc:creator>
  <cp:lastModifiedBy>Kylin</cp:lastModifiedBy>
  <dcterms:modified xsi:type="dcterms:W3CDTF">2026-07-06T17:54:23Z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5097DDC9A245D9F978EB386A8F9F1B7A_43</vt:lpwstr>
  </property>
</Properties>
</file>