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EB8D28A">
      <w:pPr>
        <w:keepNext w:val="0"/>
        <w:keepLines w:val="0"/>
        <w:pageBreakBefore w:val="0"/>
        <w:widowControl w:val="0"/>
        <w:kinsoku/>
        <w:wordWrap/>
        <w:overflowPunct w:val="0"/>
        <w:topLinePunct w:val="0"/>
        <w:autoSpaceDE/>
        <w:autoSpaceDN/>
        <w:bidi w:val="0"/>
        <w:adjustRightInd w:val="0"/>
        <w:snapToGrid w:val="0"/>
        <w:spacing w:line="560" w:lineRule="exact"/>
        <w:ind w:left="0" w:leftChars="0"/>
        <w:jc w:val="center"/>
        <w:textAlignment w:val="auto"/>
        <w:rPr>
          <w:rFonts w:hint="eastAsia" w:ascii="方正小标宋简体" w:hAnsi="方正小标宋简体" w:eastAsia="方正小标宋简体" w:cs="方正小标宋简体"/>
          <w:sz w:val="44"/>
          <w:szCs w:val="44"/>
        </w:rPr>
      </w:pPr>
    </w:p>
    <w:p w14:paraId="7BB70639">
      <w:pPr>
        <w:keepNext w:val="0"/>
        <w:keepLines w:val="0"/>
        <w:pageBreakBefore w:val="0"/>
        <w:widowControl w:val="0"/>
        <w:kinsoku/>
        <w:wordWrap/>
        <w:overflowPunct w:val="0"/>
        <w:topLinePunct w:val="0"/>
        <w:autoSpaceDE/>
        <w:autoSpaceDN/>
        <w:bidi w:val="0"/>
        <w:adjustRightInd w:val="0"/>
        <w:snapToGrid w:val="0"/>
        <w:spacing w:line="560" w:lineRule="exact"/>
        <w:ind w:left="0" w:leftChars="0"/>
        <w:jc w:val="center"/>
        <w:textAlignment w:val="auto"/>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sz w:val="44"/>
          <w:szCs w:val="44"/>
        </w:rPr>
        <w:t>《</w:t>
      </w:r>
      <w:r>
        <w:rPr>
          <w:rFonts w:hint="default" w:ascii="Arial" w:hAnsi="Arial" w:eastAsia="方正小标宋简体" w:cs="Arial"/>
          <w:sz w:val="44"/>
          <w:szCs w:val="44"/>
          <w:lang w:eastAsia="zh-CN"/>
        </w:rPr>
        <w:t>石家庄市岗南黄壁庄水库饮用水水源污染防治条例</w:t>
      </w:r>
      <w:r>
        <w:rPr>
          <w:rFonts w:hint="eastAsia" w:ascii="方正小标宋简体" w:hAnsi="方正小标宋简体" w:eastAsia="方正小标宋简体" w:cs="方正小标宋简体"/>
          <w:sz w:val="44"/>
          <w:szCs w:val="44"/>
          <w:lang w:eastAsia="zh-CN"/>
        </w:rPr>
        <w:t>（修订草案）</w:t>
      </w:r>
      <w:r>
        <w:rPr>
          <w:rFonts w:hint="eastAsia" w:ascii="方正小标宋简体" w:hAnsi="方正小标宋简体" w:eastAsia="方正小标宋简体" w:cs="方正小标宋简体"/>
          <w:sz w:val="44"/>
          <w:szCs w:val="44"/>
        </w:rPr>
        <w:t>》</w:t>
      </w:r>
      <w:r>
        <w:rPr>
          <w:rFonts w:hint="eastAsia" w:ascii="方正小标宋简体" w:hAnsi="方正小标宋简体" w:eastAsia="方正小标宋简体" w:cs="方正小标宋简体"/>
          <w:sz w:val="44"/>
          <w:szCs w:val="44"/>
          <w:lang w:eastAsia="zh-CN"/>
        </w:rPr>
        <w:t>起草说明</w:t>
      </w:r>
    </w:p>
    <w:p w14:paraId="71187BC9">
      <w:pPr>
        <w:pStyle w:val="11"/>
        <w:keepNext w:val="0"/>
        <w:keepLines w:val="0"/>
        <w:pageBreakBefore w:val="0"/>
        <w:widowControl w:val="0"/>
        <w:kinsoku/>
        <w:wordWrap/>
        <w:overflowPunct/>
        <w:topLinePunct w:val="0"/>
        <w:autoSpaceDE/>
        <w:autoSpaceDN/>
        <w:bidi w:val="0"/>
        <w:adjustRightInd w:val="0"/>
        <w:snapToGrid w:val="0"/>
        <w:spacing w:after="0" w:afterLines="0" w:line="560" w:lineRule="exact"/>
        <w:ind w:left="0" w:leftChars="0" w:firstLine="640" w:firstLineChars="200"/>
        <w:textAlignment w:val="auto"/>
        <w:rPr>
          <w:rFonts w:hint="eastAsia" w:ascii="黑体" w:hAnsi="黑体" w:eastAsia="黑体" w:cs="黑体"/>
          <w:sz w:val="32"/>
          <w:szCs w:val="32"/>
          <w:lang w:eastAsia="zh-CN"/>
        </w:rPr>
      </w:pPr>
    </w:p>
    <w:p w14:paraId="615410B8">
      <w:pPr>
        <w:pStyle w:val="11"/>
        <w:keepNext w:val="0"/>
        <w:keepLines w:val="0"/>
        <w:pageBreakBefore w:val="0"/>
        <w:widowControl w:val="0"/>
        <w:kinsoku/>
        <w:wordWrap/>
        <w:overflowPunct/>
        <w:topLinePunct w:val="0"/>
        <w:autoSpaceDE/>
        <w:autoSpaceDN/>
        <w:bidi w:val="0"/>
        <w:adjustRightInd w:val="0"/>
        <w:snapToGrid w:val="0"/>
        <w:spacing w:after="0" w:afterLines="0" w:line="560" w:lineRule="exact"/>
        <w:ind w:left="0" w:leftChars="0" w:firstLine="640" w:firstLineChars="200"/>
        <w:textAlignment w:val="auto"/>
        <w:rPr>
          <w:rFonts w:hint="eastAsia" w:ascii="黑体" w:hAnsi="黑体" w:eastAsia="黑体" w:cs="黑体"/>
          <w:sz w:val="32"/>
          <w:szCs w:val="32"/>
          <w:lang w:eastAsia="zh-CN"/>
        </w:rPr>
      </w:pPr>
      <w:r>
        <w:rPr>
          <w:rFonts w:hint="eastAsia" w:ascii="黑体" w:hAnsi="黑体" w:eastAsia="黑体" w:cs="黑体"/>
          <w:sz w:val="32"/>
          <w:szCs w:val="32"/>
          <w:lang w:eastAsia="zh-CN"/>
        </w:rPr>
        <w:t>一、背景和过程</w:t>
      </w:r>
    </w:p>
    <w:p w14:paraId="69678D55">
      <w:pPr>
        <w:keepNext w:val="0"/>
        <w:keepLines w:val="0"/>
        <w:pageBreakBefore w:val="0"/>
        <w:widowControl w:val="0"/>
        <w:kinsoku/>
        <w:wordWrap/>
        <w:overflowPunct w:val="0"/>
        <w:topLinePunct w:val="0"/>
        <w:autoSpaceDE/>
        <w:autoSpaceDN/>
        <w:bidi w:val="0"/>
        <w:adjustRightInd w:val="0"/>
        <w:snapToGrid w:val="0"/>
        <w:spacing w:line="560" w:lineRule="exact"/>
        <w:ind w:left="0" w:leftChars="0" w:firstLine="640"/>
        <w:jc w:val="both"/>
        <w:textAlignment w:val="auto"/>
        <w:rPr>
          <w:rFonts w:hint="eastAsia" w:ascii="国标仿宋-GB/T 2312" w:hAnsi="国标仿宋-GB/T 2312" w:eastAsia="国标仿宋-GB/T 2312" w:cs="国标仿宋-GB/T 2312"/>
          <w:sz w:val="32"/>
          <w:szCs w:val="32"/>
          <w:lang w:val="en-US" w:eastAsia="zh-CN"/>
        </w:rPr>
      </w:pPr>
      <w:r>
        <w:rPr>
          <w:rFonts w:hint="eastAsia" w:ascii="国标仿宋-GB/T 2312" w:hAnsi="国标仿宋-GB/T 2312" w:eastAsia="国标仿宋-GB/T 2312" w:cs="国标仿宋-GB/T 2312"/>
          <w:sz w:val="32"/>
          <w:szCs w:val="32"/>
          <w:lang w:val="en-US" w:eastAsia="zh-CN"/>
        </w:rPr>
        <w:t>为深入贯彻习近平生态文明思想和党中央关于生态环境文明建设的决策部署，按照《石家庄市人大常委会办公室关于开展生态环境法典涉及地方性法规等规范性文件集中清理工作的通知》要求，根据石家庄市立法工作安排，我局对标《中华人民共和国生态环境法典》规定，对《石家庄市岗南黄壁庄水库饮用水水源污染防治条例》部分内容进行了相应修改，现形成《石家庄市岗南黄壁庄水库饮用水水源污染防治条例（修订草案）》（以下简称《修订草案》）。</w:t>
      </w:r>
    </w:p>
    <w:p w14:paraId="765FEB61">
      <w:pPr>
        <w:keepNext w:val="0"/>
        <w:keepLines w:val="0"/>
        <w:pageBreakBefore w:val="0"/>
        <w:widowControl w:val="0"/>
        <w:kinsoku/>
        <w:wordWrap/>
        <w:overflowPunct w:val="0"/>
        <w:topLinePunct w:val="0"/>
        <w:autoSpaceDE/>
        <w:autoSpaceDN/>
        <w:bidi w:val="0"/>
        <w:adjustRightInd w:val="0"/>
        <w:snapToGrid w:val="0"/>
        <w:spacing w:line="560" w:lineRule="exact"/>
        <w:ind w:left="0" w:leftChars="0" w:firstLine="64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二、主要内容</w:t>
      </w:r>
    </w:p>
    <w:p w14:paraId="5AEA6A42">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《修订草案》共修改13条，主要修改内容如下：</w:t>
      </w:r>
    </w:p>
    <w:p w14:paraId="45DF11B8">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关于第一条，根据《中华人民共和国生态环境法典》第一条和第一千二百四十二条，将“保障人体健康，促进经济与环境协调发展，根据《中华人民共和国水污染防治法》、《河北省水污染防治条例》及有关法律、法规的规定”修改为“保障</w:t>
      </w:r>
      <w:r>
        <w:rPr>
          <w:rFonts w:hint="eastAsia" w:ascii="仿宋_GB2312" w:hAnsi="仿宋_GB2312" w:eastAsia="仿宋_GB2312" w:cs="仿宋_GB2312"/>
          <w:b/>
          <w:bCs/>
          <w:sz w:val="32"/>
          <w:szCs w:val="32"/>
          <w:lang w:val="en-US" w:eastAsia="zh-CN"/>
        </w:rPr>
        <w:t>公众</w:t>
      </w:r>
      <w:r>
        <w:rPr>
          <w:rFonts w:hint="eastAsia" w:ascii="仿宋_GB2312" w:hAnsi="仿宋_GB2312" w:eastAsia="仿宋_GB2312" w:cs="仿宋_GB2312"/>
          <w:sz w:val="32"/>
          <w:szCs w:val="32"/>
          <w:lang w:val="en-US" w:eastAsia="zh-CN"/>
        </w:rPr>
        <w:t>健康，促进经济与环境协调发展，根据</w:t>
      </w:r>
      <w:r>
        <w:rPr>
          <w:rFonts w:hint="eastAsia" w:ascii="仿宋_GB2312" w:hAnsi="仿宋_GB2312" w:eastAsia="仿宋_GB2312" w:cs="仿宋_GB2312"/>
          <w:b/>
          <w:bCs/>
          <w:sz w:val="32"/>
          <w:szCs w:val="32"/>
          <w:lang w:val="en-US" w:eastAsia="zh-CN"/>
        </w:rPr>
        <w:t>《中华人民共和国生态环境法典》</w:t>
      </w:r>
      <w:r>
        <w:rPr>
          <w:rFonts w:hint="eastAsia" w:ascii="仿宋_GB2312" w:hAnsi="仿宋_GB2312" w:eastAsia="仿宋_GB2312" w:cs="仿宋_GB2312"/>
          <w:sz w:val="32"/>
          <w:szCs w:val="32"/>
          <w:lang w:val="en-US" w:eastAsia="zh-CN"/>
        </w:rPr>
        <w:t>及有关法律、法规的规定”。</w:t>
      </w:r>
    </w:p>
    <w:p w14:paraId="7762983E">
      <w:pPr>
        <w:keepNext w:val="0"/>
        <w:keepLines w:val="0"/>
        <w:pageBreakBefore w:val="0"/>
        <w:widowControl/>
        <w:kinsoku/>
        <w:wordWrap/>
        <w:overflowPunct/>
        <w:topLinePunct w:val="0"/>
        <w:autoSpaceDE/>
        <w:autoSpaceDN/>
        <w:bidi w:val="0"/>
        <w:adjustRightInd/>
        <w:snapToGrid/>
        <w:spacing w:before="0" w:beforeLines="0" w:line="560" w:lineRule="exact"/>
        <w:ind w:firstLine="640" w:firstLineChars="200"/>
        <w:jc w:val="both"/>
        <w:textAlignment w:val="auto"/>
        <w:rPr>
          <w:rFonts w:hint="eastAsia" w:ascii="方正仿宋_GB2312" w:hAnsi="方正仿宋_GB2312" w:eastAsia="方正仿宋_GB2312" w:cs="方正仿宋_GB2312"/>
          <w:sz w:val="32"/>
          <w:szCs w:val="32"/>
          <w:lang w:val="en-US" w:eastAsia="zh-CN"/>
        </w:rPr>
      </w:pPr>
      <w:r>
        <w:rPr>
          <w:rFonts w:hint="eastAsia" w:ascii="仿宋_GB2312" w:hAnsi="仿宋_GB2312" w:eastAsia="仿宋_GB2312" w:cs="仿宋_GB2312"/>
          <w:sz w:val="32"/>
          <w:szCs w:val="32"/>
          <w:lang w:val="en-US" w:eastAsia="zh-CN"/>
        </w:rPr>
        <w:t>（二）关于第七条，根据《中华人民共和国生态环境法典》第二百六十九条，对部分部门和职能的相关表述作出修改，将“</w:t>
      </w:r>
      <w:r>
        <w:rPr>
          <w:rFonts w:hint="eastAsia" w:ascii="方正仿宋_GB2312" w:hAnsi="方正仿宋_GB2312" w:eastAsia="方正仿宋_GB2312" w:cs="方正仿宋_GB2312"/>
          <w:sz w:val="32"/>
          <w:szCs w:val="32"/>
        </w:rPr>
        <w:t>发展和改革、自然资源和规划、住房和城乡建设、水利、卫生健康、农业农村、林业、城管等主管部门和公安机关按照各自的职责和权限，协同生态环境主管部门对两库饮用水水源污染防治实施监督管理</w:t>
      </w:r>
      <w:r>
        <w:rPr>
          <w:rFonts w:hint="eastAsia" w:ascii="仿宋_GB2312" w:hAnsi="仿宋_GB2312" w:eastAsia="仿宋_GB2312" w:cs="仿宋_GB2312"/>
          <w:sz w:val="32"/>
          <w:szCs w:val="32"/>
          <w:lang w:val="en-US" w:eastAsia="zh-CN"/>
        </w:rPr>
        <w:t>”修改为“</w:t>
      </w:r>
      <w:r>
        <w:rPr>
          <w:rFonts w:hint="eastAsia" w:ascii="方正仿宋_GB2312" w:hAnsi="方正仿宋_GB2312" w:eastAsia="方正仿宋_GB2312" w:cs="方正仿宋_GB2312"/>
          <w:b/>
          <w:bCs/>
          <w:sz w:val="32"/>
          <w:szCs w:val="32"/>
        </w:rPr>
        <w:t>发展改革、自然资源、住房城乡建设、水</w:t>
      </w:r>
      <w:r>
        <w:rPr>
          <w:rFonts w:hint="eastAsia" w:ascii="方正仿宋_GB2312" w:hAnsi="方正仿宋_GB2312" w:eastAsia="方正仿宋_GB2312" w:cs="方正仿宋_GB2312"/>
          <w:b/>
          <w:bCs/>
          <w:sz w:val="32"/>
          <w:szCs w:val="32"/>
          <w:lang w:val="en-US" w:eastAsia="zh-CN"/>
        </w:rPr>
        <w:t>行政</w:t>
      </w:r>
      <w:r>
        <w:rPr>
          <w:rFonts w:hint="eastAsia" w:ascii="方正仿宋_GB2312" w:hAnsi="方正仿宋_GB2312" w:eastAsia="方正仿宋_GB2312" w:cs="方正仿宋_GB2312"/>
          <w:b/>
          <w:bCs/>
          <w:sz w:val="32"/>
          <w:szCs w:val="32"/>
        </w:rPr>
        <w:t>、卫生健康、农业农村、林业、</w:t>
      </w:r>
      <w:r>
        <w:rPr>
          <w:rFonts w:hint="eastAsia" w:ascii="方正仿宋_GB2312" w:hAnsi="方正仿宋_GB2312" w:eastAsia="方正仿宋_GB2312" w:cs="方正仿宋_GB2312"/>
          <w:b/>
          <w:bCs/>
          <w:sz w:val="32"/>
          <w:szCs w:val="32"/>
          <w:lang w:val="en-US" w:eastAsia="zh-CN"/>
        </w:rPr>
        <w:t>城市管理</w:t>
      </w:r>
      <w:r>
        <w:rPr>
          <w:rFonts w:hint="eastAsia" w:ascii="方正仿宋_GB2312" w:hAnsi="方正仿宋_GB2312" w:eastAsia="方正仿宋_GB2312" w:cs="方正仿宋_GB2312"/>
          <w:sz w:val="32"/>
          <w:szCs w:val="32"/>
        </w:rPr>
        <w:t>等主管部门和公安机关</w:t>
      </w:r>
      <w:r>
        <w:rPr>
          <w:rFonts w:hint="eastAsia" w:ascii="方正仿宋_GB2312" w:hAnsi="方正仿宋_GB2312" w:eastAsia="方正仿宋_GB2312" w:cs="方正仿宋_GB2312"/>
          <w:b/>
          <w:bCs/>
          <w:sz w:val="32"/>
          <w:szCs w:val="32"/>
          <w:lang w:val="en-US" w:eastAsia="zh-CN"/>
        </w:rPr>
        <w:t>在各自职责范围内</w:t>
      </w:r>
      <w:r>
        <w:rPr>
          <w:rFonts w:hint="eastAsia" w:ascii="方正仿宋_GB2312" w:hAnsi="方正仿宋_GB2312" w:eastAsia="方正仿宋_GB2312" w:cs="方正仿宋_GB2312"/>
          <w:sz w:val="32"/>
          <w:szCs w:val="32"/>
        </w:rPr>
        <w:t>对两库饮用水水源污染防治</w:t>
      </w:r>
      <w:r>
        <w:rPr>
          <w:rFonts w:hint="eastAsia" w:ascii="方正仿宋_GB2312" w:hAnsi="方正仿宋_GB2312" w:eastAsia="方正仿宋_GB2312" w:cs="方正仿宋_GB2312"/>
          <w:b/>
          <w:bCs/>
          <w:sz w:val="32"/>
          <w:szCs w:val="32"/>
          <w:lang w:val="en-US" w:eastAsia="zh-CN"/>
        </w:rPr>
        <w:t>工作</w:t>
      </w:r>
      <w:r>
        <w:rPr>
          <w:rFonts w:hint="eastAsia" w:ascii="方正仿宋_GB2312" w:hAnsi="方正仿宋_GB2312" w:eastAsia="方正仿宋_GB2312" w:cs="方正仿宋_GB2312"/>
          <w:sz w:val="32"/>
          <w:szCs w:val="32"/>
        </w:rPr>
        <w:t>实施监督管理</w:t>
      </w:r>
      <w:r>
        <w:rPr>
          <w:rFonts w:hint="eastAsia" w:ascii="方正仿宋_GB2312" w:hAnsi="方正仿宋_GB2312" w:eastAsia="方正仿宋_GB2312" w:cs="方正仿宋_GB2312"/>
          <w:sz w:val="32"/>
          <w:szCs w:val="32"/>
          <w:lang w:val="en-US" w:eastAsia="zh-CN"/>
        </w:rPr>
        <w:t>”</w:t>
      </w:r>
      <w:r>
        <w:rPr>
          <w:rFonts w:hint="eastAsia" w:ascii="方正仿宋_GB2312" w:hAnsi="方正仿宋_GB2312" w:eastAsia="方正仿宋_GB2312" w:cs="方正仿宋_GB2312"/>
          <w:sz w:val="32"/>
          <w:szCs w:val="32"/>
        </w:rPr>
        <w:t>。</w:t>
      </w:r>
    </w:p>
    <w:p w14:paraId="119A631A">
      <w:pPr>
        <w:pStyle w:val="3"/>
        <w:pageBreakBefore w:val="0"/>
        <w:kinsoku/>
        <w:wordWrap/>
        <w:topLinePunct w:val="0"/>
        <w:autoSpaceDE/>
        <w:autoSpaceDN/>
        <w:bidi w:val="0"/>
        <w:spacing w:line="560" w:lineRule="exact"/>
        <w:textAlignment w:val="auto"/>
        <w:rPr>
          <w:rFonts w:hint="eastAsia"/>
          <w:lang w:val="en-US" w:eastAsia="zh-CN"/>
        </w:rPr>
      </w:pPr>
      <w:r>
        <w:rPr>
          <w:rFonts w:hint="eastAsia" w:ascii="仿宋_GB2312" w:hAnsi="仿宋_GB2312" w:eastAsia="仿宋_GB2312" w:cs="仿宋_GB2312"/>
          <w:sz w:val="32"/>
          <w:szCs w:val="32"/>
          <w:lang w:val="en-US" w:eastAsia="zh-CN"/>
        </w:rPr>
        <w:t>（三）关于第十一条，根据《中华人民共和国地表水环境质量标准（GB3838-2002)》中的表述，将“</w:t>
      </w:r>
      <w:r>
        <w:rPr>
          <w:rFonts w:hint="eastAsia" w:ascii="方正仿宋_GB2312" w:hAnsi="方正仿宋_GB2312" w:eastAsia="方正仿宋_GB2312" w:cs="方正仿宋_GB2312"/>
          <w:b w:val="0"/>
          <w:bCs w:val="0"/>
          <w:sz w:val="32"/>
          <w:szCs w:val="32"/>
          <w:vertAlign w:val="baseline"/>
        </w:rPr>
        <w:t>两库内的水源水质标准按国家地表水环境质量标准中的二类标准执行</w:t>
      </w:r>
      <w:r>
        <w:rPr>
          <w:rFonts w:hint="eastAsia" w:ascii="仿宋_GB2312" w:hAnsi="仿宋_GB2312" w:eastAsia="仿宋_GB2312" w:cs="仿宋_GB2312"/>
          <w:sz w:val="32"/>
          <w:szCs w:val="32"/>
          <w:lang w:val="en-US" w:eastAsia="zh-CN"/>
        </w:rPr>
        <w:t>”修改为“</w:t>
      </w:r>
      <w:r>
        <w:rPr>
          <w:rFonts w:hint="eastAsia" w:ascii="方正仿宋_GB2312" w:hAnsi="方正仿宋_GB2312" w:eastAsia="方正仿宋_GB2312" w:cs="方正仿宋_GB2312"/>
          <w:b/>
          <w:bCs/>
          <w:sz w:val="32"/>
          <w:szCs w:val="32"/>
          <w:vertAlign w:val="baseline"/>
        </w:rPr>
        <w:t>两库</w:t>
      </w:r>
      <w:r>
        <w:rPr>
          <w:rFonts w:hint="eastAsia" w:ascii="方正仿宋_GB2312" w:hAnsi="方正仿宋_GB2312" w:eastAsia="方正仿宋_GB2312" w:cs="方正仿宋_GB2312"/>
          <w:b/>
          <w:bCs/>
          <w:sz w:val="32"/>
          <w:szCs w:val="32"/>
          <w:vertAlign w:val="baseline"/>
          <w:lang w:val="en-US" w:eastAsia="zh-CN"/>
        </w:rPr>
        <w:t>饮用水</w:t>
      </w:r>
      <w:r>
        <w:rPr>
          <w:rFonts w:hint="eastAsia" w:ascii="方正仿宋_GB2312" w:hAnsi="方正仿宋_GB2312" w:eastAsia="方正仿宋_GB2312" w:cs="方正仿宋_GB2312"/>
          <w:b/>
          <w:bCs/>
          <w:sz w:val="32"/>
          <w:szCs w:val="32"/>
          <w:vertAlign w:val="baseline"/>
        </w:rPr>
        <w:t>水源水质标准按国家地表水环境质量标准执行</w:t>
      </w:r>
      <w:r>
        <w:rPr>
          <w:rFonts w:hint="eastAsia" w:ascii="仿宋_GB2312" w:hAnsi="仿宋_GB2312" w:eastAsia="仿宋_GB2312" w:cs="仿宋_GB2312"/>
          <w:sz w:val="32"/>
          <w:szCs w:val="32"/>
          <w:lang w:val="en-US" w:eastAsia="zh-CN"/>
        </w:rPr>
        <w:t>”。</w:t>
      </w:r>
    </w:p>
    <w:p w14:paraId="046C835F">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（四）关于第十二条，根据《中华人民共和国生态环境法典》第三百一十九条相关内容，将“（一）新建、改建、扩建水利、保护水源或供水工程以外的工程项目”修改为“</w:t>
      </w:r>
      <w:r>
        <w:rPr>
          <w:rFonts w:hint="eastAsia" w:ascii="仿宋_GB2312" w:hAnsi="仿宋_GB2312" w:eastAsia="仿宋_GB2312" w:cs="仿宋_GB2312"/>
          <w:b/>
          <w:bCs/>
          <w:sz w:val="32"/>
          <w:szCs w:val="32"/>
          <w:lang w:val="en-US" w:eastAsia="zh-CN"/>
        </w:rPr>
        <w:t>（一）新建、改建、扩建与供水设施和保护水源无关的建设项目</w:t>
      </w:r>
      <w:r>
        <w:rPr>
          <w:rFonts w:hint="eastAsia" w:ascii="仿宋_GB2312" w:hAnsi="仿宋_GB2312" w:eastAsia="仿宋_GB2312" w:cs="仿宋_GB2312"/>
          <w:sz w:val="32"/>
          <w:szCs w:val="32"/>
          <w:lang w:val="en-US" w:eastAsia="zh-CN"/>
        </w:rPr>
        <w:t>”，并将第十二条（二）（三）（四）（七）（十一）中的“其它”修改为“其他”，和法典的表述保持一致。</w:t>
      </w:r>
    </w:p>
    <w:p w14:paraId="684EF060">
      <w:pPr>
        <w:pStyle w:val="3"/>
        <w:pageBreakBefore w:val="0"/>
        <w:kinsoku/>
        <w:wordWrap/>
        <w:topLinePunct w:val="0"/>
        <w:autoSpaceDE/>
        <w:autoSpaceDN/>
        <w:bidi w:val="0"/>
        <w:spacing w:line="560" w:lineRule="exact"/>
        <w:textAlignment w:val="auto"/>
        <w:rPr>
          <w:rFonts w:hint="eastAsia"/>
          <w:lang w:val="en-US" w:eastAsia="zh-CN"/>
        </w:rPr>
      </w:pPr>
      <w:r>
        <w:rPr>
          <w:rFonts w:hint="eastAsia" w:ascii="仿宋_GB2312" w:hAnsi="仿宋_GB2312" w:eastAsia="仿宋_GB2312" w:cs="仿宋_GB2312"/>
          <w:sz w:val="32"/>
          <w:szCs w:val="32"/>
          <w:lang w:val="en-US" w:eastAsia="zh-CN"/>
        </w:rPr>
        <w:t>（五）关于第十四条，“其它”修改为“其他”，和法典的表述保持一致。</w:t>
      </w:r>
    </w:p>
    <w:p w14:paraId="66FF7285">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（六）关于第十五条，根据《中华人民共和国生态环境法典》第三百二十一条，增加“</w:t>
      </w:r>
      <w:r>
        <w:rPr>
          <w:rFonts w:hint="eastAsia" w:ascii="仿宋_GB2312" w:hAnsi="仿宋_GB2312" w:eastAsia="仿宋_GB2312" w:cs="仿宋_GB2312"/>
          <w:b/>
          <w:bCs/>
          <w:sz w:val="32"/>
          <w:szCs w:val="32"/>
          <w:lang w:val="en-US" w:eastAsia="zh-CN"/>
        </w:rPr>
        <w:t>禁止在两库饮用水水源准保护区内新建、扩建对水体污染严重的建设项目；改建建设项目，不得增加排污量</w:t>
      </w:r>
      <w:r>
        <w:rPr>
          <w:rFonts w:hint="eastAsia" w:ascii="仿宋_GB2312" w:hAnsi="仿宋_GB2312" w:eastAsia="仿宋_GB2312" w:cs="仿宋_GB2312"/>
          <w:sz w:val="32"/>
          <w:szCs w:val="32"/>
          <w:lang w:val="en-US" w:eastAsia="zh-CN"/>
        </w:rPr>
        <w:t>”，并将“对两库饮用水水源准保护区内”修改为“对准保护区内”。</w:t>
      </w:r>
    </w:p>
    <w:p w14:paraId="78AF8FC2">
      <w:pPr>
        <w:pStyle w:val="3"/>
        <w:pageBreakBefore w:val="0"/>
        <w:kinsoku/>
        <w:wordWrap/>
        <w:topLinePunct w:val="0"/>
        <w:autoSpaceDE/>
        <w:autoSpaceDN/>
        <w:bidi w:val="0"/>
        <w:spacing w:line="560" w:lineRule="exact"/>
        <w:textAlignment w:val="auto"/>
        <w:rPr>
          <w:rFonts w:hint="eastAsia"/>
          <w:lang w:val="en-US" w:eastAsia="zh-CN"/>
        </w:rPr>
      </w:pPr>
      <w:r>
        <w:rPr>
          <w:rFonts w:hint="eastAsia" w:ascii="仿宋_GB2312" w:hAnsi="仿宋_GB2312" w:eastAsia="仿宋_GB2312" w:cs="仿宋_GB2312"/>
          <w:sz w:val="32"/>
          <w:szCs w:val="32"/>
          <w:lang w:val="en-US" w:eastAsia="zh-CN"/>
        </w:rPr>
        <w:t>（七）关于第二十条，根据《中华人民共和国生态环境法典》第三百二十三条，将“饮用水水源受到污染可能威胁供水安全的，生态环境主管部门应当责令有关企业、事业单位或个人采取停止或者减少排放水污染物等措施”修改为“饮用水水源受到污染可能威胁供水安全的，</w:t>
      </w:r>
      <w:r>
        <w:rPr>
          <w:rFonts w:hint="eastAsia" w:ascii="仿宋_GB2312" w:hAnsi="仿宋_GB2312" w:eastAsia="仿宋_GB2312" w:cs="仿宋_GB2312"/>
          <w:b/>
          <w:bCs w:val="0"/>
          <w:sz w:val="32"/>
          <w:szCs w:val="32"/>
          <w:lang w:val="en-US" w:eastAsia="zh-CN"/>
        </w:rPr>
        <w:t>生态环境主管部门应当责令有关企业事业单位和其他生产经营者采取停止排放水污染物等措施，并通报饮用水供水单位和供水、卫生健康、水行政等有关部门；跨行政区域的，还应当通报有关地方人民政府</w:t>
      </w:r>
      <w:r>
        <w:rPr>
          <w:rFonts w:hint="eastAsia" w:ascii="仿宋_GB2312" w:hAnsi="仿宋_GB2312" w:eastAsia="仿宋_GB2312" w:cs="仿宋_GB2312"/>
          <w:sz w:val="32"/>
          <w:szCs w:val="32"/>
          <w:lang w:val="en-US" w:eastAsia="zh-CN"/>
        </w:rPr>
        <w:t>”。</w:t>
      </w:r>
    </w:p>
    <w:p w14:paraId="75798BC3">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（八）关于第二十一条，根据《中华人民共和国生态环境法典》第一千一百四十五条，增加“</w:t>
      </w:r>
      <w:r>
        <w:rPr>
          <w:rFonts w:hint="eastAsia" w:ascii="仿宋_GB2312" w:hAnsi="仿宋_GB2312" w:eastAsia="仿宋_GB2312" w:cs="仿宋_GB2312"/>
          <w:b/>
          <w:bCs/>
          <w:sz w:val="32"/>
          <w:szCs w:val="32"/>
          <w:lang w:val="en-US" w:eastAsia="zh-CN"/>
        </w:rPr>
        <w:t>第十五条第一款</w:t>
      </w:r>
      <w:r>
        <w:rPr>
          <w:rFonts w:hint="eastAsia" w:ascii="仿宋_GB2312" w:hAnsi="仿宋_GB2312" w:eastAsia="仿宋_GB2312" w:cs="仿宋_GB2312"/>
          <w:sz w:val="32"/>
          <w:szCs w:val="32"/>
          <w:lang w:val="en-US" w:eastAsia="zh-CN"/>
        </w:rPr>
        <w:t>”，并且将“处十万元以上五十万元以下的罚款；并报经有批准权的人民政府批准”修改为“处十万元以上五十万元以下的罚款</w:t>
      </w:r>
      <w:r>
        <w:rPr>
          <w:rFonts w:hint="eastAsia" w:ascii="仿宋_GB2312" w:hAnsi="仿宋_GB2312" w:eastAsia="仿宋_GB2312" w:cs="仿宋_GB2312"/>
          <w:b/>
          <w:bCs/>
          <w:sz w:val="32"/>
          <w:szCs w:val="32"/>
          <w:lang w:val="en-US" w:eastAsia="zh-CN"/>
        </w:rPr>
        <w:t>，</w:t>
      </w:r>
      <w:r>
        <w:rPr>
          <w:rFonts w:hint="eastAsia" w:ascii="仿宋_GB2312" w:hAnsi="仿宋_GB2312" w:eastAsia="仿宋_GB2312" w:cs="仿宋_GB2312"/>
          <w:sz w:val="32"/>
          <w:szCs w:val="32"/>
          <w:lang w:val="en-US" w:eastAsia="zh-CN"/>
        </w:rPr>
        <w:t>并报经有批准权的人民政府批准”。</w:t>
      </w:r>
    </w:p>
    <w:p w14:paraId="4944220A">
      <w:pPr>
        <w:pStyle w:val="3"/>
        <w:pageBreakBefore w:val="0"/>
        <w:kinsoku/>
        <w:wordWrap/>
        <w:topLinePunct w:val="0"/>
        <w:autoSpaceDE/>
        <w:autoSpaceDN/>
        <w:bidi w:val="0"/>
        <w:spacing w:line="560" w:lineRule="exact"/>
        <w:textAlignment w:val="auto"/>
        <w:rPr>
          <w:rFonts w:hint="eastAsia"/>
          <w:lang w:val="en-US" w:eastAsia="zh-CN"/>
        </w:rPr>
      </w:pPr>
      <w:r>
        <w:rPr>
          <w:rFonts w:hint="eastAsia" w:ascii="仿宋_GB2312" w:hAnsi="仿宋_GB2312" w:eastAsia="仿宋_GB2312" w:cs="仿宋_GB2312"/>
          <w:sz w:val="32"/>
          <w:szCs w:val="32"/>
          <w:lang w:val="en-US" w:eastAsia="zh-CN"/>
        </w:rPr>
        <w:t>（九）关于第二十二条，将“按照《中华人民共和国水污染防治法》的相关规定予以处罚”修改为“按照</w:t>
      </w:r>
      <w:r>
        <w:rPr>
          <w:rFonts w:hint="eastAsia" w:ascii="仿宋_GB2312" w:hAnsi="仿宋_GB2312" w:eastAsia="仿宋_GB2312" w:cs="仿宋_GB2312"/>
          <w:b/>
          <w:bCs w:val="0"/>
          <w:sz w:val="32"/>
          <w:szCs w:val="32"/>
          <w:lang w:val="en-US" w:eastAsia="zh-CN"/>
        </w:rPr>
        <w:t>《中华人民共和国生态环境法典》</w:t>
      </w:r>
      <w:r>
        <w:rPr>
          <w:rFonts w:hint="eastAsia" w:ascii="仿宋_GB2312" w:hAnsi="仿宋_GB2312" w:eastAsia="仿宋_GB2312" w:cs="仿宋_GB2312"/>
          <w:sz w:val="32"/>
          <w:szCs w:val="32"/>
          <w:lang w:val="en-US" w:eastAsia="zh-CN"/>
        </w:rPr>
        <w:t>的相关规定予以处罚”。</w:t>
      </w:r>
    </w:p>
    <w:p w14:paraId="4B9CF6E0">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方正仿宋_GB2312" w:hAnsi="方正仿宋_GB2312" w:eastAsia="方正仿宋_GB2312" w:cs="方正仿宋_GB2312"/>
          <w:b w:val="0"/>
          <w:bCs w:val="0"/>
          <w:sz w:val="32"/>
          <w:szCs w:val="32"/>
          <w:vertAlign w:val="baseline"/>
          <w:lang w:val="en-US" w:eastAsia="zh-CN"/>
        </w:rPr>
      </w:pPr>
      <w:r>
        <w:rPr>
          <w:rFonts w:hint="eastAsia" w:ascii="仿宋_GB2312" w:hAnsi="仿宋_GB2312" w:eastAsia="仿宋_GB2312" w:cs="仿宋_GB2312"/>
          <w:sz w:val="32"/>
          <w:szCs w:val="32"/>
          <w:lang w:val="en-US" w:eastAsia="zh-CN"/>
        </w:rPr>
        <w:t>（十）关于第二十四条，根据《中华人民共和国生态环境法典》第一千一百零八条，将“</w:t>
      </w:r>
      <w:r>
        <w:rPr>
          <w:rFonts w:hint="eastAsia" w:ascii="方正仿宋_GB2312" w:hAnsi="方正仿宋_GB2312" w:eastAsia="方正仿宋_GB2312" w:cs="方正仿宋_GB2312"/>
          <w:b w:val="0"/>
          <w:bCs w:val="0"/>
          <w:sz w:val="32"/>
          <w:szCs w:val="32"/>
          <w:vertAlign w:val="baseline"/>
        </w:rPr>
        <w:t>由县级以上人民政府生态环境主管部门责令改正或者责令限制生产、停产整治，并处</w:t>
      </w:r>
      <w:r>
        <w:rPr>
          <w:rFonts w:hint="eastAsia" w:ascii="方正仿宋_GB2312" w:hAnsi="方正仿宋_GB2312" w:eastAsia="方正仿宋_GB2312" w:cs="方正仿宋_GB2312"/>
          <w:b w:val="0"/>
          <w:bCs w:val="0"/>
          <w:sz w:val="32"/>
          <w:szCs w:val="32"/>
          <w:highlight w:val="none"/>
          <w:vertAlign w:val="baseline"/>
        </w:rPr>
        <w:t>二十万元</w:t>
      </w:r>
      <w:r>
        <w:rPr>
          <w:rFonts w:hint="eastAsia" w:ascii="方正仿宋_GB2312" w:hAnsi="方正仿宋_GB2312" w:eastAsia="方正仿宋_GB2312" w:cs="方正仿宋_GB2312"/>
          <w:b w:val="0"/>
          <w:bCs w:val="0"/>
          <w:sz w:val="32"/>
          <w:szCs w:val="32"/>
          <w:vertAlign w:val="baseline"/>
        </w:rPr>
        <w:t>以上一百万元以下的罚款；情节严重的，报经有批准权的人民政府批准，责令停业、关闭</w:t>
      </w:r>
      <w:r>
        <w:rPr>
          <w:rFonts w:hint="eastAsia" w:ascii="仿宋_GB2312" w:hAnsi="仿宋_GB2312" w:eastAsia="仿宋_GB2312" w:cs="仿宋_GB2312"/>
          <w:sz w:val="32"/>
          <w:szCs w:val="32"/>
          <w:lang w:val="en-US" w:eastAsia="zh-CN"/>
        </w:rPr>
        <w:t>”修改为“</w:t>
      </w:r>
      <w:r>
        <w:rPr>
          <w:rFonts w:hint="eastAsia" w:ascii="方正仿宋_GB2312" w:hAnsi="方正仿宋_GB2312" w:eastAsia="方正仿宋_GB2312" w:cs="方正仿宋_GB2312"/>
          <w:b w:val="0"/>
          <w:bCs w:val="0"/>
          <w:sz w:val="32"/>
          <w:szCs w:val="32"/>
          <w:vertAlign w:val="baseline"/>
        </w:rPr>
        <w:t>由县级以上人民政府生态环境主管部门责令改正或者责令限制生产、停产整治，处</w:t>
      </w:r>
      <w:r>
        <w:rPr>
          <w:rFonts w:hint="eastAsia" w:ascii="方正仿宋_GB2312" w:hAnsi="方正仿宋_GB2312" w:eastAsia="方正仿宋_GB2312" w:cs="方正仿宋_GB2312"/>
          <w:b w:val="0"/>
          <w:bCs w:val="0"/>
          <w:sz w:val="32"/>
          <w:szCs w:val="32"/>
          <w:highlight w:val="none"/>
          <w:vertAlign w:val="baseline"/>
        </w:rPr>
        <w:t>二十万元</w:t>
      </w:r>
      <w:r>
        <w:rPr>
          <w:rFonts w:hint="eastAsia" w:ascii="方正仿宋_GB2312" w:hAnsi="方正仿宋_GB2312" w:eastAsia="方正仿宋_GB2312" w:cs="方正仿宋_GB2312"/>
          <w:b w:val="0"/>
          <w:bCs w:val="0"/>
          <w:sz w:val="32"/>
          <w:szCs w:val="32"/>
          <w:vertAlign w:val="baseline"/>
        </w:rPr>
        <w:t>以上一百万元以下的罚款</w:t>
      </w:r>
      <w:r>
        <w:rPr>
          <w:rFonts w:hint="eastAsia" w:ascii="方正仿宋_GB2312" w:hAnsi="方正仿宋_GB2312" w:eastAsia="方正仿宋_GB2312" w:cs="方正仿宋_GB2312"/>
          <w:b w:val="0"/>
          <w:bCs w:val="0"/>
          <w:sz w:val="32"/>
          <w:szCs w:val="32"/>
          <w:vertAlign w:val="baseline"/>
          <w:lang w:eastAsia="zh-CN"/>
        </w:rPr>
        <w:t>，</w:t>
      </w:r>
      <w:r>
        <w:rPr>
          <w:rFonts w:hint="eastAsia" w:ascii="方正仿宋_GB2312" w:hAnsi="方正仿宋_GB2312" w:eastAsia="方正仿宋_GB2312" w:cs="方正仿宋_GB2312"/>
          <w:b/>
          <w:bCs/>
          <w:sz w:val="32"/>
          <w:szCs w:val="32"/>
          <w:vertAlign w:val="baseline"/>
        </w:rPr>
        <w:t>并将案件移送公安机关</w:t>
      </w:r>
      <w:r>
        <w:rPr>
          <w:rFonts w:hint="eastAsia" w:ascii="方正仿宋_GB2312" w:hAnsi="方正仿宋_GB2312" w:eastAsia="方正仿宋_GB2312" w:cs="方正仿宋_GB2312"/>
          <w:b w:val="0"/>
          <w:bCs w:val="0"/>
          <w:sz w:val="32"/>
          <w:szCs w:val="32"/>
          <w:vertAlign w:val="baseline"/>
        </w:rPr>
        <w:t>；情节严重的，</w:t>
      </w:r>
      <w:r>
        <w:rPr>
          <w:rFonts w:hint="eastAsia" w:ascii="方正仿宋_GB2312" w:hAnsi="方正仿宋_GB2312" w:eastAsia="方正仿宋_GB2312" w:cs="方正仿宋_GB2312"/>
          <w:b/>
          <w:bCs/>
          <w:sz w:val="32"/>
          <w:szCs w:val="32"/>
          <w:vertAlign w:val="baseline"/>
        </w:rPr>
        <w:t>吊销排污许可证，</w:t>
      </w:r>
      <w:r>
        <w:rPr>
          <w:rFonts w:hint="eastAsia" w:ascii="方正仿宋_GB2312" w:hAnsi="方正仿宋_GB2312" w:eastAsia="方正仿宋_GB2312" w:cs="方正仿宋_GB2312"/>
          <w:b w:val="0"/>
          <w:bCs w:val="0"/>
          <w:sz w:val="32"/>
          <w:szCs w:val="32"/>
          <w:vertAlign w:val="baseline"/>
        </w:rPr>
        <w:t>报经有批准权的人民政府批准，责令停业、关闭</w:t>
      </w:r>
      <w:r>
        <w:rPr>
          <w:rFonts w:hint="eastAsia" w:ascii="方正仿宋_GB2312" w:hAnsi="方正仿宋_GB2312" w:eastAsia="方正仿宋_GB2312" w:cs="方正仿宋_GB2312"/>
          <w:b w:val="0"/>
          <w:bCs w:val="0"/>
          <w:sz w:val="32"/>
          <w:szCs w:val="32"/>
          <w:vertAlign w:val="baseline"/>
          <w:lang w:val="en-US" w:eastAsia="zh-CN"/>
        </w:rPr>
        <w:t>”。</w:t>
      </w:r>
    </w:p>
    <w:p w14:paraId="3E2513EF">
      <w:pPr>
        <w:pStyle w:val="3"/>
        <w:pageBreakBefore w:val="0"/>
        <w:kinsoku/>
        <w:wordWrap/>
        <w:topLinePunct w:val="0"/>
        <w:autoSpaceDE/>
        <w:autoSpaceDN/>
        <w:bidi w:val="0"/>
        <w:spacing w:line="560" w:lineRule="exact"/>
        <w:textAlignment w:val="auto"/>
        <w:rPr>
          <w:rFonts w:hint="eastAsia"/>
          <w:lang w:val="en-US" w:eastAsia="zh-CN"/>
        </w:rPr>
      </w:pPr>
      <w:r>
        <w:rPr>
          <w:rFonts w:hint="eastAsia" w:ascii="仿宋_GB2312" w:hAnsi="仿宋_GB2312" w:eastAsia="仿宋_GB2312" w:cs="仿宋_GB2312"/>
          <w:sz w:val="32"/>
          <w:szCs w:val="32"/>
          <w:lang w:val="en-US" w:eastAsia="zh-CN"/>
        </w:rPr>
        <w:t>（十一）关于第二十五条，根据《中华人民共和国生态环境法典》第一千零八十三条，将“</w:t>
      </w:r>
      <w:r>
        <w:rPr>
          <w:rFonts w:hint="eastAsia" w:ascii="方正仿宋_GB2312" w:hAnsi="方正仿宋_GB2312" w:eastAsia="方正仿宋_GB2312" w:cs="方正仿宋_GB2312"/>
          <w:b w:val="0"/>
          <w:bCs w:val="0"/>
          <w:sz w:val="32"/>
          <w:szCs w:val="32"/>
          <w:vertAlign w:val="baseline"/>
        </w:rPr>
        <w:t>生态环境主管部门查处违法行为时</w:t>
      </w:r>
      <w:r>
        <w:rPr>
          <w:rFonts w:hint="eastAsia" w:ascii="仿宋_GB2312" w:hAnsi="仿宋_GB2312" w:eastAsia="仿宋_GB2312" w:cs="仿宋_GB2312"/>
          <w:sz w:val="32"/>
          <w:szCs w:val="32"/>
          <w:lang w:val="en-US" w:eastAsia="zh-CN"/>
        </w:rPr>
        <w:t>”修改为“</w:t>
      </w:r>
      <w:r>
        <w:rPr>
          <w:rFonts w:hint="eastAsia" w:ascii="仿宋_GB2312" w:hAnsi="仿宋_GB2312" w:eastAsia="仿宋_GB2312" w:cs="仿宋_GB2312"/>
          <w:b/>
          <w:bCs w:val="0"/>
          <w:sz w:val="32"/>
          <w:szCs w:val="32"/>
          <w:lang w:val="en-US" w:eastAsia="zh-CN"/>
        </w:rPr>
        <w:t>负有生态环境保护监督管理职责的部门、机构，以及人民法院、人民检察院在依法查处生态环境违法行为或者办理相关案件过程中</w:t>
      </w:r>
      <w:r>
        <w:rPr>
          <w:rFonts w:hint="eastAsia" w:ascii="仿宋_GB2312" w:hAnsi="仿宋_GB2312" w:eastAsia="仿宋_GB2312" w:cs="仿宋_GB2312"/>
          <w:sz w:val="32"/>
          <w:szCs w:val="32"/>
          <w:lang w:val="en-US" w:eastAsia="zh-CN"/>
        </w:rPr>
        <w:t>”。</w:t>
      </w:r>
    </w:p>
    <w:p w14:paraId="50A60A17">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（十二）关于第二十六条，根据《中华人民共和国生态环境法典》第一千二百三十七条，将“</w:t>
      </w:r>
      <w:r>
        <w:rPr>
          <w:rFonts w:hint="eastAsia" w:ascii="方正仿宋_GB2312" w:hAnsi="方正仿宋_GB2312" w:eastAsia="方正仿宋_GB2312" w:cs="方正仿宋_GB2312"/>
          <w:b w:val="0"/>
          <w:bCs w:val="0"/>
          <w:sz w:val="32"/>
          <w:szCs w:val="32"/>
          <w:vertAlign w:val="baseline"/>
        </w:rPr>
        <w:t>情节严重的，处二万元以上十万元以下的罚款</w:t>
      </w:r>
      <w:r>
        <w:rPr>
          <w:rFonts w:hint="eastAsia" w:ascii="仿宋_GB2312" w:hAnsi="仿宋_GB2312" w:eastAsia="仿宋_GB2312" w:cs="仿宋_GB2312"/>
          <w:sz w:val="32"/>
          <w:szCs w:val="32"/>
          <w:lang w:val="en-US" w:eastAsia="zh-CN"/>
        </w:rPr>
        <w:t>”修改为“</w:t>
      </w:r>
      <w:r>
        <w:rPr>
          <w:rFonts w:hint="eastAsia" w:ascii="方正仿宋_GB2312" w:hAnsi="方正仿宋_GB2312" w:eastAsia="方正仿宋_GB2312" w:cs="方正仿宋_GB2312"/>
          <w:b w:val="0"/>
          <w:bCs w:val="0"/>
          <w:sz w:val="32"/>
          <w:szCs w:val="32"/>
          <w:vertAlign w:val="baseline"/>
        </w:rPr>
        <w:t>情节严重的，处</w:t>
      </w:r>
      <w:r>
        <w:rPr>
          <w:rFonts w:hint="eastAsia" w:ascii="方正仿宋_GB2312" w:hAnsi="方正仿宋_GB2312" w:eastAsia="方正仿宋_GB2312" w:cs="方正仿宋_GB2312"/>
          <w:b/>
          <w:bCs/>
          <w:sz w:val="32"/>
          <w:szCs w:val="32"/>
          <w:vertAlign w:val="baseline"/>
        </w:rPr>
        <w:t>二十万元以上二百万元</w:t>
      </w:r>
      <w:r>
        <w:rPr>
          <w:rFonts w:hint="eastAsia" w:ascii="方正仿宋_GB2312" w:hAnsi="方正仿宋_GB2312" w:eastAsia="方正仿宋_GB2312" w:cs="方正仿宋_GB2312"/>
          <w:b/>
          <w:bCs/>
          <w:sz w:val="32"/>
          <w:szCs w:val="32"/>
          <w:vertAlign w:val="baseline"/>
          <w:lang w:val="en-US" w:eastAsia="zh-CN"/>
        </w:rPr>
        <w:t>以下</w:t>
      </w:r>
      <w:r>
        <w:rPr>
          <w:rFonts w:hint="eastAsia" w:ascii="方正仿宋_GB2312" w:hAnsi="方正仿宋_GB2312" w:eastAsia="方正仿宋_GB2312" w:cs="方正仿宋_GB2312"/>
          <w:b w:val="0"/>
          <w:bCs w:val="0"/>
          <w:sz w:val="32"/>
          <w:szCs w:val="32"/>
          <w:vertAlign w:val="baseline"/>
        </w:rPr>
        <w:t>的罚款</w:t>
      </w:r>
      <w:r>
        <w:rPr>
          <w:rFonts w:hint="eastAsia" w:ascii="仿宋_GB2312" w:hAnsi="仿宋_GB2312" w:eastAsia="仿宋_GB2312" w:cs="仿宋_GB2312"/>
          <w:sz w:val="32"/>
          <w:szCs w:val="32"/>
          <w:lang w:val="en-US" w:eastAsia="zh-CN"/>
        </w:rPr>
        <w:t>”。</w:t>
      </w:r>
    </w:p>
    <w:p w14:paraId="7CDB3C80">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（十三）关于第二十八条，根据《中华人民共和国生态环境法典》第一千零八十四条，将“</w:t>
      </w:r>
      <w:r>
        <w:rPr>
          <w:rFonts w:hint="eastAsia" w:ascii="方正仿宋_GB2312" w:hAnsi="方正仿宋_GB2312" w:eastAsia="方正仿宋_GB2312" w:cs="方正仿宋_GB2312"/>
          <w:b w:val="0"/>
          <w:bCs w:val="0"/>
          <w:sz w:val="32"/>
          <w:szCs w:val="32"/>
          <w:vertAlign w:val="baseline"/>
        </w:rPr>
        <w:t>环境保护监督管理人员和其他有关国家工作人员滥用职权、玩忽职守、徇私舞弊，情节轻微的，由其所在单位或者上级主管部门给予行政处分</w:t>
      </w:r>
      <w:r>
        <w:rPr>
          <w:rFonts w:hint="eastAsia" w:ascii="仿宋_GB2312" w:hAnsi="仿宋_GB2312" w:eastAsia="仿宋_GB2312" w:cs="仿宋_GB2312"/>
          <w:sz w:val="32"/>
          <w:szCs w:val="32"/>
          <w:lang w:val="en-US" w:eastAsia="zh-CN"/>
        </w:rPr>
        <w:t>”修改为“</w:t>
      </w:r>
      <w:r>
        <w:rPr>
          <w:rFonts w:hint="eastAsia" w:ascii="方正仿宋_GB2312" w:hAnsi="方正仿宋_GB2312" w:eastAsia="方正仿宋_GB2312" w:cs="方正仿宋_GB2312"/>
          <w:b/>
          <w:bCs/>
          <w:sz w:val="32"/>
          <w:szCs w:val="32"/>
          <w:vertAlign w:val="baseline"/>
        </w:rPr>
        <w:t>环境保护监督管理人员和其他有关国家工作人员</w:t>
      </w:r>
      <w:r>
        <w:rPr>
          <w:rFonts w:hint="eastAsia" w:ascii="方正仿宋_GB2312" w:hAnsi="方正仿宋_GB2312" w:eastAsia="方正仿宋_GB2312" w:cs="方正仿宋_GB2312"/>
          <w:b/>
          <w:bCs/>
          <w:sz w:val="32"/>
          <w:szCs w:val="32"/>
          <w:vertAlign w:val="baseline"/>
          <w:lang w:val="en-US" w:eastAsia="zh-CN"/>
        </w:rPr>
        <w:t>存在</w:t>
      </w:r>
      <w:r>
        <w:rPr>
          <w:rFonts w:hint="eastAsia" w:ascii="方正仿宋_GB2312" w:hAnsi="方正仿宋_GB2312" w:eastAsia="方正仿宋_GB2312" w:cs="方正仿宋_GB2312"/>
          <w:b/>
          <w:bCs/>
          <w:sz w:val="32"/>
          <w:szCs w:val="32"/>
          <w:vertAlign w:val="baseline"/>
        </w:rPr>
        <w:t>滥用职权、玩忽职守、徇私舞弊</w:t>
      </w:r>
      <w:r>
        <w:rPr>
          <w:rFonts w:hint="eastAsia" w:ascii="方正仿宋_GB2312" w:hAnsi="方正仿宋_GB2312" w:eastAsia="方正仿宋_GB2312" w:cs="方正仿宋_GB2312"/>
          <w:b/>
          <w:bCs/>
          <w:sz w:val="32"/>
          <w:szCs w:val="32"/>
          <w:vertAlign w:val="baseline"/>
          <w:lang w:val="en-US" w:eastAsia="zh-CN"/>
        </w:rPr>
        <w:t>等违法行为</w:t>
      </w:r>
      <w:r>
        <w:rPr>
          <w:rFonts w:hint="eastAsia" w:ascii="方正仿宋_GB2312" w:hAnsi="方正仿宋_GB2312" w:eastAsia="方正仿宋_GB2312" w:cs="方正仿宋_GB2312"/>
          <w:b/>
          <w:bCs/>
          <w:sz w:val="32"/>
          <w:szCs w:val="32"/>
          <w:vertAlign w:val="baseline"/>
        </w:rPr>
        <w:t>，依法应当给予处分的，应当移送其任免机关、单位或者监察机关依法处理</w:t>
      </w:r>
      <w:r>
        <w:rPr>
          <w:rFonts w:hint="eastAsia" w:ascii="方正仿宋_GB2312" w:hAnsi="方正仿宋_GB2312" w:eastAsia="方正仿宋_GB2312" w:cs="方正仿宋_GB2312"/>
          <w:b w:val="0"/>
          <w:bCs w:val="0"/>
          <w:sz w:val="32"/>
          <w:szCs w:val="32"/>
          <w:vertAlign w:val="baseline"/>
          <w:lang w:val="en-US" w:eastAsia="zh-CN"/>
        </w:rPr>
        <w:t>”。</w:t>
      </w:r>
    </w:p>
    <w:p w14:paraId="1017B5A4">
      <w:pPr>
        <w:pStyle w:val="3"/>
        <w:pageBreakBefore w:val="0"/>
        <w:kinsoku/>
        <w:wordWrap/>
        <w:topLinePunct w:val="0"/>
        <w:autoSpaceDE/>
        <w:autoSpaceDN/>
        <w:bidi w:val="0"/>
        <w:spacing w:line="560" w:lineRule="exact"/>
        <w:ind w:left="0" w:leftChars="0" w:firstLine="0" w:firstLineChars="0"/>
        <w:textAlignment w:val="auto"/>
        <w:rPr>
          <w:rFonts w:hint="eastAsia"/>
          <w:lang w:val="en-US" w:eastAsia="zh-CN"/>
        </w:rPr>
      </w:pPr>
      <w:bookmarkStart w:id="0" w:name="_GoBack"/>
      <w:bookmarkEnd w:id="0"/>
    </w:p>
    <w:sectPr>
      <w:footerReference r:id="rId3" w:type="default"/>
      <w:pgSz w:w="11906" w:h="16838"/>
      <w:pgMar w:top="2098" w:right="1474" w:bottom="1984" w:left="1587" w:header="851" w:footer="992" w:gutter="0"/>
      <w:pgNumType w:fmt="numberInDash"/>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01"/>
    <w:family w:val="auto"/>
    <w:pitch w:val="default"/>
    <w:sig w:usb0="00000000" w:usb1="00000000"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楷体_GB2312">
    <w:altName w:val="方正楷体_GBK"/>
    <w:panose1 w:val="02010609030101010101"/>
    <w:charset w:val="86"/>
    <w:family w:val="auto"/>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方正黑体_GBK">
    <w:panose1 w:val="02000000000000000000"/>
    <w:charset w:val="86"/>
    <w:family w:val="auto"/>
    <w:pitch w:val="default"/>
    <w:sig w:usb0="00000001" w:usb1="08000000" w:usb2="00000000" w:usb3="00000000" w:csb0="00040000" w:csb1="00000000"/>
  </w:font>
  <w:font w:name="国标仿宋-GB/T 2312">
    <w:panose1 w:val="02000500000000000000"/>
    <w:charset w:val="86"/>
    <w:family w:val="auto"/>
    <w:pitch w:val="default"/>
    <w:sig w:usb0="800002AF" w:usb1="08476CF8" w:usb2="00000010" w:usb3="00000000" w:csb0="00040000" w:csb1="00000000"/>
  </w:font>
  <w:font w:name="仿宋_GB2312">
    <w:altName w:val="方正仿宋_GBK"/>
    <w:panose1 w:val="02010609030101010101"/>
    <w:charset w:val="86"/>
    <w:family w:val="auto"/>
    <w:pitch w:val="default"/>
    <w:sig w:usb0="00000000" w:usb1="00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方正仿宋_GB2312">
    <w:altName w:val="方正仿宋_GBK"/>
    <w:panose1 w:val="02000000000000000000"/>
    <w:charset w:val="86"/>
    <w:family w:val="auto"/>
    <w:pitch w:val="default"/>
    <w:sig w:usb0="00000000" w:usb1="00000000" w:usb2="00000012" w:usb3="00000000" w:csb0="00040001" w:csb1="00000000"/>
  </w:font>
  <w:font w:name="国标宋体-GB/T 2312">
    <w:panose1 w:val="02000500000000000000"/>
    <w:charset w:val="86"/>
    <w:family w:val="auto"/>
    <w:pitch w:val="default"/>
    <w:sig w:usb0="00000001" w:usb1="08000000" w:usb2="00000000" w:usb3="00000000" w:csb0="00040000" w:csb1="00000000"/>
  </w:font>
  <w:font w:name="MathJax_Vector">
    <w:panose1 w:val="02000603000000000000"/>
    <w:charset w:val="00"/>
    <w:family w:val="auto"/>
    <w:pitch w:val="default"/>
    <w:sig w:usb0="00000001" w:usb1="0000002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9DEC55">
    <w:pPr>
      <w:pStyle w:val="8"/>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0D7B2E7">
                          <w:pPr>
                            <w:pStyle w:val="8"/>
                            <w:rPr>
                              <w:rFonts w:hint="eastAsia" w:ascii="国标宋体-GB/T 2312" w:hAnsi="国标宋体-GB/T 2312" w:eastAsia="国标宋体-GB/T 2312" w:cs="国标宋体-GB/T 2312"/>
                              <w:sz w:val="28"/>
                              <w:szCs w:val="28"/>
                            </w:rPr>
                          </w:pPr>
                          <w:r>
                            <w:rPr>
                              <w:rFonts w:hint="eastAsia" w:ascii="国标宋体-GB/T 2312" w:hAnsi="国标宋体-GB/T 2312" w:eastAsia="国标宋体-GB/T 2312" w:cs="国标宋体-GB/T 2312"/>
                              <w:sz w:val="28"/>
                              <w:szCs w:val="28"/>
                            </w:rPr>
                            <w:fldChar w:fldCharType="begin"/>
                          </w:r>
                          <w:r>
                            <w:rPr>
                              <w:rFonts w:hint="eastAsia" w:ascii="国标宋体-GB/T 2312" w:hAnsi="国标宋体-GB/T 2312" w:eastAsia="国标宋体-GB/T 2312" w:cs="国标宋体-GB/T 2312"/>
                              <w:sz w:val="28"/>
                              <w:szCs w:val="28"/>
                            </w:rPr>
                            <w:instrText xml:space="preserve"> PAGE  \* MERGEFORMAT </w:instrText>
                          </w:r>
                          <w:r>
                            <w:rPr>
                              <w:rFonts w:hint="eastAsia" w:ascii="国标宋体-GB/T 2312" w:hAnsi="国标宋体-GB/T 2312" w:eastAsia="国标宋体-GB/T 2312" w:cs="国标宋体-GB/T 2312"/>
                              <w:sz w:val="28"/>
                              <w:szCs w:val="28"/>
                            </w:rPr>
                            <w:fldChar w:fldCharType="separate"/>
                          </w:r>
                          <w:r>
                            <w:rPr>
                              <w:rFonts w:hint="eastAsia" w:ascii="国标宋体-GB/T 2312" w:hAnsi="国标宋体-GB/T 2312" w:eastAsia="国标宋体-GB/T 2312" w:cs="国标宋体-GB/T 2312"/>
                              <w:sz w:val="28"/>
                              <w:szCs w:val="28"/>
                            </w:rPr>
                            <w:t>1</w:t>
                          </w:r>
                          <w:r>
                            <w:rPr>
                              <w:rFonts w:hint="eastAsia" w:ascii="国标宋体-GB/T 2312" w:hAnsi="国标宋体-GB/T 2312" w:eastAsia="国标宋体-GB/T 2312" w:cs="国标宋体-GB/T 2312"/>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40D7B2E7">
                    <w:pPr>
                      <w:pStyle w:val="8"/>
                      <w:rPr>
                        <w:rFonts w:hint="eastAsia" w:ascii="国标宋体-GB/T 2312" w:hAnsi="国标宋体-GB/T 2312" w:eastAsia="国标宋体-GB/T 2312" w:cs="国标宋体-GB/T 2312"/>
                        <w:sz w:val="28"/>
                        <w:szCs w:val="28"/>
                      </w:rPr>
                    </w:pPr>
                    <w:r>
                      <w:rPr>
                        <w:rFonts w:hint="eastAsia" w:ascii="国标宋体-GB/T 2312" w:hAnsi="国标宋体-GB/T 2312" w:eastAsia="国标宋体-GB/T 2312" w:cs="国标宋体-GB/T 2312"/>
                        <w:sz w:val="28"/>
                        <w:szCs w:val="28"/>
                      </w:rPr>
                      <w:fldChar w:fldCharType="begin"/>
                    </w:r>
                    <w:r>
                      <w:rPr>
                        <w:rFonts w:hint="eastAsia" w:ascii="国标宋体-GB/T 2312" w:hAnsi="国标宋体-GB/T 2312" w:eastAsia="国标宋体-GB/T 2312" w:cs="国标宋体-GB/T 2312"/>
                        <w:sz w:val="28"/>
                        <w:szCs w:val="28"/>
                      </w:rPr>
                      <w:instrText xml:space="preserve"> PAGE  \* MERGEFORMAT </w:instrText>
                    </w:r>
                    <w:r>
                      <w:rPr>
                        <w:rFonts w:hint="eastAsia" w:ascii="国标宋体-GB/T 2312" w:hAnsi="国标宋体-GB/T 2312" w:eastAsia="国标宋体-GB/T 2312" w:cs="国标宋体-GB/T 2312"/>
                        <w:sz w:val="28"/>
                        <w:szCs w:val="28"/>
                      </w:rPr>
                      <w:fldChar w:fldCharType="separate"/>
                    </w:r>
                    <w:r>
                      <w:rPr>
                        <w:rFonts w:hint="eastAsia" w:ascii="国标宋体-GB/T 2312" w:hAnsi="国标宋体-GB/T 2312" w:eastAsia="国标宋体-GB/T 2312" w:cs="国标宋体-GB/T 2312"/>
                        <w:sz w:val="28"/>
                        <w:szCs w:val="28"/>
                      </w:rPr>
                      <w:t>1</w:t>
                    </w:r>
                    <w:r>
                      <w:rPr>
                        <w:rFonts w:hint="eastAsia" w:ascii="国标宋体-GB/T 2312" w:hAnsi="国标宋体-GB/T 2312" w:eastAsia="国标宋体-GB/T 2312" w:cs="国标宋体-GB/T 2312"/>
                        <w:sz w:val="28"/>
                        <w:szCs w:val="28"/>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FD7FCF92"/>
    <w:rsid w:val="07EAF225"/>
    <w:rsid w:val="0BFBA474"/>
    <w:rsid w:val="1FEF3E76"/>
    <w:rsid w:val="381730EC"/>
    <w:rsid w:val="39F74286"/>
    <w:rsid w:val="3DF3D03A"/>
    <w:rsid w:val="3FEDD2B3"/>
    <w:rsid w:val="4B7B9B3E"/>
    <w:rsid w:val="4DE3980D"/>
    <w:rsid w:val="4DFBC028"/>
    <w:rsid w:val="56F89AEF"/>
    <w:rsid w:val="576EB927"/>
    <w:rsid w:val="57FF8C3D"/>
    <w:rsid w:val="57FF97DB"/>
    <w:rsid w:val="5CBD2D84"/>
    <w:rsid w:val="5D35456D"/>
    <w:rsid w:val="5DF71EA2"/>
    <w:rsid w:val="5FB52616"/>
    <w:rsid w:val="66DB8BA4"/>
    <w:rsid w:val="67B7A030"/>
    <w:rsid w:val="6B3DF35C"/>
    <w:rsid w:val="6D5E8C50"/>
    <w:rsid w:val="6D9B3C0E"/>
    <w:rsid w:val="6DDF8840"/>
    <w:rsid w:val="6F9F566D"/>
    <w:rsid w:val="75FF2405"/>
    <w:rsid w:val="76EFC68B"/>
    <w:rsid w:val="779BAF89"/>
    <w:rsid w:val="78F7B730"/>
    <w:rsid w:val="7B2D3490"/>
    <w:rsid w:val="7D0BF982"/>
    <w:rsid w:val="7D394A70"/>
    <w:rsid w:val="7DEE9ADB"/>
    <w:rsid w:val="7DFD165D"/>
    <w:rsid w:val="7E6F04AC"/>
    <w:rsid w:val="7EBD8CA9"/>
    <w:rsid w:val="7EBDE698"/>
    <w:rsid w:val="7EFF6296"/>
    <w:rsid w:val="7F7B2F5C"/>
    <w:rsid w:val="7F7EF471"/>
    <w:rsid w:val="7F7F019C"/>
    <w:rsid w:val="7FDFF6F8"/>
    <w:rsid w:val="7FFD710B"/>
    <w:rsid w:val="81F707BA"/>
    <w:rsid w:val="9F3D2862"/>
    <w:rsid w:val="BBFF6916"/>
    <w:rsid w:val="BCEC1F88"/>
    <w:rsid w:val="BFBA9B75"/>
    <w:rsid w:val="BFDFC3E7"/>
    <w:rsid w:val="BFED558B"/>
    <w:rsid w:val="BFFF2CB5"/>
    <w:rsid w:val="CF8FFA71"/>
    <w:rsid w:val="D5BD2E55"/>
    <w:rsid w:val="DFFDED1D"/>
    <w:rsid w:val="E7C77E3D"/>
    <w:rsid w:val="EEFD95F5"/>
    <w:rsid w:val="EEFFB019"/>
    <w:rsid w:val="EFDBDCAD"/>
    <w:rsid w:val="F67F009A"/>
    <w:rsid w:val="F7DE5F24"/>
    <w:rsid w:val="F7FFEC17"/>
    <w:rsid w:val="FACE1813"/>
    <w:rsid w:val="FAEE8FF2"/>
    <w:rsid w:val="FCAE64AB"/>
    <w:rsid w:val="FD1FFEBF"/>
    <w:rsid w:val="FD3F51A2"/>
    <w:rsid w:val="FD7FCF92"/>
    <w:rsid w:val="FDDDB179"/>
    <w:rsid w:val="FE77BD59"/>
    <w:rsid w:val="FFA6D78F"/>
    <w:rsid w:val="FFF9010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100" w:beforeAutospacing="1" w:after="100" w:afterAutospacing="1"/>
      <w:jc w:val="left"/>
      <w:outlineLvl w:val="0"/>
    </w:pPr>
    <w:rPr>
      <w:rFonts w:hint="eastAsia" w:ascii="宋体" w:hAnsi="宋体" w:eastAsia="宋体" w:cs="宋体"/>
      <w:b/>
      <w:bCs/>
      <w:kern w:val="44"/>
      <w:sz w:val="48"/>
      <w:szCs w:val="48"/>
      <w:lang w:val="en-US" w:eastAsia="zh-CN" w:bidi="ar"/>
    </w:rPr>
  </w:style>
  <w:style w:type="paragraph" w:styleId="3">
    <w:name w:val="heading 3"/>
    <w:basedOn w:val="1"/>
    <w:next w:val="1"/>
    <w:qFormat/>
    <w:uiPriority w:val="0"/>
    <w:pPr>
      <w:keepNext/>
      <w:keepLines/>
      <w:spacing w:line="600" w:lineRule="exact"/>
      <w:ind w:firstLine="640" w:firstLineChars="200"/>
      <w:outlineLvl w:val="2"/>
    </w:pPr>
    <w:rPr>
      <w:rFonts w:eastAsia="楷体_GB2312"/>
      <w:bCs/>
    </w:rPr>
  </w:style>
  <w:style w:type="character" w:default="1" w:styleId="13">
    <w:name w:val="Default Paragraph Font"/>
    <w:semiHidden/>
    <w:qFormat/>
    <w:uiPriority w:val="0"/>
  </w:style>
  <w:style w:type="table" w:default="1" w:styleId="12">
    <w:name w:val="Normal Table"/>
    <w:semiHidden/>
    <w:qFormat/>
    <w:uiPriority w:val="0"/>
    <w:tblPr>
      <w:tblCellMar>
        <w:top w:w="0" w:type="dxa"/>
        <w:left w:w="108" w:type="dxa"/>
        <w:bottom w:w="0" w:type="dxa"/>
        <w:right w:w="108" w:type="dxa"/>
      </w:tblCellMar>
    </w:tblPr>
  </w:style>
  <w:style w:type="paragraph" w:styleId="4">
    <w:name w:val="Body Text"/>
    <w:basedOn w:val="1"/>
    <w:next w:val="5"/>
    <w:qFormat/>
    <w:uiPriority w:val="0"/>
    <w:pPr>
      <w:spacing w:before="0" w:after="140" w:line="276" w:lineRule="auto"/>
    </w:pPr>
  </w:style>
  <w:style w:type="paragraph" w:styleId="5">
    <w:name w:val="Title"/>
    <w:basedOn w:val="1"/>
    <w:next w:val="1"/>
    <w:qFormat/>
    <w:uiPriority w:val="0"/>
    <w:pPr>
      <w:spacing w:before="240" w:beforeLines="0" w:after="60" w:afterLines="0"/>
      <w:jc w:val="center"/>
      <w:outlineLvl w:val="0"/>
    </w:pPr>
    <w:rPr>
      <w:rFonts w:ascii="Arial" w:hAnsi="Arial" w:cs="Arial"/>
      <w:b/>
      <w:bCs/>
      <w:sz w:val="32"/>
      <w:szCs w:val="32"/>
    </w:rPr>
  </w:style>
  <w:style w:type="paragraph" w:styleId="6">
    <w:name w:val="Body Text Indent"/>
    <w:basedOn w:val="1"/>
    <w:unhideWhenUsed/>
    <w:qFormat/>
    <w:uiPriority w:val="99"/>
    <w:pPr>
      <w:ind w:firstLine="630"/>
    </w:pPr>
  </w:style>
  <w:style w:type="paragraph" w:styleId="7">
    <w:name w:val="Plain Text"/>
    <w:basedOn w:val="1"/>
    <w:unhideWhenUsed/>
    <w:qFormat/>
    <w:uiPriority w:val="99"/>
    <w:rPr>
      <w:rFonts w:ascii="宋体" w:hAnsi="Courier New" w:eastAsia="宋体" w:cs="Courier New"/>
      <w:szCs w:val="21"/>
    </w:rPr>
  </w:style>
  <w:style w:type="paragraph" w:styleId="8">
    <w:name w:val="footer"/>
    <w:basedOn w:val="1"/>
    <w:qFormat/>
    <w:uiPriority w:val="0"/>
    <w:pPr>
      <w:tabs>
        <w:tab w:val="center" w:pos="4153"/>
        <w:tab w:val="right" w:pos="8306"/>
      </w:tabs>
      <w:snapToGrid w:val="0"/>
      <w:jc w:val="left"/>
    </w:pPr>
    <w:rPr>
      <w:sz w:val="18"/>
    </w:rPr>
  </w:style>
  <w:style w:type="paragraph" w:styleId="9">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0">
    <w:name w:val="Normal (Web)"/>
    <w:basedOn w:val="1"/>
    <w:qFormat/>
    <w:uiPriority w:val="0"/>
    <w:pPr>
      <w:spacing w:before="100" w:beforeAutospacing="1" w:after="100" w:afterAutospacing="1"/>
      <w:ind w:left="0" w:right="0"/>
      <w:jc w:val="left"/>
    </w:pPr>
    <w:rPr>
      <w:kern w:val="0"/>
      <w:sz w:val="24"/>
      <w:lang w:val="en-US" w:eastAsia="zh-CN" w:bidi="ar"/>
    </w:rPr>
  </w:style>
  <w:style w:type="paragraph" w:styleId="11">
    <w:name w:val="Body Text First Indent 2"/>
    <w:basedOn w:val="6"/>
    <w:next w:val="1"/>
    <w:qFormat/>
    <w:uiPriority w:val="0"/>
    <w:pPr>
      <w:ind w:left="200" w:firstLine="420" w:firstLineChars="200"/>
    </w:pPr>
    <w:rPr>
      <w:sz w:val="32"/>
      <w:szCs w:val="32"/>
      <w:lang w:val="en-US" w:eastAsia="zh-CN" w:bidi="ar-SA"/>
    </w:rPr>
  </w:style>
  <w:style w:type="character" w:styleId="14">
    <w:name w:val="Hyperlink"/>
    <w:basedOn w:val="13"/>
    <w:qFormat/>
    <w:uiPriority w:val="0"/>
    <w:rPr>
      <w:color w:val="0000FF"/>
      <w:u w:val="singl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244</TotalTime>
  <ScaleCrop>false</ScaleCrop>
  <LinksUpToDate>false</LinksUpToDate>
  <CharactersWithSpaces>0</CharactersWithSpaces>
  <Application>WPS Office_12.8.2.21176_F1E327BC-269C-435d-A152-05C5408002CA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2025-04-08T13:38:00Z</dcterms:created>
  <dc:creator>刘军</dc:creator>
  <cp:lastModifiedBy>Kylin</cp:lastModifiedBy>
  <dcterms:modified xsi:type="dcterms:W3CDTF">2026-07-08T09:05:53Z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2052-12.8.2.21176</vt:lpwstr>
  </property>
  <property fmtid="{D5CDD505-2E9C-101B-9397-08002B2CF9AE}" pid="3" name="ICV">
    <vt:lpwstr>AB162EA5E97262F168EB386AB0F1CA14_43</vt:lpwstr>
  </property>
</Properties>
</file>