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268B3E">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sz w:val="44"/>
          <w:szCs w:val="44"/>
        </w:rPr>
      </w:pPr>
      <w:bookmarkStart w:id="1" w:name="_GoBack"/>
      <w:bookmarkEnd w:id="1"/>
      <w:r>
        <w:rPr>
          <w:rFonts w:hint="default" w:ascii="Times New Roman" w:hAnsi="Times New Roman" w:eastAsia="方正小标宋简体" w:cs="Times New Roman"/>
          <w:sz w:val="44"/>
          <w:szCs w:val="44"/>
        </w:rPr>
        <w:t>石家庄市机动车排污管理中心</w:t>
      </w:r>
    </w:p>
    <w:p w14:paraId="4D4615F7">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仿宋" w:cs="Times New Roman"/>
          <w:bCs/>
          <w:color w:val="auto"/>
          <w:sz w:val="44"/>
          <w:szCs w:val="44"/>
        </w:rPr>
      </w:pPr>
      <w:r>
        <w:rPr>
          <w:rFonts w:hint="default" w:ascii="Times New Roman" w:hAnsi="Times New Roman" w:eastAsia="方正小标宋简体" w:cs="Times New Roman"/>
          <w:sz w:val="44"/>
          <w:szCs w:val="44"/>
          <w:lang w:val="en-US" w:eastAsia="zh-CN"/>
        </w:rPr>
        <w:t>重型柴油车远程在线监控数据分析服务项目的</w:t>
      </w:r>
      <w:r>
        <w:rPr>
          <w:rFonts w:hint="default" w:ascii="Times New Roman" w:hAnsi="Times New Roman" w:eastAsia="方正小标宋简体" w:cs="Times New Roman"/>
          <w:bCs/>
          <w:color w:val="auto"/>
          <w:sz w:val="44"/>
          <w:szCs w:val="44"/>
          <w:lang w:val="en-US" w:eastAsia="zh-CN"/>
        </w:rPr>
        <w:t>询价信息公告</w:t>
      </w:r>
    </w:p>
    <w:p w14:paraId="0FD2B9FD">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Times New Roman" w:hAnsi="Times New Roman" w:eastAsia="仿宋_GB2312" w:cs="Times New Roman"/>
          <w:bCs/>
          <w:color w:val="auto"/>
          <w:sz w:val="32"/>
          <w:szCs w:val="32"/>
        </w:rPr>
      </w:pPr>
    </w:p>
    <w:p w14:paraId="0B4A22BB">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我单位根据</w:t>
      </w:r>
      <w:r>
        <w:rPr>
          <w:rFonts w:hint="default" w:ascii="Times New Roman" w:hAnsi="Times New Roman" w:eastAsia="仿宋_GB2312" w:cs="Times New Roman"/>
          <w:bCs/>
          <w:color w:val="auto"/>
          <w:sz w:val="32"/>
          <w:szCs w:val="32"/>
          <w:lang w:eastAsia="zh-CN"/>
        </w:rPr>
        <w:t>政府采购相关规定及</w:t>
      </w:r>
      <w:r>
        <w:rPr>
          <w:rFonts w:hint="default" w:ascii="Times New Roman" w:hAnsi="Times New Roman" w:eastAsia="仿宋_GB2312" w:cs="Times New Roman"/>
          <w:bCs/>
          <w:color w:val="auto"/>
          <w:sz w:val="32"/>
          <w:szCs w:val="32"/>
        </w:rPr>
        <w:t>市财政局要求，现开展</w:t>
      </w:r>
      <w:r>
        <w:rPr>
          <w:rFonts w:hint="default" w:ascii="Times New Roman" w:hAnsi="Times New Roman" w:eastAsia="仿宋_GB2312" w:cs="Times New Roman"/>
          <w:bCs/>
          <w:color w:val="auto"/>
          <w:sz w:val="32"/>
          <w:szCs w:val="32"/>
          <w:lang w:eastAsia="zh-CN"/>
        </w:rPr>
        <w:t>“</w:t>
      </w:r>
      <w:r>
        <w:rPr>
          <w:rFonts w:hint="default" w:ascii="Times New Roman" w:hAnsi="Times New Roman" w:eastAsia="仿宋_GB2312" w:cs="Times New Roman"/>
          <w:bCs/>
          <w:color w:val="auto"/>
          <w:sz w:val="32"/>
          <w:szCs w:val="32"/>
        </w:rPr>
        <w:t>重型柴油车远程在线监控数据分析服务项目</w:t>
      </w:r>
      <w:r>
        <w:rPr>
          <w:rFonts w:hint="default" w:ascii="Times New Roman" w:hAnsi="Times New Roman" w:eastAsia="仿宋_GB2312" w:cs="Times New Roman"/>
          <w:bCs/>
          <w:color w:val="auto"/>
          <w:sz w:val="32"/>
          <w:szCs w:val="32"/>
          <w:lang w:eastAsia="zh-CN"/>
        </w:rPr>
        <w:t>”</w:t>
      </w:r>
      <w:r>
        <w:rPr>
          <w:rFonts w:hint="default" w:ascii="Times New Roman" w:hAnsi="Times New Roman" w:eastAsia="仿宋_GB2312" w:cs="Times New Roman"/>
          <w:bCs/>
          <w:color w:val="auto"/>
          <w:sz w:val="32"/>
          <w:szCs w:val="32"/>
          <w:lang w:val="en-US" w:eastAsia="zh-CN"/>
        </w:rPr>
        <w:t>（预算金额：</w:t>
      </w:r>
      <w:r>
        <w:rPr>
          <w:rFonts w:hint="default" w:ascii="Times New Roman" w:hAnsi="Times New Roman" w:eastAsia="仿宋_GB2312" w:cs="Times New Roman"/>
          <w:bCs/>
          <w:color w:val="auto"/>
          <w:sz w:val="32"/>
          <w:szCs w:val="32"/>
          <w:highlight w:val="none"/>
          <w:u w:val="single"/>
          <w:lang w:val="en-US" w:eastAsia="zh-CN"/>
        </w:rPr>
        <w:t>1</w:t>
      </w:r>
      <w:r>
        <w:rPr>
          <w:rFonts w:hint="eastAsia" w:ascii="Times New Roman" w:hAnsi="Times New Roman" w:eastAsia="仿宋_GB2312" w:cs="Times New Roman"/>
          <w:bCs/>
          <w:color w:val="auto"/>
          <w:sz w:val="32"/>
          <w:szCs w:val="32"/>
          <w:highlight w:val="none"/>
          <w:u w:val="single"/>
          <w:lang w:val="en-US" w:eastAsia="zh-CN"/>
        </w:rPr>
        <w:t>68</w:t>
      </w:r>
      <w:r>
        <w:rPr>
          <w:rFonts w:hint="default" w:ascii="Times New Roman" w:hAnsi="Times New Roman" w:eastAsia="仿宋_GB2312" w:cs="Times New Roman"/>
          <w:bCs/>
          <w:color w:val="auto"/>
          <w:sz w:val="32"/>
          <w:szCs w:val="32"/>
          <w:lang w:val="en-US" w:eastAsia="zh-CN"/>
        </w:rPr>
        <w:t>万）</w:t>
      </w:r>
      <w:r>
        <w:rPr>
          <w:rFonts w:hint="default" w:ascii="Times New Roman" w:hAnsi="Times New Roman" w:eastAsia="仿宋_GB2312" w:cs="Times New Roman"/>
          <w:bCs/>
          <w:color w:val="auto"/>
          <w:sz w:val="32"/>
          <w:szCs w:val="32"/>
        </w:rPr>
        <w:t>询价工作，请有意参</w:t>
      </w:r>
      <w:r>
        <w:rPr>
          <w:rFonts w:hint="default" w:ascii="Times New Roman" w:hAnsi="Times New Roman" w:eastAsia="仿宋_GB2312" w:cs="Times New Roman"/>
          <w:bCs/>
          <w:color w:val="auto"/>
          <w:sz w:val="32"/>
          <w:szCs w:val="32"/>
          <w:lang w:eastAsia="zh-CN"/>
        </w:rPr>
        <w:t>与</w:t>
      </w:r>
      <w:r>
        <w:rPr>
          <w:rFonts w:hint="default" w:ascii="Times New Roman" w:hAnsi="Times New Roman" w:eastAsia="仿宋_GB2312" w:cs="Times New Roman"/>
          <w:bCs/>
          <w:color w:val="auto"/>
          <w:sz w:val="32"/>
          <w:szCs w:val="32"/>
        </w:rPr>
        <w:t>的社会主体单位和组织自行下载有关附件，并按要求做好准备工作。</w:t>
      </w:r>
    </w:p>
    <w:p w14:paraId="5B52F53C">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Times New Roman" w:hAnsi="Times New Roman" w:eastAsia="仿宋_GB2312" w:cs="Times New Roman"/>
          <w:b/>
          <w:bCs w:val="0"/>
          <w:color w:val="auto"/>
          <w:sz w:val="32"/>
          <w:szCs w:val="32"/>
          <w:u w:val="none"/>
          <w:lang w:val="en-US" w:eastAsia="zh-CN"/>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202</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7</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2</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eastAsia="zh-CN"/>
        </w:rPr>
        <w:t>四</w:t>
      </w:r>
      <w:r>
        <w:rPr>
          <w:rFonts w:hint="eastAsia" w:ascii="仿宋_GB2312" w:hAnsi="仿宋_GB2312" w:eastAsia="仿宋_GB2312" w:cs="仿宋_GB2312"/>
          <w:b/>
          <w:sz w:val="32"/>
          <w:szCs w:val="32"/>
          <w:highlight w:val="none"/>
          <w:u w:val="single"/>
        </w:rPr>
        <w:t>）上午</w:t>
      </w:r>
      <w:r>
        <w:rPr>
          <w:rFonts w:hint="eastAsia" w:ascii="仿宋_GB2312" w:hAnsi="仿宋_GB2312" w:eastAsia="仿宋_GB2312" w:cs="仿宋_GB2312"/>
          <w:b/>
          <w:sz w:val="32"/>
          <w:szCs w:val="32"/>
          <w:highlight w:val="none"/>
          <w:u w:val="single"/>
          <w:lang w:val="en-US" w:eastAsia="zh-CN"/>
        </w:rPr>
        <w:t>10</w:t>
      </w:r>
      <w:r>
        <w:rPr>
          <w:rFonts w:hint="eastAsia" w:ascii="仿宋_GB2312" w:hAnsi="仿宋_GB2312" w:eastAsia="仿宋_GB2312" w:cs="仿宋_GB2312"/>
          <w:b/>
          <w:sz w:val="32"/>
          <w:szCs w:val="32"/>
          <w:highlight w:val="none"/>
          <w:u w:val="single"/>
          <w:lang w:eastAsia="zh-CN"/>
        </w:rPr>
        <w:t>：</w:t>
      </w:r>
      <w:r>
        <w:rPr>
          <w:rFonts w:hint="eastAsia" w:ascii="仿宋_GB2312" w:hAnsi="仿宋_GB2312" w:eastAsia="仿宋_GB2312" w:cs="仿宋_GB2312"/>
          <w:b/>
          <w:sz w:val="32"/>
          <w:szCs w:val="32"/>
          <w:highlight w:val="none"/>
          <w:u w:val="single"/>
          <w:lang w:val="en-US" w:eastAsia="zh-CN"/>
        </w:rPr>
        <w:t>30</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石家庄市桥西区槐安西路9号</w:t>
      </w:r>
      <w:r>
        <w:rPr>
          <w:rFonts w:hint="eastAsia" w:ascii="仿宋_GB2312" w:hAnsi="仿宋_GB2312" w:eastAsia="仿宋_GB2312" w:cs="仿宋_GB2312"/>
          <w:b/>
          <w:sz w:val="32"/>
          <w:szCs w:val="32"/>
          <w:highlight w:val="none"/>
        </w:rPr>
        <w:t>北配楼2</w:t>
      </w:r>
      <w:r>
        <w:rPr>
          <w:rFonts w:ascii="仿宋_GB2312" w:hAnsi="仿宋_GB2312" w:eastAsia="仿宋_GB2312" w:cs="仿宋_GB2312"/>
          <w:b/>
          <w:sz w:val="32"/>
          <w:szCs w:val="32"/>
          <w:highlight w:val="none"/>
        </w:rPr>
        <w:t>02</w:t>
      </w:r>
      <w:r>
        <w:rPr>
          <w:rFonts w:hint="eastAsia" w:ascii="仿宋_GB2312" w:hAnsi="仿宋_GB2312" w:eastAsia="仿宋_GB2312" w:cs="仿宋_GB2312"/>
          <w:b/>
          <w:sz w:val="32"/>
          <w:szCs w:val="32"/>
          <w:highlight w:val="none"/>
        </w:rPr>
        <w:t>会议室。</w:t>
      </w:r>
    </w:p>
    <w:p w14:paraId="6B96EAAD">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魏宗敏，联系电话：67667082</w:t>
      </w:r>
    </w:p>
    <w:p w14:paraId="1D4E6C78">
      <w:pPr>
        <w:keepNext w:val="0"/>
        <w:keepLines w:val="0"/>
        <w:pageBreakBefore w:val="0"/>
        <w:widowControl w:val="0"/>
        <w:kinsoku/>
        <w:wordWrap/>
        <w:overflowPunct/>
        <w:topLinePunct w:val="0"/>
        <w:autoSpaceDE/>
        <w:autoSpaceDN/>
        <w:bidi w:val="0"/>
        <w:adjustRightInd/>
        <w:snapToGrid/>
        <w:spacing w:line="540" w:lineRule="exact"/>
        <w:ind w:right="0" w:rightChars="0" w:firstLine="1929" w:firstLineChars="603"/>
        <w:textAlignment w:val="auto"/>
        <w:outlineLvl w:val="9"/>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85880697</w:t>
      </w:r>
    </w:p>
    <w:p w14:paraId="6C0497A6">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
          <w:color w:val="auto"/>
          <w:sz w:val="32"/>
          <w:szCs w:val="32"/>
          <w:u w:val="single"/>
        </w:rPr>
        <w:t>本次询价确定的最终报价仅为采购预算提供参考，不代表政府采购中标单位和价格。</w:t>
      </w:r>
    </w:p>
    <w:p w14:paraId="299D66E6">
      <w:pPr>
        <w:keepNext w:val="0"/>
        <w:keepLines w:val="0"/>
        <w:pageBreakBefore w:val="0"/>
        <w:kinsoku/>
        <w:wordWrap/>
        <w:overflowPunct/>
        <w:topLinePunct w:val="0"/>
        <w:autoSpaceDE/>
        <w:autoSpaceDN/>
        <w:bidi w:val="0"/>
        <w:spacing w:line="560" w:lineRule="exact"/>
        <w:ind w:right="0" w:rightChars="0" w:firstLine="64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特此公告。</w:t>
      </w:r>
    </w:p>
    <w:p w14:paraId="534437F9">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Cs/>
          <w:color w:val="auto"/>
          <w:sz w:val="32"/>
          <w:szCs w:val="32"/>
        </w:rPr>
      </w:pPr>
    </w:p>
    <w:p w14:paraId="2A2B0904">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bCs/>
          <w:color w:val="auto"/>
          <w:sz w:val="32"/>
          <w:szCs w:val="32"/>
        </w:rPr>
        <w:t>附件：</w:t>
      </w:r>
      <w:r>
        <w:rPr>
          <w:rFonts w:hint="default" w:ascii="Times New Roman" w:hAnsi="Times New Roman" w:eastAsia="仿宋_GB2312" w:cs="Times New Roman"/>
          <w:bCs/>
          <w:color w:val="auto"/>
          <w:sz w:val="32"/>
          <w:szCs w:val="32"/>
          <w:lang w:val="en-US" w:eastAsia="zh-CN"/>
        </w:rPr>
        <w:t>1.</w:t>
      </w:r>
      <w:r>
        <w:rPr>
          <w:rFonts w:hint="default" w:ascii="Times New Roman" w:hAnsi="Times New Roman" w:eastAsia="仿宋_GB2312" w:cs="Times New Roman"/>
          <w:color w:val="auto"/>
          <w:sz w:val="32"/>
          <w:szCs w:val="32"/>
        </w:rPr>
        <w:t>询价要求及流程</w:t>
      </w:r>
    </w:p>
    <w:p w14:paraId="46A192DE">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eastAsia="zh-CN"/>
        </w:rPr>
        <w:t>2.</w:t>
      </w:r>
      <w:r>
        <w:rPr>
          <w:rFonts w:hint="default" w:ascii="Times New Roman" w:hAnsi="Times New Roman" w:eastAsia="仿宋_GB2312" w:cs="Times New Roman"/>
          <w:color w:val="auto"/>
          <w:sz w:val="32"/>
          <w:szCs w:val="32"/>
        </w:rPr>
        <w:t>采购项目工作方案</w:t>
      </w:r>
    </w:p>
    <w:p w14:paraId="368BE4DD">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询价响应文件（格式）</w:t>
      </w:r>
    </w:p>
    <w:p w14:paraId="284EB607">
      <w:pPr>
        <w:pStyle w:val="11"/>
        <w:keepNext w:val="0"/>
        <w:keepLines w:val="0"/>
        <w:pageBreakBefore w:val="0"/>
        <w:kinsoku/>
        <w:wordWrap/>
        <w:overflowPunct/>
        <w:topLinePunct w:val="0"/>
        <w:autoSpaceDE/>
        <w:autoSpaceDN/>
        <w:bidi w:val="0"/>
        <w:spacing w:after="0" w:line="560" w:lineRule="exact"/>
        <w:ind w:right="0" w:rightChars="0"/>
        <w:textAlignment w:val="auto"/>
        <w:rPr>
          <w:rFonts w:hint="default" w:ascii="Times New Roman" w:hAnsi="Times New Roman" w:cs="Times New Roman"/>
          <w:color w:val="auto"/>
          <w:sz w:val="32"/>
          <w:szCs w:val="32"/>
        </w:rPr>
      </w:pPr>
    </w:p>
    <w:p w14:paraId="2F509137">
      <w:pPr>
        <w:wordWrap/>
        <w:spacing w:line="560" w:lineRule="exact"/>
        <w:jc w:val="right"/>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 xml:space="preserve"> </w:t>
      </w:r>
      <w:r>
        <w:rPr>
          <w:rFonts w:hint="default" w:ascii="Times New Roman" w:hAnsi="Times New Roman" w:eastAsia="仿宋_GB2312" w:cs="Times New Roman"/>
          <w:bCs/>
          <w:color w:val="auto"/>
          <w:sz w:val="32"/>
          <w:szCs w:val="32"/>
          <w:lang w:val="en-US" w:eastAsia="zh-CN"/>
        </w:rPr>
        <w:t xml:space="preserve">             </w:t>
      </w:r>
      <w:r>
        <w:rPr>
          <w:rFonts w:hint="default" w:ascii="Times New Roman" w:hAnsi="Times New Roman" w:eastAsia="仿宋_GB2312" w:cs="Times New Roman"/>
          <w:bCs/>
          <w:color w:val="auto"/>
          <w:sz w:val="32"/>
          <w:szCs w:val="32"/>
        </w:rPr>
        <w:t>石家庄市机动车排污管理中心</w:t>
      </w:r>
      <w:r>
        <w:rPr>
          <w:rFonts w:hint="default" w:ascii="Times New Roman" w:hAnsi="Times New Roman" w:eastAsia="仿宋_GB2312" w:cs="Times New Roman"/>
          <w:color w:val="auto"/>
          <w:sz w:val="32"/>
          <w:szCs w:val="32"/>
        </w:rPr>
        <w:t xml:space="preserve">         </w:t>
      </w:r>
    </w:p>
    <w:p w14:paraId="2CB8F2D5">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lang w:val="en-US" w:eastAsia="zh-CN"/>
        </w:rPr>
        <w:t xml:space="preserve">                             </w:t>
      </w:r>
      <w:r>
        <w:rPr>
          <w:rFonts w:hint="default" w:ascii="Times New Roman" w:hAnsi="Times New Roman" w:eastAsia="仿宋_GB2312" w:cs="Times New Roman"/>
          <w:bCs/>
          <w:color w:val="auto"/>
          <w:sz w:val="32"/>
          <w:szCs w:val="32"/>
        </w:rPr>
        <w:t>202</w:t>
      </w:r>
      <w:r>
        <w:rPr>
          <w:rFonts w:hint="eastAsia" w:ascii="Times New Roman" w:hAnsi="Times New Roman" w:eastAsia="仿宋_GB2312" w:cs="Times New Roman"/>
          <w:bCs/>
          <w:color w:val="auto"/>
          <w:sz w:val="32"/>
          <w:szCs w:val="32"/>
          <w:lang w:val="en-US" w:eastAsia="zh-CN"/>
        </w:rPr>
        <w:t>6</w:t>
      </w:r>
      <w:r>
        <w:rPr>
          <w:rFonts w:hint="default" w:ascii="Times New Roman" w:hAnsi="Times New Roman" w:eastAsia="仿宋_GB2312" w:cs="Times New Roman"/>
          <w:bCs/>
          <w:color w:val="auto"/>
          <w:sz w:val="32"/>
          <w:szCs w:val="32"/>
        </w:rPr>
        <w:t>年</w:t>
      </w:r>
      <w:r>
        <w:rPr>
          <w:rFonts w:hint="eastAsia" w:ascii="Times New Roman" w:hAnsi="Times New Roman" w:eastAsia="仿宋_GB2312" w:cs="Times New Roman"/>
          <w:bCs/>
          <w:color w:val="auto"/>
          <w:sz w:val="32"/>
          <w:szCs w:val="32"/>
          <w:lang w:val="en-US" w:eastAsia="zh-CN"/>
        </w:rPr>
        <w:t>6</w:t>
      </w:r>
      <w:r>
        <w:rPr>
          <w:rFonts w:hint="default" w:ascii="Times New Roman" w:hAnsi="Times New Roman" w:eastAsia="仿宋_GB2312" w:cs="Times New Roman"/>
          <w:bCs/>
          <w:color w:val="auto"/>
          <w:sz w:val="32"/>
          <w:szCs w:val="32"/>
        </w:rPr>
        <w:t>月</w:t>
      </w:r>
      <w:r>
        <w:rPr>
          <w:rFonts w:hint="default" w:ascii="Times New Roman" w:hAnsi="Times New Roman" w:eastAsia="仿宋_GB2312" w:cs="Times New Roman"/>
          <w:bCs/>
          <w:color w:val="auto"/>
          <w:sz w:val="32"/>
          <w:szCs w:val="32"/>
          <w:lang w:val="en-US" w:eastAsia="zh-CN"/>
        </w:rPr>
        <w:t>26</w:t>
      </w:r>
      <w:r>
        <w:rPr>
          <w:rFonts w:hint="default" w:ascii="Times New Roman" w:hAnsi="Times New Roman" w:eastAsia="仿宋_GB2312" w:cs="Times New Roman"/>
          <w:bCs/>
          <w:color w:val="auto"/>
          <w:sz w:val="32"/>
          <w:szCs w:val="32"/>
        </w:rPr>
        <w:t xml:space="preserve">日 </w:t>
      </w:r>
      <w:r>
        <w:rPr>
          <w:rFonts w:hint="default" w:ascii="Times New Roman" w:hAnsi="Times New Roman" w:eastAsia="仿宋_GB2312" w:cs="Times New Roman"/>
          <w:color w:val="auto"/>
          <w:sz w:val="32"/>
          <w:szCs w:val="32"/>
          <w:highlight w:val="none"/>
          <w:lang w:val="en-US" w:eastAsia="zh-CN"/>
        </w:rPr>
        <w:t xml:space="preserve">         </w:t>
      </w:r>
      <w:r>
        <w:rPr>
          <w:rFonts w:hint="default" w:ascii="Times New Roman" w:hAnsi="Times New Roman" w:eastAsia="仿宋_GB2312" w:cs="Times New Roman"/>
          <w:bCs/>
          <w:color w:val="auto"/>
          <w:sz w:val="32"/>
          <w:szCs w:val="32"/>
          <w:lang w:val="en-US" w:eastAsia="zh-CN"/>
        </w:rPr>
        <w:t xml:space="preserve">      </w:t>
      </w:r>
    </w:p>
    <w:p w14:paraId="7F517D87">
      <w:pPr>
        <w:keepNext w:val="0"/>
        <w:keepLines w:val="0"/>
        <w:pageBreakBefore w:val="0"/>
        <w:kinsoku/>
        <w:wordWrap/>
        <w:overflowPunct/>
        <w:topLinePunct w:val="0"/>
        <w:autoSpaceDE/>
        <w:autoSpaceDN/>
        <w:bidi w:val="0"/>
        <w:spacing w:line="560" w:lineRule="exact"/>
        <w:ind w:right="0" w:rightChars="0"/>
        <w:jc w:val="right"/>
        <w:textAlignment w:val="auto"/>
        <w:rPr>
          <w:rFonts w:hint="default" w:ascii="Times New Roman" w:hAnsi="Times New Roman" w:eastAsia="仿宋_GB2312" w:cs="Times New Roman"/>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5E50DCD6">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黑体" w:cs="Times New Roman"/>
          <w:bCs/>
          <w:color w:val="auto"/>
          <w:sz w:val="32"/>
          <w:szCs w:val="32"/>
        </w:rPr>
      </w:pPr>
      <w:r>
        <w:rPr>
          <w:rFonts w:hint="default" w:ascii="Times New Roman" w:hAnsi="Times New Roman" w:eastAsia="黑体" w:cs="Times New Roman"/>
          <w:bCs/>
          <w:color w:val="auto"/>
          <w:sz w:val="32"/>
          <w:szCs w:val="32"/>
        </w:rPr>
        <w:t>附件1</w:t>
      </w:r>
    </w:p>
    <w:p w14:paraId="3EDF0BF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方正小标宋简体" w:cs="Times New Roman"/>
          <w:bCs/>
          <w:color w:val="auto"/>
          <w:sz w:val="44"/>
          <w:szCs w:val="44"/>
        </w:rPr>
      </w:pPr>
    </w:p>
    <w:p w14:paraId="3E0A0FB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方正小标宋简体" w:cs="Times New Roman"/>
          <w:bCs/>
          <w:color w:val="auto"/>
          <w:sz w:val="44"/>
          <w:szCs w:val="44"/>
          <w:lang w:val="en-US" w:eastAsia="zh-CN"/>
        </w:rPr>
      </w:pPr>
      <w:r>
        <w:rPr>
          <w:rFonts w:hint="default" w:ascii="Times New Roman" w:hAnsi="Times New Roman" w:eastAsia="方正小标宋简体" w:cs="Times New Roman"/>
          <w:bCs/>
          <w:color w:val="auto"/>
          <w:sz w:val="44"/>
          <w:szCs w:val="44"/>
        </w:rPr>
        <w:t>石家庄市机动车排污管理中心</w:t>
      </w:r>
    </w:p>
    <w:p w14:paraId="7943A18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方正小标宋简体" w:cs="Times New Roman"/>
          <w:bCs/>
          <w:color w:val="auto"/>
          <w:sz w:val="44"/>
          <w:szCs w:val="44"/>
          <w:lang w:eastAsia="zh-CN"/>
        </w:rPr>
      </w:pPr>
      <w:r>
        <w:rPr>
          <w:rFonts w:hint="default" w:ascii="Times New Roman" w:hAnsi="Times New Roman" w:eastAsia="方正小标宋简体" w:cs="Times New Roman"/>
          <w:bCs/>
          <w:color w:val="auto"/>
          <w:sz w:val="44"/>
          <w:szCs w:val="44"/>
          <w:lang w:eastAsia="zh-CN"/>
        </w:rPr>
        <w:t>重型柴油车远程在线监控数据分析服务项目</w:t>
      </w:r>
    </w:p>
    <w:p w14:paraId="75BEC85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default" w:ascii="Times New Roman" w:hAnsi="Times New Roman" w:eastAsia="方正小标宋简体" w:cs="Times New Roman"/>
          <w:bCs/>
          <w:color w:val="auto"/>
          <w:sz w:val="44"/>
          <w:szCs w:val="44"/>
        </w:rPr>
      </w:pPr>
      <w:r>
        <w:rPr>
          <w:rFonts w:hint="default" w:ascii="Times New Roman" w:hAnsi="Times New Roman" w:eastAsia="方正小标宋简体" w:cs="Times New Roman"/>
          <w:bCs/>
          <w:color w:val="auto"/>
          <w:sz w:val="44"/>
          <w:szCs w:val="44"/>
        </w:rPr>
        <w:t>询价要求及流程</w:t>
      </w:r>
    </w:p>
    <w:p w14:paraId="5A076F34">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Cs/>
          <w:color w:val="auto"/>
          <w:sz w:val="32"/>
          <w:szCs w:val="32"/>
        </w:rPr>
      </w:pPr>
    </w:p>
    <w:p w14:paraId="63FDF739">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报价单位按照《询价响应文件》要求准备相关资料、装订成册一式叁份（一份正本贰份副本），并于询价会提交我单位询价小组。</w:t>
      </w:r>
    </w:p>
    <w:p w14:paraId="7A75D031">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“二次报价表”可装订于《询价响应文件》中，也可单独提供，在报价单位与采购单位针对所采购项目进行充分沟通和交流后</w:t>
      </w:r>
      <w:r>
        <w:rPr>
          <w:rFonts w:hint="default" w:ascii="Times New Roman" w:hAnsi="Times New Roman" w:eastAsia="仿宋_GB2312" w:cs="Times New Roman"/>
          <w:b/>
          <w:bCs w:val="0"/>
          <w:color w:val="auto"/>
          <w:sz w:val="32"/>
          <w:szCs w:val="32"/>
        </w:rPr>
        <w:t>现场报价</w:t>
      </w:r>
      <w:r>
        <w:rPr>
          <w:rFonts w:hint="default" w:ascii="Times New Roman" w:hAnsi="Times New Roman" w:eastAsia="仿宋_GB2312" w:cs="Times New Roman"/>
          <w:bCs/>
          <w:color w:val="auto"/>
          <w:sz w:val="32"/>
          <w:szCs w:val="32"/>
        </w:rPr>
        <w:t>并签字盖章（各报价单位可以提前加盖好相关印章）。</w:t>
      </w:r>
    </w:p>
    <w:p w14:paraId="18768329">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default" w:ascii="Times New Roman" w:hAnsi="Times New Roman" w:eastAsia="仿宋_GB2312" w:cs="Times New Roman"/>
          <w:b/>
          <w:bCs w:val="0"/>
          <w:color w:val="auto"/>
          <w:sz w:val="32"/>
          <w:szCs w:val="32"/>
        </w:rPr>
      </w:pPr>
      <w:r>
        <w:rPr>
          <w:rFonts w:hint="default" w:ascii="Times New Roman" w:hAnsi="Times New Roman" w:eastAsia="仿宋_GB2312" w:cs="Times New Roman"/>
          <w:b/>
          <w:bCs w:val="0"/>
          <w:color w:val="auto"/>
          <w:sz w:val="32"/>
          <w:szCs w:val="32"/>
        </w:rPr>
        <w:t>本询价会参会的社会主体单位和组织经营范围须与本项目工作相关</w:t>
      </w:r>
      <w:r>
        <w:rPr>
          <w:rFonts w:hint="default" w:ascii="Times New Roman" w:hAnsi="Times New Roman" w:eastAsia="仿宋_GB2312" w:cs="Times New Roman"/>
          <w:b/>
          <w:bCs w:val="0"/>
          <w:color w:val="auto"/>
          <w:sz w:val="32"/>
          <w:szCs w:val="32"/>
          <w:lang w:eastAsia="zh-CN"/>
        </w:rPr>
        <w:t>。</w:t>
      </w:r>
    </w:p>
    <w:p w14:paraId="3C2D6C8B">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default" w:ascii="Times New Roman" w:hAnsi="Times New Roman" w:eastAsia="仿宋_GB2312" w:cs="Times New Roman"/>
          <w:b/>
          <w:bCs w:val="0"/>
          <w:color w:val="auto"/>
          <w:sz w:val="32"/>
          <w:szCs w:val="32"/>
        </w:rPr>
      </w:pPr>
      <w:r>
        <w:rPr>
          <w:rFonts w:hint="default" w:ascii="Times New Roman" w:hAnsi="Times New Roman" w:eastAsia="仿宋_GB2312" w:cs="Times New Roman"/>
          <w:b/>
          <w:bCs w:val="0"/>
          <w:color w:val="auto"/>
          <w:sz w:val="32"/>
          <w:szCs w:val="32"/>
        </w:rPr>
        <w:t>询价会如少于3家响应单位，报价无效。</w:t>
      </w:r>
    </w:p>
    <w:p w14:paraId="4A687FA6">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本次询价分为初始报价和二次报价，我单位将根据所有报价单位的两次报价进行综合评审，并确定最终预算金额（即采购预算金额）。</w:t>
      </w:r>
    </w:p>
    <w:p w14:paraId="47B42031">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t>程序：报价单位递交《询价响应文件》→监督人员宣读各报价单位的初始报价→报价单位与采购单位针对所采购项目进行充分沟通和交流→二次报价→报价单位确认签字盖章→会议结束。</w:t>
      </w:r>
    </w:p>
    <w:p w14:paraId="3C0D1CDF">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default" w:ascii="Times New Roman" w:hAnsi="Times New Roman" w:eastAsia="仿宋_GB2312" w:cs="Times New Roman"/>
          <w:bCs/>
          <w:color w:val="auto"/>
          <w:sz w:val="32"/>
          <w:szCs w:val="32"/>
        </w:rPr>
      </w:pPr>
      <w:r>
        <w:rPr>
          <w:rFonts w:hint="default" w:ascii="Times New Roman" w:hAnsi="Times New Roman" w:eastAsia="仿宋_GB2312" w:cs="Times New Roman"/>
          <w:bCs/>
          <w:color w:val="auto"/>
          <w:sz w:val="32"/>
          <w:szCs w:val="32"/>
        </w:rPr>
        <w:br w:type="page"/>
      </w:r>
    </w:p>
    <w:p w14:paraId="65D42D9E">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黑体" w:cs="Times New Roman"/>
          <w:bCs/>
          <w:color w:val="auto"/>
          <w:sz w:val="32"/>
          <w:szCs w:val="32"/>
        </w:rPr>
      </w:pPr>
      <w:r>
        <w:rPr>
          <w:rFonts w:hint="default" w:ascii="Times New Roman" w:hAnsi="Times New Roman" w:eastAsia="黑体" w:cs="Times New Roman"/>
          <w:bCs/>
          <w:color w:val="auto"/>
          <w:sz w:val="32"/>
          <w:szCs w:val="32"/>
        </w:rPr>
        <w:t>附件2</w:t>
      </w:r>
    </w:p>
    <w:p w14:paraId="565BF713">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default" w:ascii="Times New Roman" w:hAnsi="Times New Roman" w:eastAsia="宋体" w:cs="Times New Roman"/>
          <w:b/>
          <w:color w:val="auto"/>
          <w:sz w:val="44"/>
          <w:szCs w:val="36"/>
          <w:lang w:eastAsia="zh-CN"/>
        </w:rPr>
      </w:pPr>
    </w:p>
    <w:p w14:paraId="47CC163E">
      <w:pPr>
        <w:autoSpaceDE w:val="0"/>
        <w:spacing w:line="560" w:lineRule="exact"/>
        <w:jc w:val="center"/>
        <w:rPr>
          <w:rFonts w:hint="default" w:ascii="Times New Roman" w:hAnsi="Times New Roman" w:eastAsia="方正小标宋简体" w:cs="Times New Roman"/>
          <w:bCs/>
          <w:color w:val="auto"/>
          <w:sz w:val="44"/>
          <w:szCs w:val="44"/>
        </w:rPr>
      </w:pPr>
      <w:r>
        <w:rPr>
          <w:rFonts w:hint="default" w:ascii="Times New Roman" w:hAnsi="Times New Roman" w:eastAsia="方正小标宋简体" w:cs="Times New Roman"/>
          <w:bCs/>
          <w:color w:val="auto"/>
          <w:sz w:val="44"/>
          <w:szCs w:val="44"/>
        </w:rPr>
        <w:t>石家庄市机动车排污管理中心</w:t>
      </w:r>
    </w:p>
    <w:p w14:paraId="373A4E1C">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重型柴油车远程在线监控数据分析服务项目</w:t>
      </w:r>
    </w:p>
    <w:p w14:paraId="4ED6CD48">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采购需求</w:t>
      </w:r>
    </w:p>
    <w:p w14:paraId="3520472A">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54AAD8C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58EF3CA1">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7D6351CB">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1AE8821D">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083042CF">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32BF93CB">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363F8357">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2F6E1762">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78B17365">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7E10DAB3">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1A80F87C">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60EDFF89">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406C157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4DCE1A27">
      <w:pPr>
        <w:pStyle w:val="10"/>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石家庄市机动车排污管理中心</w:t>
      </w:r>
    </w:p>
    <w:p w14:paraId="3B70107D">
      <w:pPr>
        <w:pStyle w:val="10"/>
        <w:rPr>
          <w:rFonts w:hint="eastAsia" w:ascii="仿宋_GB2312" w:hAnsi="仿宋_GB2312" w:eastAsia="仿宋_GB2312" w:cs="仿宋_GB2312"/>
          <w:b w:val="0"/>
          <w:bCs/>
          <w:sz w:val="32"/>
          <w:szCs w:val="32"/>
          <w:lang w:val="en-US" w:eastAsia="zh-CN"/>
        </w:rPr>
      </w:pPr>
      <w:r>
        <w:rPr>
          <w:rFonts w:hint="eastAsia" w:ascii="仿宋_GB2312" w:hAnsi="仿宋_GB2312" w:eastAsia="仿宋_GB2312" w:cs="仿宋_GB2312"/>
          <w:b w:val="0"/>
          <w:bCs/>
          <w:sz w:val="32"/>
          <w:szCs w:val="32"/>
          <w:lang w:val="en-US" w:eastAsia="zh-CN"/>
        </w:rPr>
        <w:t>2026年6月</w:t>
      </w:r>
    </w:p>
    <w:p w14:paraId="4EC05F62">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Times New Roman" w:hAnsi="Times New Roman" w:eastAsia="方正小标宋简体" w:cs="Times New Roman"/>
          <w:sz w:val="44"/>
          <w:szCs w:val="44"/>
          <w:lang w:val="en-US" w:eastAsia="zh-CN"/>
        </w:rPr>
      </w:pPr>
    </w:p>
    <w:p w14:paraId="13268D36">
      <w:pPr>
        <w:keepNext w:val="0"/>
        <w:keepLines w:val="0"/>
        <w:pageBreakBefore w:val="0"/>
        <w:widowControl w:val="0"/>
        <w:kinsoku/>
        <w:wordWrap/>
        <w:overflowPunct/>
        <w:topLinePunct w:val="0"/>
        <w:autoSpaceDN/>
        <w:bidi w:val="0"/>
        <w:adjustRightInd/>
        <w:snapToGrid/>
        <w:spacing w:line="560" w:lineRule="exact"/>
        <w:ind w:left="0" w:firstLine="640" w:firstLineChars="200"/>
        <w:textAlignment w:val="auto"/>
        <w:rPr>
          <w:rFonts w:hint="default" w:ascii="Times New Roman" w:hAnsi="Times New Roman" w:eastAsia="仿宋_GB2312" w:cs="Times New Roman"/>
          <w:color w:val="auto"/>
          <w:sz w:val="32"/>
        </w:rPr>
      </w:pPr>
    </w:p>
    <w:p w14:paraId="3E708C09">
      <w:pPr>
        <w:keepNext w:val="0"/>
        <w:keepLines w:val="0"/>
        <w:pageBreakBefore w:val="0"/>
        <w:widowControl w:val="0"/>
        <w:kinsoku/>
        <w:wordWrap/>
        <w:overflowPunct/>
        <w:topLinePunct w:val="0"/>
        <w:autoSpaceDN/>
        <w:bidi w:val="0"/>
        <w:adjustRightInd/>
        <w:snapToGrid/>
        <w:spacing w:line="560" w:lineRule="exact"/>
        <w:ind w:left="0" w:firstLine="640" w:firstLineChars="200"/>
        <w:textAlignment w:val="auto"/>
        <w:rPr>
          <w:rFonts w:hint="default" w:ascii="Times New Roman" w:hAnsi="Times New Roman" w:eastAsia="仿宋_GB2312" w:cs="Times New Roman"/>
          <w:color w:val="auto"/>
          <w:sz w:val="32"/>
        </w:rPr>
      </w:pPr>
    </w:p>
    <w:p w14:paraId="540F23C1">
      <w:pPr>
        <w:spacing w:line="560" w:lineRule="exact"/>
        <w:ind w:firstLine="640" w:firstLineChars="200"/>
        <w:jc w:val="left"/>
        <w:rPr>
          <w:rFonts w:hint="eastAsia" w:ascii="黑体" w:hAnsi="黑体" w:eastAsia="黑体" w:cs="黑体"/>
          <w:sz w:val="32"/>
          <w:szCs w:val="32"/>
        </w:rPr>
      </w:pPr>
      <w:r>
        <w:rPr>
          <w:rFonts w:hint="eastAsia" w:ascii="黑体" w:hAnsi="黑体" w:eastAsia="黑体" w:cs="黑体"/>
          <w:sz w:val="32"/>
          <w:szCs w:val="32"/>
        </w:rPr>
        <w:t>一</w:t>
      </w:r>
      <w:r>
        <w:rPr>
          <w:rFonts w:hint="eastAsia" w:ascii="黑体" w:hAnsi="黑体" w:eastAsia="黑体" w:cs="黑体"/>
          <w:sz w:val="32"/>
          <w:szCs w:val="32"/>
          <w:lang w:eastAsia="zh-CN"/>
        </w:rPr>
        <w:t>、</w:t>
      </w:r>
      <w:r>
        <w:rPr>
          <w:rFonts w:hint="eastAsia" w:ascii="黑体" w:hAnsi="黑体" w:eastAsia="黑体" w:cs="黑体"/>
          <w:sz w:val="32"/>
          <w:szCs w:val="32"/>
        </w:rPr>
        <w:t>项目概况</w:t>
      </w:r>
    </w:p>
    <w:p w14:paraId="0D75323C">
      <w:pPr>
        <w:spacing w:line="560" w:lineRule="exact"/>
        <w:ind w:firstLine="640" w:firstLineChars="200"/>
        <w:jc w:val="left"/>
        <w:rPr>
          <w:rFonts w:hint="eastAsia" w:ascii="楷体" w:hAnsi="楷体" w:eastAsia="楷体" w:cs="楷体"/>
          <w:sz w:val="32"/>
          <w:szCs w:val="32"/>
        </w:rPr>
      </w:pPr>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一</w:t>
      </w:r>
      <w:r>
        <w:rPr>
          <w:rFonts w:hint="eastAsia" w:ascii="楷体" w:hAnsi="楷体" w:eastAsia="楷体" w:cs="楷体"/>
          <w:sz w:val="32"/>
          <w:szCs w:val="32"/>
          <w:lang w:eastAsia="zh-CN"/>
        </w:rPr>
        <w:t>）</w:t>
      </w:r>
      <w:r>
        <w:rPr>
          <w:rFonts w:hint="eastAsia" w:ascii="楷体" w:hAnsi="楷体" w:eastAsia="楷体" w:cs="楷体"/>
          <w:sz w:val="32"/>
          <w:szCs w:val="32"/>
        </w:rPr>
        <w:t>项目实施的背景</w:t>
      </w:r>
    </w:p>
    <w:p w14:paraId="04B1369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rPr>
        <w:t>2021年7月，我国开始全面实施《重型柴油车污染物排放限值及测量方法（中国第六阶段）》（GB17691-2018，下面简称国六</w:t>
      </w:r>
      <w:r>
        <w:rPr>
          <w:rFonts w:hint="eastAsia" w:ascii="仿宋_GB2312" w:hAnsi="仿宋_GB2312" w:eastAsia="仿宋_GB2312" w:cs="仿宋_GB2312"/>
          <w:sz w:val="32"/>
          <w:szCs w:val="32"/>
          <w:highlight w:val="none"/>
        </w:rPr>
        <w:t>标准），以及之后生态环境部出台的《重型车排放远程监控技术规范》（HJ1239.3-2021），均规定新出厂的重型货运车将强制加装车载诊断系统（OBD），实时采集车辆的定位、发动机和后处理系统等运行数据。2022年11月，生态环境部等15部门联合印发《柴油货车污染治理攻坚战行动方案》，方案提出，到2025年，全国柴油货车排放检测合格率超过90%，全国柴油货车氮氧化物排放量下降12%。推动车辆全面达标排放，加强对本地生产货车环保达标监管，核查车辆的车载诊断系统（OBD）、污染控制装置、环保信息随车清单、在线监控等，抽测部分车型的道路实际排放情况，基本实现系族全覆盖。严厉打击污染控制装置造假、屏蔽OBD功能、尾气排放不达标、不依法公开环保信息等行为。加强重型货车路检路查，以及集中使用地和停放地的入户检查。严格实施汽车排放定期检验信息采集传输技术规范，各地检验信息实现按日上传至国家平台。建设重型柴油车和非道路移动机械远程在线监控平台，探索超标识别、定位、取证和执法的数字化监管模式。研究构建移动源现场快速检测方法、质控体系，提高执法装备标准化、信息化水平，切实提高执法效能。</w:t>
      </w:r>
    </w:p>
    <w:p w14:paraId="7B0E59F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2024年3月</w:t>
      </w:r>
      <w:r>
        <w:rPr>
          <w:rFonts w:hint="eastAsia" w:ascii="仿宋_GB2312" w:hAnsi="仿宋_GB2312" w:eastAsia="仿宋_GB2312" w:cs="仿宋_GB2312"/>
          <w:sz w:val="32"/>
          <w:szCs w:val="32"/>
          <w:highlight w:val="none"/>
          <w:lang w:val="en-US" w:eastAsia="zh-CN"/>
        </w:rPr>
        <w:t>份和</w:t>
      </w:r>
      <w:r>
        <w:rPr>
          <w:rFonts w:hint="eastAsia" w:ascii="仿宋_GB2312" w:hAnsi="仿宋_GB2312" w:eastAsia="仿宋_GB2312" w:cs="仿宋_GB2312"/>
          <w:sz w:val="32"/>
          <w:szCs w:val="32"/>
          <w:highlight w:val="none"/>
        </w:rPr>
        <w:t>7月份，生态环境部开展</w:t>
      </w:r>
      <w:r>
        <w:rPr>
          <w:rFonts w:hint="eastAsia" w:ascii="仿宋_GB2312" w:hAnsi="仿宋_GB2312" w:eastAsia="仿宋_GB2312" w:cs="仿宋_GB2312"/>
          <w:sz w:val="32"/>
          <w:szCs w:val="32"/>
          <w:highlight w:val="none"/>
          <w:lang w:eastAsia="zh-CN"/>
        </w:rPr>
        <w:t>了</w:t>
      </w:r>
      <w:r>
        <w:rPr>
          <w:rFonts w:hint="eastAsia" w:ascii="仿宋_GB2312" w:hAnsi="仿宋_GB2312" w:eastAsia="仿宋_GB2312" w:cs="仿宋_GB2312"/>
          <w:sz w:val="32"/>
          <w:szCs w:val="32"/>
          <w:highlight w:val="none"/>
          <w:lang w:val="en-US" w:eastAsia="zh-CN"/>
        </w:rPr>
        <w:t>两轮移动源</w:t>
      </w:r>
      <w:r>
        <w:rPr>
          <w:rFonts w:hint="eastAsia" w:ascii="仿宋_GB2312" w:hAnsi="仿宋_GB2312" w:eastAsia="仿宋_GB2312" w:cs="仿宋_GB2312"/>
          <w:sz w:val="32"/>
          <w:szCs w:val="32"/>
          <w:highlight w:val="none"/>
        </w:rPr>
        <w:t>专项帮扶检查工作，覆盖京津冀及周边地区、汾渭平原、长三角等重点区域82个城市，针对重型国六阶段柴油车或燃气车，重点检查是否存在加装OBD作弊器、刷写OBD程序、重置ECU数据参数等行为，另外，检查是否有使用尿素调节器、调整氮氧传感器、使用不合格尿素、破坏污染物控制装置等行为，本次帮扶检查，将OBD篡改行为作为其中检查的重点，并在各地发现不同程度的作弊、篡改行为，对于OBD的应用，已经作为环保督察、检查的一项重要工作，对篡改、破坏等行为严查严管。</w:t>
      </w:r>
    </w:p>
    <w:p w14:paraId="22972521">
      <w:pPr>
        <w:pStyle w:val="11"/>
        <w:keepNext w:val="0"/>
        <w:keepLines w:val="0"/>
        <w:pageBreakBefore w:val="0"/>
        <w:widowControl w:val="0"/>
        <w:kinsoku/>
        <w:wordWrap/>
        <w:overflowPunct/>
        <w:topLinePunct w:val="0"/>
        <w:autoSpaceDE/>
        <w:autoSpaceDN/>
        <w:bidi w:val="0"/>
        <w:adjustRightInd/>
        <w:snapToGrid/>
        <w:spacing w:after="0" w:line="560" w:lineRule="exact"/>
        <w:ind w:left="0" w:leftChars="0"/>
        <w:textAlignment w:val="baseline"/>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2023年河北省、石家庄市先后在下发的《河北省深入打好重污染天气消除、臭氧污染防治、柴油货车污染治理和城市大气污染深度治理攻坚战行动方案》《石家庄市深入打好重污染天气消除、臭氧污染防治、柴油货车污染治理和城市大气污染深度治理攻坚行动方案》中要求，建设远程监控平台，建设完善重型柴油车和非道路移动机械远程在线监控平台,重点核查氮氧化物超标、尿素异常报警等问题车辆,并推送重点用车单位门禁监控系统。配备移动监管终端,探索超标识别、定位、取证和执法的数字化监管模式。</w:t>
      </w:r>
    </w:p>
    <w:p w14:paraId="4E9E59D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02"/>
        <w:rPr>
          <w:rFonts w:hint="eastAsia" w:eastAsia="仿宋_GB2312"/>
          <w:sz w:val="32"/>
          <w:szCs w:val="32"/>
          <w:highlight w:val="none"/>
        </w:rPr>
      </w:pPr>
      <w:r>
        <w:rPr>
          <w:rFonts w:hint="eastAsia" w:ascii="仿宋_GB2312" w:hAnsi="仿宋_GB2312" w:eastAsia="仿宋_GB2312" w:cs="仿宋_GB2312"/>
          <w:kern w:val="2"/>
          <w:sz w:val="32"/>
          <w:szCs w:val="32"/>
          <w:highlight w:val="none"/>
          <w:lang w:val="en-US" w:eastAsia="zh-CN" w:bidi="ar-SA"/>
        </w:rPr>
        <w:t>2023年5月，经与省生态环境厅沟通，省厅正在筹备建设全省OBD远程监控平台，待建成后可推送各地市使用，因此我市未开展OBD远程监控平台建设。2024年8月，省审计厅对我市进行审计，发现我市未按照方案要求进行建设该平台，对我市交办了问题限期整改通知。为此，市领导高度重视，强调尽快推进重型货车OBD远程在线监控平台建设。后经报请市政府同意重型货车OBD远程在线监控服务，2025年我局已完成该项目相关采购程序，该项目于2026年6月到期，需延续进行运维分析服务。</w:t>
      </w:r>
    </w:p>
    <w:p w14:paraId="0CDAE0BA">
      <w:pPr>
        <w:spacing w:line="560" w:lineRule="exact"/>
        <w:ind w:firstLine="640" w:firstLineChars="200"/>
        <w:jc w:val="left"/>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lang w:val="en-US" w:eastAsia="zh-CN"/>
        </w:rPr>
        <w:t>二</w:t>
      </w:r>
      <w:r>
        <w:rPr>
          <w:rFonts w:hint="eastAsia" w:ascii="楷体" w:hAnsi="楷体" w:eastAsia="楷体" w:cs="楷体"/>
          <w:sz w:val="32"/>
          <w:szCs w:val="32"/>
          <w:highlight w:val="none"/>
          <w:lang w:eastAsia="zh-CN"/>
        </w:rPr>
        <w:t>）项目实施的依据</w:t>
      </w:r>
    </w:p>
    <w:p w14:paraId="2C675C44">
      <w:pPr>
        <w:numPr>
          <w:ilvl w:val="0"/>
          <w:numId w:val="2"/>
        </w:numPr>
        <w:adjustRightInd w:val="0"/>
        <w:snapToGrid w:val="0"/>
        <w:spacing w:line="560" w:lineRule="exact"/>
        <w:ind w:left="0" w:leftChars="0" w:firstLine="640" w:firstLineChars="200"/>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2022年11月，生态环境部等15部门联合印发的《</w:t>
      </w:r>
      <w:bookmarkStart w:id="0" w:name="OLE_LINK1"/>
      <w:r>
        <w:rPr>
          <w:rFonts w:hint="eastAsia" w:ascii="仿宋" w:hAnsi="仿宋" w:eastAsia="仿宋" w:cs="仿宋"/>
          <w:b w:val="0"/>
          <w:bCs w:val="0"/>
          <w:sz w:val="32"/>
          <w:szCs w:val="32"/>
          <w:highlight w:val="none"/>
          <w:lang w:val="en-US" w:eastAsia="zh-CN"/>
        </w:rPr>
        <w:t>柴油货车污染治理攻坚战行动方案</w:t>
      </w:r>
      <w:bookmarkEnd w:id="0"/>
      <w:r>
        <w:rPr>
          <w:rFonts w:hint="eastAsia" w:ascii="仿宋" w:hAnsi="仿宋" w:eastAsia="仿宋" w:cs="仿宋"/>
          <w:b w:val="0"/>
          <w:bCs w:val="0"/>
          <w:sz w:val="32"/>
          <w:szCs w:val="32"/>
          <w:highlight w:val="none"/>
          <w:lang w:val="en-US" w:eastAsia="zh-CN"/>
        </w:rPr>
        <w:t>》提出，到2025年全国柴油货车排放检测合格率要超过90%，氮氧化物排放量下降12%的目标。要求推动车辆全面达标排放。加强对本地生产货车环保达标监管，核查车辆的车载诊断系统（OBD）、污染控制装置、环保信息随车清单、在线监控等，抽测部分车型的道路实际排放情况，基本实现系族全覆盖。严厉打击污染控制装置造假、屏蔽OBD功能、尾气排放不达标、不依法公开环保信息等行为，加强重型货车路检路查，以及集中使用地和停放地的入户检查。严格实施汽车排放定期检验信息采集传输技术规范，各地检验信息实现按日上传至国家平台。建设重型柴油车和非道路移动机械远程在线监控平台，探索超标识别、定位、取证和执法的数字化监管模式。</w:t>
      </w:r>
    </w:p>
    <w:p w14:paraId="221D7461">
      <w:pPr>
        <w:numPr>
          <w:ilvl w:val="0"/>
          <w:numId w:val="2"/>
        </w:numPr>
        <w:adjustRightInd w:val="0"/>
        <w:snapToGrid w:val="0"/>
        <w:spacing w:line="560" w:lineRule="exact"/>
        <w:ind w:left="0" w:leftChars="0" w:firstLine="640" w:firstLineChars="200"/>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2023年3月28日，河北省大气污染防治工作领导小组办公室印发的《河北省深入打好重污染天气消除、臭氧污染防治、柴油货车污染治理和城市大气污染深度治理攻坚战行动方案》（冀气领办〔2023〕12号）指出，建设完善重型柴油车和非道路移动机械远程在线监控平台,重点核查氮氧化物超标、尿素异常报警等问题车辆,并推送重点用车单位门禁监控系统。配备移动监管终端,探索超标识别、定位、取证和执法的数字化监管模式。</w:t>
      </w:r>
    </w:p>
    <w:p w14:paraId="015D2741">
      <w:pPr>
        <w:numPr>
          <w:ilvl w:val="0"/>
          <w:numId w:val="2"/>
        </w:numPr>
        <w:adjustRightInd w:val="0"/>
        <w:snapToGrid w:val="0"/>
        <w:spacing w:line="560" w:lineRule="exact"/>
        <w:ind w:left="0" w:leftChars="0" w:firstLine="640" w:firstLineChars="200"/>
        <w:outlineLvl w:val="9"/>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lang w:val="en-US" w:eastAsia="zh-CN"/>
        </w:rPr>
        <w:t>《石家庄市深入打好重污染天气消除、臭氧污染防治、柴油货车污染治理和城市大气污染深度治理攻坚行动方案》（石气指办〔2023〕14号）指出，建设完善重型柴油车和非道路移动机械远程在线监控平台，重点核查氮氧化物超标、尿素异常报警等问题车辆，并推送重点用车单位门禁监控系统。配备移动监管终端，探索超标识别、定位、取证和执法的数字化监管模式。</w:t>
      </w:r>
    </w:p>
    <w:p w14:paraId="3E31B976">
      <w:pPr>
        <w:keepNext w:val="0"/>
        <w:keepLines w:val="0"/>
        <w:pageBreakBefore w:val="0"/>
        <w:widowControl w:val="0"/>
        <w:kinsoku/>
        <w:wordWrap/>
        <w:overflowPunct/>
        <w:topLinePunct w:val="0"/>
        <w:autoSpaceDE/>
        <w:autoSpaceDN/>
        <w:bidi w:val="0"/>
        <w:adjustRightInd/>
        <w:spacing w:line="360" w:lineRule="auto"/>
        <w:ind w:firstLine="640" w:firstLineChars="200"/>
        <w:jc w:val="lef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lang w:val="en-US" w:eastAsia="zh-CN"/>
        </w:rPr>
        <w:t>三</w:t>
      </w:r>
      <w:r>
        <w:rPr>
          <w:rFonts w:hint="eastAsia" w:ascii="楷体" w:hAnsi="楷体" w:eastAsia="楷体" w:cs="楷体"/>
          <w:sz w:val="32"/>
          <w:szCs w:val="32"/>
          <w:highlight w:val="none"/>
          <w:lang w:eastAsia="zh-CN"/>
        </w:rPr>
        <w:t>）项目实施的主要内容</w:t>
      </w:r>
    </w:p>
    <w:p w14:paraId="4D3B6E39">
      <w:pPr>
        <w:keepNext w:val="0"/>
        <w:keepLines w:val="0"/>
        <w:pageBreakBefore w:val="0"/>
        <w:widowControl w:val="0"/>
        <w:kinsoku/>
        <w:wordWrap/>
        <w:overflowPunct/>
        <w:topLinePunct w:val="0"/>
        <w:autoSpaceDE/>
        <w:autoSpaceDN/>
        <w:bidi w:val="0"/>
        <w:adjustRightInd/>
        <w:spacing w:line="360" w:lineRule="auto"/>
        <w:ind w:firstLine="640" w:firstLineChars="200"/>
        <w:textAlignment w:val="auto"/>
        <w:rPr>
          <w:rFonts w:eastAsia="仿宋_GB2312" w:cs="Courier New"/>
          <w:sz w:val="32"/>
          <w:szCs w:val="32"/>
          <w:highlight w:val="none"/>
        </w:rPr>
      </w:pPr>
      <w:r>
        <w:rPr>
          <w:rFonts w:hint="eastAsia" w:eastAsia="仿宋_GB2312" w:cs="Courier New"/>
          <w:sz w:val="32"/>
          <w:szCs w:val="32"/>
          <w:highlight w:val="none"/>
        </w:rPr>
        <w:t>石家庄市</w:t>
      </w:r>
      <w:r>
        <w:rPr>
          <w:rFonts w:hint="eastAsia" w:eastAsia="仿宋_GB2312" w:cs="Courier New"/>
          <w:sz w:val="32"/>
          <w:szCs w:val="32"/>
          <w:highlight w:val="none"/>
          <w:lang w:val="en-US" w:eastAsia="zh-CN"/>
        </w:rPr>
        <w:t>移动源</w:t>
      </w:r>
      <w:r>
        <w:rPr>
          <w:rFonts w:hint="eastAsia" w:eastAsia="仿宋_GB2312" w:cs="Courier New"/>
          <w:sz w:val="32"/>
          <w:szCs w:val="32"/>
          <w:highlight w:val="none"/>
        </w:rPr>
        <w:t>远程排放监控系统</w:t>
      </w:r>
      <w:r>
        <w:rPr>
          <w:rFonts w:hint="eastAsia" w:eastAsia="仿宋_GB2312" w:cs="Courier New"/>
          <w:sz w:val="32"/>
          <w:szCs w:val="32"/>
          <w:highlight w:val="none"/>
          <w:lang w:eastAsia="zh-CN"/>
        </w:rPr>
        <w:t>，</w:t>
      </w:r>
      <w:r>
        <w:rPr>
          <w:rFonts w:hint="eastAsia" w:eastAsia="仿宋_GB2312" w:cs="Courier New"/>
          <w:sz w:val="32"/>
          <w:szCs w:val="32"/>
          <w:highlight w:val="none"/>
        </w:rPr>
        <w:t>通过接入全国重型货车远程在线监控（OBD）数据</w:t>
      </w:r>
      <w:r>
        <w:rPr>
          <w:rFonts w:hint="eastAsia" w:eastAsia="仿宋_GB2312" w:cs="Courier New"/>
          <w:sz w:val="32"/>
          <w:szCs w:val="32"/>
          <w:highlight w:val="none"/>
          <w:lang w:val="en-US" w:eastAsia="zh-CN"/>
        </w:rPr>
        <w:t>及国四排放阶段的非道路移动机械定位数据</w:t>
      </w:r>
      <w:r>
        <w:rPr>
          <w:rFonts w:hint="eastAsia" w:eastAsia="仿宋_GB2312" w:cs="Courier New"/>
          <w:sz w:val="32"/>
          <w:szCs w:val="32"/>
          <w:highlight w:val="none"/>
        </w:rPr>
        <w:t>，对进入石家庄市市域内行驶的全国各地国六重型柴油货车的在线监控（OBD）数据</w:t>
      </w:r>
      <w:r>
        <w:rPr>
          <w:rFonts w:hint="eastAsia" w:eastAsia="仿宋_GB2312" w:cs="Courier New"/>
          <w:sz w:val="32"/>
          <w:szCs w:val="32"/>
          <w:highlight w:val="none"/>
          <w:lang w:val="en-US" w:eastAsia="zh-CN"/>
        </w:rPr>
        <w:t>及在</w:t>
      </w:r>
      <w:r>
        <w:rPr>
          <w:rFonts w:hint="eastAsia" w:eastAsia="仿宋_GB2312" w:cs="Courier New"/>
          <w:sz w:val="32"/>
          <w:szCs w:val="32"/>
          <w:highlight w:val="none"/>
        </w:rPr>
        <w:t>石家庄市</w:t>
      </w:r>
      <w:r>
        <w:rPr>
          <w:rFonts w:hint="eastAsia" w:eastAsia="仿宋_GB2312" w:cs="Courier New"/>
          <w:sz w:val="32"/>
          <w:szCs w:val="32"/>
          <w:highlight w:val="none"/>
          <w:lang w:val="en-US" w:eastAsia="zh-CN"/>
        </w:rPr>
        <w:t>施工运行的国四排放阶段的非道路移动机械定位数据</w:t>
      </w:r>
      <w:r>
        <w:rPr>
          <w:rFonts w:hint="eastAsia" w:eastAsia="仿宋_GB2312" w:cs="Courier New"/>
          <w:sz w:val="32"/>
          <w:szCs w:val="32"/>
          <w:highlight w:val="none"/>
        </w:rPr>
        <w:t>开展分析服务，实现重型车</w:t>
      </w:r>
      <w:r>
        <w:rPr>
          <w:rFonts w:hint="eastAsia" w:eastAsia="仿宋_GB2312" w:cs="Courier New"/>
          <w:sz w:val="32"/>
          <w:szCs w:val="32"/>
          <w:highlight w:val="none"/>
          <w:lang w:val="en-US" w:eastAsia="zh-CN"/>
        </w:rPr>
        <w:t>及国四排放阶段的非道路移动机械</w:t>
      </w:r>
      <w:r>
        <w:rPr>
          <w:rFonts w:hint="eastAsia" w:eastAsia="仿宋_GB2312" w:cs="Courier New"/>
          <w:sz w:val="32"/>
          <w:szCs w:val="32"/>
          <w:highlight w:val="none"/>
        </w:rPr>
        <w:t>全市域、全时段的自动化监管，构建石家庄重型车</w:t>
      </w:r>
      <w:r>
        <w:rPr>
          <w:rFonts w:hint="eastAsia" w:eastAsia="仿宋_GB2312" w:cs="Courier New"/>
          <w:sz w:val="32"/>
          <w:szCs w:val="32"/>
          <w:highlight w:val="none"/>
          <w:lang w:eastAsia="zh-CN"/>
        </w:rPr>
        <w:t>、</w:t>
      </w:r>
      <w:r>
        <w:rPr>
          <w:rFonts w:hint="eastAsia" w:eastAsia="仿宋_GB2312" w:cs="Courier New"/>
          <w:sz w:val="32"/>
          <w:szCs w:val="32"/>
          <w:highlight w:val="none"/>
          <w:lang w:val="en-US" w:eastAsia="zh-CN"/>
        </w:rPr>
        <w:t>国四非道路移动机械</w:t>
      </w:r>
      <w:r>
        <w:rPr>
          <w:rFonts w:hint="eastAsia" w:eastAsia="仿宋_GB2312" w:cs="Courier New"/>
          <w:sz w:val="32"/>
          <w:szCs w:val="32"/>
          <w:highlight w:val="none"/>
        </w:rPr>
        <w:t>排放精准监管体系，全面评估重型车</w:t>
      </w:r>
      <w:r>
        <w:rPr>
          <w:rFonts w:hint="eastAsia" w:eastAsia="仿宋_GB2312" w:cs="Courier New"/>
          <w:sz w:val="32"/>
          <w:szCs w:val="32"/>
          <w:highlight w:val="none"/>
          <w:lang w:val="en-US" w:eastAsia="zh-CN"/>
        </w:rPr>
        <w:t>及国四非道路移动机械</w:t>
      </w:r>
      <w:r>
        <w:rPr>
          <w:rFonts w:hint="eastAsia" w:eastAsia="仿宋_GB2312" w:cs="Courier New"/>
          <w:sz w:val="32"/>
          <w:szCs w:val="32"/>
          <w:highlight w:val="none"/>
        </w:rPr>
        <w:t>环境管理措施的环境效益，通过精准分析，为重型货车</w:t>
      </w:r>
      <w:r>
        <w:rPr>
          <w:rFonts w:hint="eastAsia" w:eastAsia="仿宋_GB2312" w:cs="Courier New"/>
          <w:sz w:val="32"/>
          <w:szCs w:val="32"/>
          <w:highlight w:val="none"/>
          <w:lang w:val="en-US" w:eastAsia="zh-CN"/>
        </w:rPr>
        <w:t>和国四非道路移动机械</w:t>
      </w:r>
      <w:r>
        <w:rPr>
          <w:rFonts w:hint="eastAsia" w:eastAsia="仿宋_GB2312" w:cs="Courier New"/>
          <w:sz w:val="32"/>
          <w:szCs w:val="32"/>
          <w:highlight w:val="none"/>
        </w:rPr>
        <w:t>现场执法、指挥管控和减排管理提供科学建议。</w:t>
      </w:r>
    </w:p>
    <w:p w14:paraId="5DCDBBEB">
      <w:pPr>
        <w:spacing w:line="360" w:lineRule="auto"/>
        <w:ind w:firstLine="640" w:firstLineChars="200"/>
        <w:rPr>
          <w:rFonts w:hint="eastAsia" w:ascii="黑体" w:hAnsi="黑体" w:eastAsia="黑体" w:cs="黑体"/>
          <w:sz w:val="32"/>
          <w:szCs w:val="32"/>
          <w:highlight w:val="none"/>
        </w:rPr>
      </w:pPr>
      <w:r>
        <w:rPr>
          <w:rFonts w:hint="eastAsia" w:ascii="黑体" w:hAnsi="黑体" w:eastAsia="黑体" w:cs="黑体"/>
          <w:sz w:val="32"/>
          <w:szCs w:val="32"/>
          <w:highlight w:val="none"/>
        </w:rPr>
        <w:t>二</w:t>
      </w:r>
      <w:r>
        <w:rPr>
          <w:rFonts w:hint="eastAsia" w:ascii="黑体" w:hAnsi="黑体" w:eastAsia="黑体" w:cs="黑体"/>
          <w:sz w:val="32"/>
          <w:szCs w:val="32"/>
          <w:highlight w:val="none"/>
          <w:lang w:eastAsia="zh-CN"/>
        </w:rPr>
        <w:t>、</w:t>
      </w:r>
      <w:r>
        <w:rPr>
          <w:rFonts w:hint="eastAsia" w:ascii="黑体" w:hAnsi="黑体" w:eastAsia="黑体" w:cs="黑体"/>
          <w:sz w:val="32"/>
          <w:szCs w:val="32"/>
          <w:highlight w:val="none"/>
        </w:rPr>
        <w:t>采购项目预算</w:t>
      </w:r>
    </w:p>
    <w:p w14:paraId="632D4CC3">
      <w:pPr>
        <w:spacing w:line="360" w:lineRule="auto"/>
        <w:ind w:firstLine="640" w:firstLineChars="200"/>
        <w:rPr>
          <w:rFonts w:hint="eastAsia" w:eastAsia="仿宋_GB2312" w:cs="Courier New"/>
          <w:sz w:val="32"/>
          <w:szCs w:val="32"/>
          <w:highlight w:val="none"/>
        </w:rPr>
      </w:pPr>
      <w:r>
        <w:rPr>
          <w:rFonts w:hint="eastAsia" w:eastAsia="仿宋_GB2312" w:cs="Courier New"/>
          <w:sz w:val="32"/>
          <w:szCs w:val="32"/>
          <w:highlight w:val="none"/>
        </w:rPr>
        <w:t>总预算：</w:t>
      </w:r>
      <w:r>
        <w:rPr>
          <w:rFonts w:hint="eastAsia" w:eastAsia="仿宋_GB2312" w:cs="Courier New"/>
          <w:sz w:val="32"/>
          <w:szCs w:val="32"/>
          <w:highlight w:val="none"/>
          <w:lang w:val="en-US" w:eastAsia="zh-CN"/>
        </w:rPr>
        <w:t>168</w:t>
      </w:r>
      <w:r>
        <w:rPr>
          <w:rFonts w:hint="eastAsia" w:eastAsia="仿宋_GB2312" w:cs="Courier New"/>
          <w:sz w:val="32"/>
          <w:szCs w:val="32"/>
          <w:highlight w:val="none"/>
        </w:rPr>
        <w:t>万元</w:t>
      </w:r>
    </w:p>
    <w:p w14:paraId="5A49AF1F">
      <w:pPr>
        <w:spacing w:line="360" w:lineRule="auto"/>
        <w:ind w:firstLine="640" w:firstLineChars="200"/>
        <w:rPr>
          <w:rFonts w:hint="eastAsia" w:ascii="黑体" w:hAnsi="黑体" w:eastAsia="黑体" w:cs="黑体"/>
          <w:sz w:val="32"/>
          <w:szCs w:val="32"/>
          <w:highlight w:val="none"/>
        </w:rPr>
      </w:pPr>
      <w:r>
        <w:rPr>
          <w:rFonts w:hint="eastAsia" w:ascii="黑体" w:hAnsi="黑体" w:eastAsia="黑体" w:cs="黑体"/>
          <w:sz w:val="32"/>
          <w:szCs w:val="32"/>
          <w:highlight w:val="none"/>
        </w:rPr>
        <w:t>三</w:t>
      </w:r>
      <w:r>
        <w:rPr>
          <w:rFonts w:hint="eastAsia" w:ascii="黑体" w:hAnsi="黑体" w:eastAsia="黑体" w:cs="黑体"/>
          <w:sz w:val="32"/>
          <w:szCs w:val="32"/>
          <w:highlight w:val="none"/>
          <w:lang w:eastAsia="zh-CN"/>
        </w:rPr>
        <w:t>、</w:t>
      </w:r>
      <w:r>
        <w:rPr>
          <w:rFonts w:hint="eastAsia" w:ascii="黑体" w:hAnsi="黑体" w:eastAsia="黑体" w:cs="黑体"/>
          <w:sz w:val="32"/>
          <w:szCs w:val="32"/>
          <w:highlight w:val="none"/>
        </w:rPr>
        <w:t>采购标的汇总表</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0"/>
        <w:gridCol w:w="909"/>
        <w:gridCol w:w="2012"/>
        <w:gridCol w:w="1991"/>
        <w:gridCol w:w="992"/>
        <w:gridCol w:w="850"/>
        <w:gridCol w:w="977"/>
      </w:tblGrid>
      <w:tr w14:paraId="29C63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17" w:hRule="atLeast"/>
          <w:jc w:val="center"/>
        </w:trPr>
        <w:tc>
          <w:tcPr>
            <w:tcW w:w="1010" w:type="dxa"/>
            <w:noWrap w:val="0"/>
            <w:vAlign w:val="center"/>
          </w:tcPr>
          <w:p w14:paraId="6C706A48">
            <w:pPr>
              <w:spacing w:line="360" w:lineRule="auto"/>
              <w:jc w:val="center"/>
              <w:rPr>
                <w:rFonts w:hint="eastAsia" w:eastAsia="仿宋_GB2312" w:cs="Courier New"/>
                <w:b/>
                <w:bCs/>
                <w:sz w:val="32"/>
                <w:szCs w:val="32"/>
                <w:highlight w:val="none"/>
                <w:lang w:val="en-US" w:eastAsia="zh-CN"/>
              </w:rPr>
            </w:pPr>
            <w:r>
              <w:rPr>
                <w:rFonts w:hint="eastAsia" w:eastAsia="仿宋_GB2312" w:cs="Courier New"/>
                <w:b/>
                <w:bCs/>
                <w:sz w:val="32"/>
                <w:szCs w:val="32"/>
                <w:highlight w:val="none"/>
                <w:lang w:val="en-US" w:eastAsia="zh-CN"/>
              </w:rPr>
              <w:t>包号</w:t>
            </w:r>
          </w:p>
        </w:tc>
        <w:tc>
          <w:tcPr>
            <w:tcW w:w="909" w:type="dxa"/>
            <w:noWrap w:val="0"/>
            <w:vAlign w:val="center"/>
          </w:tcPr>
          <w:p w14:paraId="3B0B84D0">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序号</w:t>
            </w:r>
          </w:p>
        </w:tc>
        <w:tc>
          <w:tcPr>
            <w:tcW w:w="2012" w:type="dxa"/>
            <w:noWrap w:val="0"/>
            <w:vAlign w:val="center"/>
          </w:tcPr>
          <w:p w14:paraId="52D446C0">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标的名称</w:t>
            </w:r>
          </w:p>
        </w:tc>
        <w:tc>
          <w:tcPr>
            <w:tcW w:w="1991" w:type="dxa"/>
            <w:noWrap w:val="0"/>
            <w:vAlign w:val="center"/>
          </w:tcPr>
          <w:p w14:paraId="65C43628">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品目分类</w:t>
            </w:r>
          </w:p>
          <w:p w14:paraId="498ACABC">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编码及名称</w:t>
            </w:r>
          </w:p>
        </w:tc>
        <w:tc>
          <w:tcPr>
            <w:tcW w:w="992" w:type="dxa"/>
            <w:noWrap w:val="0"/>
            <w:vAlign w:val="center"/>
          </w:tcPr>
          <w:p w14:paraId="747D11F7">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计量</w:t>
            </w:r>
          </w:p>
          <w:p w14:paraId="4900B5B1">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单位</w:t>
            </w:r>
          </w:p>
        </w:tc>
        <w:tc>
          <w:tcPr>
            <w:tcW w:w="850" w:type="dxa"/>
            <w:noWrap w:val="0"/>
            <w:vAlign w:val="center"/>
          </w:tcPr>
          <w:p w14:paraId="2997B51B">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数量</w:t>
            </w:r>
          </w:p>
        </w:tc>
        <w:tc>
          <w:tcPr>
            <w:tcW w:w="977" w:type="dxa"/>
            <w:noWrap w:val="0"/>
            <w:vAlign w:val="center"/>
          </w:tcPr>
          <w:p w14:paraId="5DD696E3">
            <w:pPr>
              <w:spacing w:line="360" w:lineRule="auto"/>
              <w:jc w:val="center"/>
              <w:rPr>
                <w:rFonts w:eastAsia="仿宋_GB2312" w:cs="Courier New"/>
                <w:b/>
                <w:bCs/>
                <w:sz w:val="32"/>
                <w:szCs w:val="32"/>
                <w:highlight w:val="none"/>
              </w:rPr>
            </w:pPr>
            <w:r>
              <w:rPr>
                <w:rFonts w:hint="eastAsia" w:eastAsia="仿宋_GB2312" w:cs="Courier New"/>
                <w:b/>
                <w:bCs/>
                <w:sz w:val="32"/>
                <w:szCs w:val="32"/>
                <w:highlight w:val="none"/>
              </w:rPr>
              <w:t>是否进口</w:t>
            </w:r>
          </w:p>
        </w:tc>
      </w:tr>
      <w:tr w14:paraId="679259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0" w:hRule="atLeast"/>
          <w:jc w:val="center"/>
        </w:trPr>
        <w:tc>
          <w:tcPr>
            <w:tcW w:w="1010" w:type="dxa"/>
            <w:noWrap w:val="0"/>
            <w:vAlign w:val="center"/>
          </w:tcPr>
          <w:p w14:paraId="0C14E65E">
            <w:pPr>
              <w:spacing w:line="360" w:lineRule="auto"/>
              <w:jc w:val="center"/>
              <w:rPr>
                <w:rFonts w:hint="default" w:ascii="Times New Roman" w:hAnsi="Times New Roman" w:eastAsia="仿宋_GB2312" w:cs="Courier New"/>
                <w:sz w:val="21"/>
                <w:szCs w:val="21"/>
                <w:highlight w:val="none"/>
                <w:lang w:val="en-US" w:eastAsia="zh-CN"/>
              </w:rPr>
            </w:pPr>
          </w:p>
        </w:tc>
        <w:tc>
          <w:tcPr>
            <w:tcW w:w="909" w:type="dxa"/>
            <w:noWrap w:val="0"/>
            <w:vAlign w:val="center"/>
          </w:tcPr>
          <w:p w14:paraId="4A8936B4">
            <w:pPr>
              <w:spacing w:line="360" w:lineRule="auto"/>
              <w:jc w:val="center"/>
              <w:rPr>
                <w:rFonts w:hint="eastAsia" w:ascii="Times New Roman" w:hAnsi="Times New Roman" w:eastAsia="仿宋_GB2312" w:cs="Courier New"/>
                <w:sz w:val="21"/>
                <w:szCs w:val="21"/>
                <w:highlight w:val="none"/>
                <w:lang w:val="en-US" w:eastAsia="zh-CN"/>
              </w:rPr>
            </w:pPr>
            <w:r>
              <w:rPr>
                <w:rFonts w:hint="eastAsia" w:ascii="Times New Roman" w:hAnsi="Times New Roman" w:eastAsia="仿宋_GB2312" w:cs="Courier New"/>
                <w:sz w:val="21"/>
                <w:szCs w:val="21"/>
                <w:highlight w:val="none"/>
                <w:lang w:val="en-US" w:eastAsia="zh-CN"/>
              </w:rPr>
              <w:t>1</w:t>
            </w:r>
          </w:p>
        </w:tc>
        <w:tc>
          <w:tcPr>
            <w:tcW w:w="2012" w:type="dxa"/>
            <w:noWrap w:val="0"/>
            <w:vAlign w:val="center"/>
          </w:tcPr>
          <w:p w14:paraId="0F94E853">
            <w:pPr>
              <w:spacing w:line="360" w:lineRule="auto"/>
              <w:rPr>
                <w:rFonts w:hint="default" w:ascii="Times New Roman" w:hAnsi="Times New Roman" w:eastAsia="仿宋_GB2312" w:cs="Courier New"/>
                <w:sz w:val="21"/>
                <w:szCs w:val="21"/>
                <w:highlight w:val="none"/>
                <w:lang w:val="en-US" w:eastAsia="zh-CN"/>
              </w:rPr>
            </w:pPr>
            <w:r>
              <w:rPr>
                <w:rFonts w:hint="eastAsia" w:ascii="Times New Roman" w:hAnsi="Times New Roman" w:eastAsia="仿宋_GB2312" w:cs="Courier New"/>
                <w:sz w:val="21"/>
                <w:szCs w:val="21"/>
                <w:highlight w:val="none"/>
                <w:lang w:val="en-US" w:eastAsia="zh-CN"/>
              </w:rPr>
              <w:t>重型柴油车远程在线监控数据分析服务项目</w:t>
            </w:r>
          </w:p>
        </w:tc>
        <w:tc>
          <w:tcPr>
            <w:tcW w:w="1991" w:type="dxa"/>
            <w:noWrap w:val="0"/>
            <w:vAlign w:val="center"/>
          </w:tcPr>
          <w:p w14:paraId="32AD3B27">
            <w:pPr>
              <w:spacing w:line="360" w:lineRule="auto"/>
              <w:jc w:val="center"/>
              <w:rPr>
                <w:rFonts w:hint="eastAsia" w:ascii="Times New Roman" w:hAnsi="Times New Roman" w:eastAsia="仿宋_GB2312" w:cs="Courier New"/>
                <w:sz w:val="21"/>
                <w:szCs w:val="21"/>
                <w:highlight w:val="none"/>
                <w:lang w:val="en-US" w:eastAsia="zh-CN"/>
              </w:rPr>
            </w:pPr>
            <w:r>
              <w:rPr>
                <w:rFonts w:hint="eastAsia" w:ascii="Times New Roman" w:hAnsi="Times New Roman" w:eastAsia="仿宋_GB2312" w:cs="Courier New"/>
                <w:sz w:val="21"/>
                <w:szCs w:val="21"/>
                <w:highlight w:val="none"/>
                <w:lang w:val="en-US" w:eastAsia="zh-CN"/>
              </w:rPr>
              <w:t>C07990000</w:t>
            </w:r>
          </w:p>
          <w:p w14:paraId="369E3984">
            <w:pPr>
              <w:spacing w:line="360" w:lineRule="auto"/>
              <w:jc w:val="center"/>
              <w:rPr>
                <w:rFonts w:hint="eastAsia"/>
                <w:highlight w:val="none"/>
                <w:lang w:val="en-US" w:eastAsia="zh-CN"/>
              </w:rPr>
            </w:pPr>
            <w:r>
              <w:rPr>
                <w:rFonts w:hint="eastAsia" w:ascii="Times New Roman" w:hAnsi="Times New Roman" w:eastAsia="仿宋_GB2312" w:cs="Courier New"/>
                <w:sz w:val="21"/>
                <w:szCs w:val="21"/>
                <w:highlight w:val="none"/>
                <w:lang w:val="en-US" w:eastAsia="zh-CN"/>
              </w:rPr>
              <w:t>其他生态环境保护和治理服务</w:t>
            </w:r>
          </w:p>
        </w:tc>
        <w:tc>
          <w:tcPr>
            <w:tcW w:w="992" w:type="dxa"/>
            <w:noWrap w:val="0"/>
            <w:vAlign w:val="center"/>
          </w:tcPr>
          <w:p w14:paraId="2EB7E26A">
            <w:pPr>
              <w:spacing w:line="360" w:lineRule="auto"/>
              <w:jc w:val="center"/>
              <w:rPr>
                <w:rFonts w:hint="eastAsia" w:ascii="Times New Roman" w:hAnsi="Times New Roman" w:eastAsia="仿宋_GB2312" w:cs="Courier New"/>
                <w:sz w:val="21"/>
                <w:szCs w:val="21"/>
                <w:highlight w:val="none"/>
                <w:lang w:val="en-US" w:eastAsia="zh-CN"/>
              </w:rPr>
            </w:pPr>
            <w:r>
              <w:rPr>
                <w:rFonts w:hint="eastAsia" w:ascii="Times New Roman" w:hAnsi="Times New Roman" w:eastAsia="仿宋_GB2312" w:cs="Courier New"/>
                <w:sz w:val="21"/>
                <w:szCs w:val="21"/>
                <w:highlight w:val="none"/>
                <w:lang w:val="en-US" w:eastAsia="zh-CN"/>
              </w:rPr>
              <w:t>项</w:t>
            </w:r>
          </w:p>
        </w:tc>
        <w:tc>
          <w:tcPr>
            <w:tcW w:w="850" w:type="dxa"/>
            <w:noWrap w:val="0"/>
            <w:vAlign w:val="center"/>
          </w:tcPr>
          <w:p w14:paraId="373457A1">
            <w:pPr>
              <w:spacing w:line="360" w:lineRule="auto"/>
              <w:jc w:val="center"/>
              <w:rPr>
                <w:rFonts w:hint="eastAsia" w:ascii="Times New Roman" w:hAnsi="Times New Roman" w:eastAsia="仿宋_GB2312" w:cs="Courier New"/>
                <w:sz w:val="21"/>
                <w:szCs w:val="21"/>
                <w:highlight w:val="none"/>
                <w:lang w:val="en-US" w:eastAsia="zh-CN"/>
              </w:rPr>
            </w:pPr>
            <w:r>
              <w:rPr>
                <w:rFonts w:hint="eastAsia" w:ascii="Times New Roman" w:hAnsi="Times New Roman" w:eastAsia="仿宋_GB2312" w:cs="Courier New"/>
                <w:sz w:val="21"/>
                <w:szCs w:val="21"/>
                <w:highlight w:val="none"/>
                <w:lang w:val="en-US" w:eastAsia="zh-CN"/>
              </w:rPr>
              <w:t>1</w:t>
            </w:r>
          </w:p>
        </w:tc>
        <w:tc>
          <w:tcPr>
            <w:tcW w:w="977" w:type="dxa"/>
            <w:noWrap w:val="0"/>
            <w:vAlign w:val="center"/>
          </w:tcPr>
          <w:p w14:paraId="55D2847D">
            <w:pPr>
              <w:spacing w:line="360" w:lineRule="auto"/>
              <w:jc w:val="center"/>
              <w:rPr>
                <w:rFonts w:hint="eastAsia" w:ascii="Times New Roman" w:hAnsi="Times New Roman" w:eastAsia="仿宋_GB2312" w:cs="Courier New"/>
                <w:sz w:val="21"/>
                <w:szCs w:val="21"/>
                <w:highlight w:val="none"/>
                <w:lang w:val="en-US" w:eastAsia="zh-CN"/>
              </w:rPr>
            </w:pPr>
            <w:r>
              <w:rPr>
                <w:rFonts w:hint="eastAsia" w:ascii="Times New Roman" w:hAnsi="Times New Roman" w:eastAsia="仿宋_GB2312" w:cs="Courier New"/>
                <w:sz w:val="21"/>
                <w:szCs w:val="21"/>
                <w:highlight w:val="none"/>
                <w:lang w:val="en-US" w:eastAsia="zh-CN"/>
              </w:rPr>
              <w:t>否</w:t>
            </w:r>
          </w:p>
        </w:tc>
      </w:tr>
    </w:tbl>
    <w:p w14:paraId="537921BE">
      <w:pPr>
        <w:spacing w:line="360" w:lineRule="auto"/>
        <w:ind w:firstLine="640" w:firstLineChars="200"/>
        <w:rPr>
          <w:rFonts w:eastAsia="仿宋_GB2312" w:cs="Courier New"/>
          <w:sz w:val="32"/>
          <w:szCs w:val="32"/>
          <w:highlight w:val="none"/>
        </w:rPr>
      </w:pPr>
    </w:p>
    <w:p w14:paraId="6B637BE1">
      <w:pPr>
        <w:spacing w:line="360" w:lineRule="auto"/>
        <w:ind w:firstLine="640" w:firstLineChars="200"/>
        <w:rPr>
          <w:rFonts w:hint="eastAsia" w:ascii="黑体" w:hAnsi="黑体" w:eastAsia="黑体" w:cs="黑体"/>
          <w:sz w:val="32"/>
          <w:szCs w:val="32"/>
          <w:highlight w:val="none"/>
        </w:rPr>
      </w:pPr>
      <w:r>
        <w:rPr>
          <w:rFonts w:hint="eastAsia" w:ascii="黑体" w:hAnsi="黑体" w:eastAsia="黑体" w:cs="黑体"/>
          <w:sz w:val="32"/>
          <w:szCs w:val="32"/>
          <w:highlight w:val="none"/>
        </w:rPr>
        <w:t>四</w:t>
      </w:r>
      <w:r>
        <w:rPr>
          <w:rFonts w:hint="eastAsia" w:ascii="黑体" w:hAnsi="黑体" w:eastAsia="黑体" w:cs="黑体"/>
          <w:sz w:val="32"/>
          <w:szCs w:val="32"/>
          <w:highlight w:val="none"/>
          <w:lang w:eastAsia="zh-CN"/>
        </w:rPr>
        <w:t>、</w:t>
      </w:r>
      <w:r>
        <w:rPr>
          <w:rFonts w:hint="eastAsia" w:ascii="黑体" w:hAnsi="黑体" w:eastAsia="黑体" w:cs="黑体"/>
          <w:sz w:val="32"/>
          <w:szCs w:val="32"/>
          <w:highlight w:val="none"/>
        </w:rPr>
        <w:t>技术商务要求</w:t>
      </w:r>
    </w:p>
    <w:p w14:paraId="739307CE">
      <w:pPr>
        <w:keepNext w:val="0"/>
        <w:keepLines w:val="0"/>
        <w:pageBreakBefore w:val="0"/>
        <w:widowControl w:val="0"/>
        <w:kinsoku/>
        <w:wordWrap/>
        <w:overflowPunct/>
        <w:topLinePunct w:val="0"/>
        <w:autoSpaceDE/>
        <w:autoSpaceDN/>
        <w:bidi w:val="0"/>
        <w:adjustRightInd/>
        <w:spacing w:line="360" w:lineRule="auto"/>
        <w:ind w:firstLine="640" w:firstLineChars="200"/>
        <w:jc w:val="left"/>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（一）</w:t>
      </w:r>
      <w:r>
        <w:rPr>
          <w:rFonts w:hint="eastAsia" w:ascii="楷体" w:hAnsi="楷体" w:eastAsia="楷体" w:cs="楷体"/>
          <w:sz w:val="32"/>
          <w:szCs w:val="32"/>
          <w:highlight w:val="none"/>
        </w:rPr>
        <w:t>技术要求</w:t>
      </w:r>
    </w:p>
    <w:p w14:paraId="3334CA64">
      <w:pPr>
        <w:keepNext w:val="0"/>
        <w:keepLines w:val="0"/>
        <w:pageBreakBefore w:val="0"/>
        <w:widowControl w:val="0"/>
        <w:kinsoku/>
        <w:wordWrap/>
        <w:overflowPunct/>
        <w:topLinePunct w:val="0"/>
        <w:autoSpaceDE/>
        <w:autoSpaceDN/>
        <w:bidi w:val="0"/>
        <w:adjustRightInd/>
        <w:spacing w:line="360" w:lineRule="auto"/>
        <w:ind w:firstLine="640" w:firstLineChars="200"/>
        <w:textAlignment w:val="auto"/>
        <w:rPr>
          <w:rFonts w:hint="default" w:eastAsia="仿宋_GB2312" w:cs="Courier New"/>
          <w:sz w:val="32"/>
          <w:szCs w:val="32"/>
          <w:highlight w:val="none"/>
          <w:lang w:val="en-US" w:eastAsia="zh-CN"/>
        </w:rPr>
      </w:pPr>
      <w:r>
        <w:rPr>
          <w:rFonts w:hint="eastAsia" w:eastAsia="仿宋_GB2312" w:cs="Courier New"/>
          <w:sz w:val="32"/>
          <w:szCs w:val="32"/>
          <w:highlight w:val="none"/>
        </w:rPr>
        <w:t>石家庄市</w:t>
      </w:r>
      <w:r>
        <w:rPr>
          <w:rFonts w:hint="eastAsia" w:eastAsia="仿宋_GB2312" w:cs="Courier New"/>
          <w:sz w:val="32"/>
          <w:szCs w:val="32"/>
          <w:highlight w:val="none"/>
          <w:lang w:val="en-US" w:eastAsia="zh-CN"/>
        </w:rPr>
        <w:t>移动源</w:t>
      </w:r>
      <w:r>
        <w:rPr>
          <w:rFonts w:hint="eastAsia" w:eastAsia="仿宋_GB2312" w:cs="Courier New"/>
          <w:sz w:val="32"/>
          <w:szCs w:val="32"/>
          <w:highlight w:val="none"/>
        </w:rPr>
        <w:t>远程排放监控系统</w:t>
      </w:r>
      <w:r>
        <w:rPr>
          <w:rFonts w:hint="eastAsia" w:eastAsia="仿宋_GB2312" w:cs="Courier New"/>
          <w:sz w:val="32"/>
          <w:szCs w:val="32"/>
          <w:highlight w:val="none"/>
          <w:lang w:eastAsia="zh-CN"/>
        </w:rPr>
        <w:t>，</w:t>
      </w:r>
      <w:r>
        <w:rPr>
          <w:rFonts w:hint="eastAsia" w:eastAsia="仿宋_GB2312" w:cs="Courier New"/>
          <w:sz w:val="32"/>
          <w:szCs w:val="32"/>
          <w:highlight w:val="none"/>
        </w:rPr>
        <w:t>通过接入全国重型货车远程在线监控（OBD）数据</w:t>
      </w:r>
      <w:r>
        <w:rPr>
          <w:rFonts w:hint="eastAsia" w:eastAsia="仿宋_GB2312" w:cs="Courier New"/>
          <w:sz w:val="32"/>
          <w:szCs w:val="32"/>
          <w:highlight w:val="none"/>
          <w:lang w:val="en-US" w:eastAsia="zh-CN"/>
        </w:rPr>
        <w:t>及国四排放阶段的非道路移动机械定位数据</w:t>
      </w:r>
      <w:r>
        <w:rPr>
          <w:rFonts w:hint="eastAsia" w:eastAsia="仿宋_GB2312" w:cs="Courier New"/>
          <w:sz w:val="32"/>
          <w:szCs w:val="32"/>
          <w:highlight w:val="none"/>
        </w:rPr>
        <w:t>，对进入石家庄市市域内行驶的全国各地国六重型柴油货车的在线监控（OBD）数据</w:t>
      </w:r>
      <w:r>
        <w:rPr>
          <w:rFonts w:hint="eastAsia" w:eastAsia="仿宋_GB2312" w:cs="Courier New"/>
          <w:sz w:val="32"/>
          <w:szCs w:val="32"/>
          <w:highlight w:val="none"/>
          <w:lang w:val="en-US" w:eastAsia="zh-CN"/>
        </w:rPr>
        <w:t>及在</w:t>
      </w:r>
      <w:r>
        <w:rPr>
          <w:rFonts w:hint="eastAsia" w:eastAsia="仿宋_GB2312" w:cs="Courier New"/>
          <w:sz w:val="32"/>
          <w:szCs w:val="32"/>
          <w:highlight w:val="none"/>
        </w:rPr>
        <w:t>石家庄市</w:t>
      </w:r>
      <w:r>
        <w:rPr>
          <w:rFonts w:hint="eastAsia" w:eastAsia="仿宋_GB2312" w:cs="Courier New"/>
          <w:sz w:val="32"/>
          <w:szCs w:val="32"/>
          <w:highlight w:val="none"/>
          <w:lang w:val="en-US" w:eastAsia="zh-CN"/>
        </w:rPr>
        <w:t>施工运行的国四排放阶段的非道路移动机械定位数据</w:t>
      </w:r>
      <w:r>
        <w:rPr>
          <w:rFonts w:hint="eastAsia" w:eastAsia="仿宋_GB2312" w:cs="Courier New"/>
          <w:sz w:val="32"/>
          <w:szCs w:val="32"/>
          <w:highlight w:val="none"/>
        </w:rPr>
        <w:t>开展分析服务，实现重型车</w:t>
      </w:r>
      <w:r>
        <w:rPr>
          <w:rFonts w:hint="eastAsia" w:eastAsia="仿宋_GB2312" w:cs="Courier New"/>
          <w:sz w:val="32"/>
          <w:szCs w:val="32"/>
          <w:highlight w:val="none"/>
          <w:lang w:val="en-US" w:eastAsia="zh-CN"/>
        </w:rPr>
        <w:t>及国四排放阶段的非道路移动机械</w:t>
      </w:r>
      <w:r>
        <w:rPr>
          <w:rFonts w:hint="eastAsia" w:eastAsia="仿宋_GB2312" w:cs="Courier New"/>
          <w:sz w:val="32"/>
          <w:szCs w:val="32"/>
          <w:highlight w:val="none"/>
        </w:rPr>
        <w:t>全市域、全时段的自动化监管，构建石家庄重型车</w:t>
      </w:r>
      <w:r>
        <w:rPr>
          <w:rFonts w:hint="eastAsia" w:eastAsia="仿宋_GB2312" w:cs="Courier New"/>
          <w:sz w:val="32"/>
          <w:szCs w:val="32"/>
          <w:highlight w:val="none"/>
          <w:lang w:eastAsia="zh-CN"/>
        </w:rPr>
        <w:t>、</w:t>
      </w:r>
      <w:r>
        <w:rPr>
          <w:rFonts w:hint="eastAsia" w:eastAsia="仿宋_GB2312" w:cs="Courier New"/>
          <w:sz w:val="32"/>
          <w:szCs w:val="32"/>
          <w:highlight w:val="none"/>
          <w:lang w:val="en-US" w:eastAsia="zh-CN"/>
        </w:rPr>
        <w:t>国四非道路移动机械</w:t>
      </w:r>
      <w:r>
        <w:rPr>
          <w:rFonts w:hint="eastAsia" w:eastAsia="仿宋_GB2312" w:cs="Courier New"/>
          <w:sz w:val="32"/>
          <w:szCs w:val="32"/>
          <w:highlight w:val="none"/>
        </w:rPr>
        <w:t>排放精准监管体系，全面评估重型车</w:t>
      </w:r>
      <w:r>
        <w:rPr>
          <w:rFonts w:hint="eastAsia" w:eastAsia="仿宋_GB2312" w:cs="Courier New"/>
          <w:sz w:val="32"/>
          <w:szCs w:val="32"/>
          <w:highlight w:val="none"/>
          <w:lang w:val="en-US" w:eastAsia="zh-CN"/>
        </w:rPr>
        <w:t>及国四非道路移动机械</w:t>
      </w:r>
      <w:r>
        <w:rPr>
          <w:rFonts w:hint="eastAsia" w:eastAsia="仿宋_GB2312" w:cs="Courier New"/>
          <w:sz w:val="32"/>
          <w:szCs w:val="32"/>
          <w:highlight w:val="none"/>
        </w:rPr>
        <w:t>环境管理措施的环境效益，通过精准分析，为重型货车</w:t>
      </w:r>
      <w:r>
        <w:rPr>
          <w:rFonts w:hint="eastAsia" w:eastAsia="仿宋_GB2312" w:cs="Courier New"/>
          <w:sz w:val="32"/>
          <w:szCs w:val="32"/>
          <w:highlight w:val="none"/>
          <w:lang w:val="en-US" w:eastAsia="zh-CN"/>
        </w:rPr>
        <w:t>和国四非道路移动机械</w:t>
      </w:r>
      <w:r>
        <w:rPr>
          <w:rFonts w:hint="eastAsia" w:eastAsia="仿宋_GB2312" w:cs="Courier New"/>
          <w:sz w:val="32"/>
          <w:szCs w:val="32"/>
          <w:highlight w:val="none"/>
        </w:rPr>
        <w:t>现场执法、指挥管控和减排管理提供科学建议</w:t>
      </w:r>
      <w:r>
        <w:rPr>
          <w:rFonts w:hint="eastAsia" w:eastAsia="仿宋_GB2312" w:cs="Courier New"/>
          <w:sz w:val="32"/>
          <w:szCs w:val="32"/>
          <w:highlight w:val="none"/>
          <w:lang w:eastAsia="zh-CN"/>
        </w:rPr>
        <w:t>。</w:t>
      </w:r>
      <w:r>
        <w:rPr>
          <w:rFonts w:hint="eastAsia" w:eastAsia="仿宋_GB2312" w:cs="Courier New"/>
          <w:sz w:val="32"/>
          <w:szCs w:val="32"/>
          <w:highlight w:val="none"/>
          <w:lang w:val="en-US" w:eastAsia="zh-CN"/>
        </w:rPr>
        <w:t>提供</w:t>
      </w:r>
      <w:r>
        <w:rPr>
          <w:rFonts w:hint="eastAsia" w:ascii="仿宋_GB2312" w:hAnsi="仿宋_GB2312" w:eastAsia="仿宋_GB2312" w:cs="仿宋_GB2312"/>
          <w:sz w:val="32"/>
          <w:szCs w:val="32"/>
          <w:highlight w:val="none"/>
          <w:lang w:val="en-US" w:eastAsia="zh-CN"/>
        </w:rPr>
        <w:t>一年的国六</w:t>
      </w:r>
      <w:r>
        <w:rPr>
          <w:rFonts w:hint="eastAsia" w:eastAsia="仿宋_GB2312" w:cs="Courier New"/>
          <w:sz w:val="32"/>
          <w:szCs w:val="32"/>
          <w:highlight w:val="none"/>
        </w:rPr>
        <w:t>重型货车</w:t>
      </w:r>
      <w:r>
        <w:rPr>
          <w:rFonts w:hint="eastAsia" w:eastAsia="仿宋_GB2312" w:cs="Courier New"/>
          <w:sz w:val="32"/>
          <w:szCs w:val="32"/>
          <w:highlight w:val="none"/>
          <w:lang w:val="en-US" w:eastAsia="zh-CN"/>
        </w:rPr>
        <w:t>和国四非道路移动机械数据服务</w:t>
      </w:r>
      <w:r>
        <w:rPr>
          <w:rFonts w:hint="eastAsia" w:eastAsia="仿宋_GB2312" w:cs="Courier New"/>
          <w:sz w:val="32"/>
          <w:szCs w:val="32"/>
          <w:highlight w:val="none"/>
        </w:rPr>
        <w:t>。</w:t>
      </w:r>
      <w:r>
        <w:rPr>
          <w:rFonts w:hint="eastAsia" w:eastAsia="仿宋_GB2312" w:cs="Courier New"/>
          <w:sz w:val="32"/>
          <w:szCs w:val="32"/>
          <w:highlight w:val="none"/>
          <w:lang w:val="en-US" w:eastAsia="zh-CN"/>
        </w:rPr>
        <w:t>对系统进行稳定性升级及功能性增强服务。</w:t>
      </w:r>
    </w:p>
    <w:p w14:paraId="21C822A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outlineLvl w:val="2"/>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bCs/>
          <w:color w:val="auto"/>
          <w:kern w:val="2"/>
          <w:sz w:val="32"/>
          <w:szCs w:val="32"/>
          <w:highlight w:val="none"/>
          <w:lang w:val="en-US" w:eastAsia="zh-CN" w:bidi="ar-SA"/>
        </w:rPr>
        <w:t>1.</w:t>
      </w:r>
      <w:r>
        <w:rPr>
          <w:rFonts w:hint="eastAsia" w:ascii="仿宋_GB2312" w:hAnsi="仿宋_GB2312" w:eastAsia="仿宋_GB2312" w:cs="仿宋_GB2312"/>
          <w:b/>
          <w:bCs/>
          <w:color w:val="auto"/>
          <w:sz w:val="32"/>
          <w:szCs w:val="32"/>
          <w:highlight w:val="none"/>
          <w:lang w:eastAsia="zh-CN"/>
        </w:rPr>
        <w:t>接入</w:t>
      </w:r>
      <w:r>
        <w:rPr>
          <w:rFonts w:hint="eastAsia" w:ascii="仿宋_GB2312" w:hAnsi="仿宋_GB2312" w:eastAsia="仿宋_GB2312" w:cs="仿宋_GB2312"/>
          <w:b/>
          <w:bCs/>
          <w:color w:val="auto"/>
          <w:sz w:val="32"/>
          <w:szCs w:val="32"/>
          <w:highlight w:val="none"/>
          <w:lang w:val="en-US" w:eastAsia="zh-CN"/>
        </w:rPr>
        <w:t>国六</w:t>
      </w:r>
      <w:r>
        <w:rPr>
          <w:rFonts w:hint="eastAsia" w:ascii="仿宋_GB2312" w:hAnsi="仿宋_GB2312" w:eastAsia="仿宋_GB2312" w:cs="仿宋_GB2312"/>
          <w:b/>
          <w:bCs/>
          <w:color w:val="auto"/>
          <w:sz w:val="32"/>
          <w:szCs w:val="32"/>
          <w:highlight w:val="none"/>
          <w:lang w:eastAsia="zh-CN"/>
        </w:rPr>
        <w:t>重型</w:t>
      </w:r>
      <w:r>
        <w:rPr>
          <w:rFonts w:hint="eastAsia" w:ascii="仿宋_GB2312" w:hAnsi="仿宋_GB2312" w:eastAsia="仿宋_GB2312" w:cs="仿宋_GB2312"/>
          <w:b/>
          <w:bCs/>
          <w:color w:val="auto"/>
          <w:sz w:val="32"/>
          <w:szCs w:val="32"/>
          <w:highlight w:val="none"/>
          <w:lang w:val="en-US" w:eastAsia="zh-CN"/>
        </w:rPr>
        <w:t>柴油</w:t>
      </w:r>
      <w:r>
        <w:rPr>
          <w:rFonts w:hint="eastAsia" w:ascii="仿宋_GB2312" w:hAnsi="仿宋_GB2312" w:eastAsia="仿宋_GB2312" w:cs="仿宋_GB2312"/>
          <w:b/>
          <w:bCs/>
          <w:color w:val="auto"/>
          <w:sz w:val="32"/>
          <w:szCs w:val="32"/>
          <w:highlight w:val="none"/>
          <w:lang w:eastAsia="zh-CN"/>
        </w:rPr>
        <w:t>货车远程在线监控数据</w:t>
      </w:r>
    </w:p>
    <w:p w14:paraId="0F9D848B">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提供数据至少包括：NO</w:t>
      </w:r>
      <w:r>
        <w:rPr>
          <w:rFonts w:hint="eastAsia" w:ascii="仿宋_GB2312" w:hAnsi="仿宋_GB2312" w:eastAsia="仿宋_GB2312" w:cs="仿宋_GB2312"/>
          <w:b w:val="0"/>
          <w:bCs w:val="0"/>
          <w:color w:val="auto"/>
          <w:sz w:val="32"/>
          <w:szCs w:val="32"/>
          <w:highlight w:val="none"/>
          <w:lang w:val="en-US" w:eastAsia="zh-CN"/>
        </w:rPr>
        <w:t>x</w:t>
      </w:r>
      <w:r>
        <w:rPr>
          <w:rFonts w:hint="eastAsia" w:ascii="仿宋_GB2312" w:hAnsi="仿宋_GB2312" w:eastAsia="仿宋_GB2312" w:cs="仿宋_GB2312"/>
          <w:sz w:val="32"/>
          <w:szCs w:val="32"/>
          <w:highlight w:val="none"/>
          <w:lang w:val="en-US" w:eastAsia="zh-CN"/>
        </w:rPr>
        <w:t>排放浓度、在线时长、尿素量、油耗、实时位置等。</w:t>
      </w:r>
    </w:p>
    <w:p w14:paraId="4D176FF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bCs/>
          <w:color w:val="auto"/>
          <w:kern w:val="2"/>
          <w:sz w:val="32"/>
          <w:szCs w:val="32"/>
          <w:highlight w:val="none"/>
          <w:lang w:val="en-US" w:eastAsia="zh-CN" w:bidi="ar-SA"/>
        </w:rPr>
        <w:t>2.</w:t>
      </w:r>
      <w:r>
        <w:rPr>
          <w:rFonts w:hint="eastAsia" w:ascii="仿宋_GB2312" w:hAnsi="仿宋_GB2312" w:eastAsia="仿宋_GB2312" w:cs="仿宋_GB2312"/>
          <w:b/>
          <w:bCs/>
          <w:color w:val="auto"/>
          <w:sz w:val="32"/>
          <w:szCs w:val="32"/>
          <w:highlight w:val="none"/>
          <w:lang w:eastAsia="zh-CN"/>
        </w:rPr>
        <w:t>接入</w:t>
      </w:r>
      <w:r>
        <w:rPr>
          <w:rFonts w:hint="eastAsia" w:ascii="仿宋_GB2312" w:hAnsi="仿宋_GB2312" w:eastAsia="仿宋_GB2312" w:cs="仿宋_GB2312"/>
          <w:b/>
          <w:bCs/>
          <w:color w:val="auto"/>
          <w:sz w:val="32"/>
          <w:szCs w:val="32"/>
          <w:highlight w:val="none"/>
          <w:lang w:val="en-US" w:eastAsia="zh-CN"/>
        </w:rPr>
        <w:t>国四排放阶段的非道路移动机械定位数据</w:t>
      </w:r>
    </w:p>
    <w:p w14:paraId="6D90FB65">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提供数据至少包括：机械类型、备案编码、排放标准、在线时间、经度、纬度等。</w:t>
      </w:r>
    </w:p>
    <w:p w14:paraId="465BE88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sz w:val="32"/>
          <w:szCs w:val="32"/>
          <w:highlight w:val="none"/>
          <w:lang w:eastAsia="zh-CN"/>
        </w:rPr>
      </w:pPr>
      <w:r>
        <w:rPr>
          <w:rFonts w:hint="eastAsia" w:ascii="仿宋_GB2312" w:hAnsi="仿宋_GB2312" w:eastAsia="仿宋_GB2312" w:cs="仿宋_GB2312"/>
          <w:b/>
          <w:bCs/>
          <w:color w:val="auto"/>
          <w:kern w:val="2"/>
          <w:sz w:val="32"/>
          <w:szCs w:val="32"/>
          <w:highlight w:val="none"/>
          <w:lang w:val="en-US" w:eastAsia="zh-CN" w:bidi="ar-SA"/>
        </w:rPr>
        <w:t>3.</w:t>
      </w:r>
      <w:r>
        <w:rPr>
          <w:rFonts w:hint="eastAsia" w:ascii="仿宋_GB2312" w:hAnsi="仿宋_GB2312" w:eastAsia="仿宋_GB2312" w:cs="仿宋_GB2312"/>
          <w:b/>
          <w:bCs/>
          <w:color w:val="auto"/>
          <w:sz w:val="32"/>
          <w:szCs w:val="32"/>
          <w:highlight w:val="none"/>
          <w:lang w:val="en-US" w:eastAsia="zh-CN"/>
        </w:rPr>
        <w:t>系统功能</w:t>
      </w:r>
    </w:p>
    <w:p w14:paraId="46699E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综合分析：</w:t>
      </w:r>
      <w:r>
        <w:rPr>
          <w:rFonts w:hint="eastAsia" w:ascii="仿宋_GB2312" w:hAnsi="仿宋_GB2312" w:eastAsia="仿宋_GB2312" w:cs="仿宋_GB2312"/>
          <w:b w:val="0"/>
          <w:bCs w:val="0"/>
          <w:color w:val="auto"/>
          <w:sz w:val="32"/>
          <w:szCs w:val="32"/>
          <w:highlight w:val="none"/>
          <w:lang w:val="en-US" w:eastAsia="zh-CN"/>
        </w:rPr>
        <w:t>通过交互式地图展示不同区域的车辆排放情况，使用不同颜色表示NOx（氮氧化物）排放量的高低，并可根据所选时间生成污染物排放的变化动态图。同时，系统提供重型柴油车的关键运行指标，包括总行驶里程、总NOx排放量和累计上线车辆数，并支持实时的运行情况分析，涵盖行驶里程、活跃时长和NOx排放量。</w:t>
      </w:r>
    </w:p>
    <w:p w14:paraId="009F136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OBD异常车辆：</w:t>
      </w:r>
      <w:r>
        <w:rPr>
          <w:rFonts w:hint="eastAsia" w:ascii="仿宋_GB2312" w:hAnsi="仿宋_GB2312" w:eastAsia="仿宋_GB2312" w:cs="仿宋_GB2312"/>
          <w:b w:val="0"/>
          <w:bCs w:val="0"/>
          <w:color w:val="auto"/>
          <w:sz w:val="32"/>
          <w:szCs w:val="32"/>
          <w:highlight w:val="none"/>
          <w:lang w:val="en-US" w:eastAsia="zh-CN"/>
        </w:rPr>
        <w:t>交互式地图通过不同颜色标记展示各区域监测点及路网分析，结合数据面板提供详细的异常车辆清单，包括车牌号、VIN码、排放阶段、所在区域和总风险评分，并特别列出OBD异常车辆分析以及进出企业排名前十的企业信息。系统支持通过时间轴选择特定时间段查看历史数据，并利用查询、播放、暂停等操作按钮控制数据展示与更新，同时以图表形式显示不同类型车辆分布及异常车辆的风险评分统计，进一步细化对Top5车辆异常类型的分析，从而实现了对重型车辆排放情况的实时监控与异常处理。</w:t>
      </w:r>
    </w:p>
    <w:p w14:paraId="0D640D7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高精度排放清单：</w:t>
      </w:r>
      <w:r>
        <w:rPr>
          <w:rFonts w:hint="eastAsia" w:ascii="仿宋_GB2312" w:hAnsi="仿宋_GB2312" w:eastAsia="仿宋_GB2312" w:cs="仿宋_GB2312"/>
          <w:b w:val="0"/>
          <w:bCs w:val="0"/>
          <w:color w:val="auto"/>
          <w:sz w:val="32"/>
          <w:szCs w:val="32"/>
          <w:highlight w:val="none"/>
          <w:lang w:val="en-US" w:eastAsia="zh-CN"/>
        </w:rPr>
        <w:t>交互式地图展示石家庄市重型车辆的远程排放监控情况，通过不同颜色标记各区域的监测点和路网分布，提供NOx排放量TOP10区县、不同车辆类型NOx排放量分布、本地车与异地车的NOx排放量对比，以及近三天重型柴油车的燃油和尿素消耗分析。</w:t>
      </w:r>
    </w:p>
    <w:p w14:paraId="16C043F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空气质量分析：</w:t>
      </w:r>
      <w:r>
        <w:rPr>
          <w:rFonts w:hint="eastAsia" w:ascii="仿宋_GB2312" w:hAnsi="仿宋_GB2312" w:eastAsia="仿宋_GB2312" w:cs="仿宋_GB2312"/>
          <w:b w:val="0"/>
          <w:bCs w:val="0"/>
          <w:color w:val="auto"/>
          <w:sz w:val="32"/>
          <w:szCs w:val="32"/>
          <w:highlight w:val="none"/>
          <w:lang w:val="en-US" w:eastAsia="zh-CN"/>
        </w:rPr>
        <w:t>采用GIS地图技术，结合空气质量观测和气象数据，分析大气污染特征。地图上标注国控站及省控站站点，展示重型柴油车排放对污染贡献的水平。用户可以通过过滤或选择不同类型的数据选项，包括时间类型、监测时间、污染指标和站类型等，来展示不同的分析数据。使用户能够更全面地了解和管理环境污染状况，实现对重型车辆排放情况的实时监控。</w:t>
      </w:r>
    </w:p>
    <w:p w14:paraId="1049F5D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highlight w:val="none"/>
          <w:lang w:val="en-US" w:eastAsia="zh-CN"/>
        </w:rPr>
      </w:pPr>
      <w:r>
        <w:rPr>
          <w:rFonts w:hint="eastAsia" w:ascii="仿宋_GB2312" w:hAnsi="仿宋_GB2312" w:eastAsia="仿宋_GB2312" w:cs="仿宋_GB2312"/>
          <w:b/>
          <w:bCs/>
          <w:color w:val="auto"/>
          <w:kern w:val="2"/>
          <w:sz w:val="32"/>
          <w:szCs w:val="32"/>
          <w:highlight w:val="none"/>
          <w:lang w:val="en-US" w:eastAsia="zh-CN" w:bidi="ar-SA"/>
        </w:rPr>
        <w:t>非道路移动机械：</w:t>
      </w:r>
      <w:r>
        <w:rPr>
          <w:rFonts w:hint="eastAsia" w:ascii="仿宋_GB2312" w:hAnsi="仿宋_GB2312" w:eastAsia="仿宋_GB2312" w:cs="仿宋_GB2312"/>
          <w:b w:val="0"/>
          <w:bCs w:val="0"/>
          <w:color w:val="auto"/>
          <w:sz w:val="32"/>
          <w:szCs w:val="32"/>
          <w:highlight w:val="none"/>
          <w:lang w:val="en-US" w:eastAsia="zh-CN"/>
        </w:rPr>
        <w:t>通过接入的国四阶段非道路移动机械数据，结合GIS地图显示国四阶段非道路移动机械在线情况，包括环保机械代码信息及位置，统计地区国四阶段机械数量及上线作业机械数量，通过本地区国四阶段非道路机械数量和在线作业情况，为国四非道路机械区域排放量计算分析做数据支撑，为现场执法检查提供数据支撑。</w:t>
      </w:r>
    </w:p>
    <w:p w14:paraId="0384106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default"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4.系统性能要求</w:t>
      </w:r>
    </w:p>
    <w:p w14:paraId="6EF919E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4.1</w:t>
      </w:r>
      <w:r>
        <w:rPr>
          <w:rFonts w:hint="eastAsia" w:ascii="仿宋_GB2312" w:hAnsi="仿宋_GB2312" w:eastAsia="仿宋_GB2312" w:cs="仿宋_GB2312"/>
          <w:b w:val="0"/>
          <w:bCs w:val="0"/>
          <w:color w:val="auto"/>
          <w:sz w:val="32"/>
          <w:szCs w:val="32"/>
          <w:highlight w:val="none"/>
          <w:lang w:eastAsia="zh-CN"/>
        </w:rPr>
        <w:t>响应时间</w:t>
      </w:r>
    </w:p>
    <w:p w14:paraId="0A85101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系统设计确保所有在线查询和分析请求在30秒内完成，以提供接近实时的响应速度。通过高效的数据库索引、缓存策略以及使用分布式计算架构来加速数据检索和处理速度。此外，部署内容分发网络可以加快静态资源加载，进一步提升用户体验。</w:t>
      </w:r>
    </w:p>
    <w:p w14:paraId="533BAA0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4.2</w:t>
      </w:r>
      <w:r>
        <w:rPr>
          <w:rFonts w:hint="eastAsia" w:ascii="仿宋_GB2312" w:hAnsi="仿宋_GB2312" w:eastAsia="仿宋_GB2312" w:cs="仿宋_GB2312"/>
          <w:b w:val="0"/>
          <w:bCs w:val="0"/>
          <w:color w:val="auto"/>
          <w:sz w:val="32"/>
          <w:szCs w:val="32"/>
          <w:highlight w:val="none"/>
          <w:lang w:eastAsia="zh-CN"/>
        </w:rPr>
        <w:t>并发处理能力</w:t>
      </w:r>
    </w:p>
    <w:p w14:paraId="67173A8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系统需支持多用户同时访问，至少可承载100名以上用户同时在线操作。为此，采用负载均衡技术合理分配服务器资源，防止单点过载；设计无状态的服务端应用，便于根据需要横向扩展服务器节点，从而增加系统的并发处理能力和稳定性。</w:t>
      </w:r>
    </w:p>
    <w:p w14:paraId="5D819D6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4.3</w:t>
      </w:r>
      <w:r>
        <w:rPr>
          <w:rFonts w:hint="eastAsia" w:ascii="仿宋_GB2312" w:hAnsi="仿宋_GB2312" w:eastAsia="仿宋_GB2312" w:cs="仿宋_GB2312"/>
          <w:b w:val="0"/>
          <w:bCs w:val="0"/>
          <w:color w:val="auto"/>
          <w:sz w:val="32"/>
          <w:szCs w:val="32"/>
          <w:highlight w:val="none"/>
          <w:lang w:eastAsia="zh-CN"/>
        </w:rPr>
        <w:t>数据处理能力</w:t>
      </w:r>
    </w:p>
    <w:p w14:paraId="60627AB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鉴于大量OBD</w:t>
      </w:r>
      <w:r>
        <w:rPr>
          <w:rFonts w:hint="eastAsia" w:ascii="仿宋_GB2312" w:hAnsi="仿宋_GB2312" w:eastAsia="仿宋_GB2312" w:cs="仿宋_GB2312"/>
          <w:b w:val="0"/>
          <w:bCs w:val="0"/>
          <w:color w:val="auto"/>
          <w:sz w:val="32"/>
          <w:szCs w:val="32"/>
          <w:highlight w:val="none"/>
          <w:lang w:val="en-US" w:eastAsia="zh-CN"/>
        </w:rPr>
        <w:t>及国四非道路</w:t>
      </w:r>
      <w:r>
        <w:rPr>
          <w:rFonts w:hint="eastAsia" w:ascii="仿宋_GB2312" w:hAnsi="仿宋_GB2312" w:eastAsia="仿宋_GB2312" w:cs="仿宋_GB2312"/>
          <w:b w:val="0"/>
          <w:bCs w:val="0"/>
          <w:color w:val="auto"/>
          <w:sz w:val="32"/>
          <w:szCs w:val="32"/>
          <w:highlight w:val="none"/>
          <w:lang w:eastAsia="zh-CN"/>
        </w:rPr>
        <w:t>数据的传输需求，系统必须具备强大的数据处理机制，保障数据的完整性和及时性。构建基于流处理平台的实时数据管道，用于快速摄取、处理并存储来自车辆的OBD数据流</w:t>
      </w:r>
      <w:r>
        <w:rPr>
          <w:rFonts w:hint="eastAsia" w:ascii="仿宋_GB2312" w:hAnsi="仿宋_GB2312" w:eastAsia="仿宋_GB2312" w:cs="仿宋_GB2312"/>
          <w:b w:val="0"/>
          <w:bCs w:val="0"/>
          <w:color w:val="auto"/>
          <w:sz w:val="32"/>
          <w:szCs w:val="32"/>
          <w:highlight w:val="none"/>
          <w:lang w:val="en-US" w:eastAsia="zh-CN"/>
        </w:rPr>
        <w:t>及国四非道路</w:t>
      </w:r>
      <w:r>
        <w:rPr>
          <w:rFonts w:hint="eastAsia" w:ascii="仿宋_GB2312" w:hAnsi="仿宋_GB2312" w:eastAsia="仿宋_GB2312" w:cs="仿宋_GB2312"/>
          <w:b w:val="0"/>
          <w:bCs w:val="0"/>
          <w:color w:val="auto"/>
          <w:sz w:val="32"/>
          <w:szCs w:val="32"/>
          <w:highlight w:val="none"/>
          <w:lang w:eastAsia="zh-CN"/>
        </w:rPr>
        <w:t>数据</w:t>
      </w:r>
      <w:r>
        <w:rPr>
          <w:rFonts w:hint="eastAsia" w:ascii="仿宋_GB2312" w:hAnsi="仿宋_GB2312" w:eastAsia="仿宋_GB2312" w:cs="仿宋_GB2312"/>
          <w:b w:val="0"/>
          <w:bCs w:val="0"/>
          <w:color w:val="auto"/>
          <w:sz w:val="32"/>
          <w:szCs w:val="32"/>
          <w:highlight w:val="none"/>
          <w:lang w:val="en-US" w:eastAsia="zh-CN"/>
        </w:rPr>
        <w:t>流</w:t>
      </w:r>
      <w:r>
        <w:rPr>
          <w:rFonts w:hint="eastAsia" w:ascii="仿宋_GB2312" w:hAnsi="仿宋_GB2312" w:eastAsia="仿宋_GB2312" w:cs="仿宋_GB2312"/>
          <w:b w:val="0"/>
          <w:bCs w:val="0"/>
          <w:color w:val="auto"/>
          <w:sz w:val="32"/>
          <w:szCs w:val="32"/>
          <w:highlight w:val="none"/>
          <w:lang w:eastAsia="zh-CN"/>
        </w:rPr>
        <w:t>。采用增量式数据同步机制减少不必要的全量数据传输，提高效率，并利用大数据存储解决方案确保高可用的数据存储和快速检索。</w:t>
      </w:r>
    </w:p>
    <w:p w14:paraId="59A2A56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4.4</w:t>
      </w:r>
      <w:r>
        <w:rPr>
          <w:rFonts w:hint="eastAsia" w:ascii="仿宋_GB2312" w:hAnsi="仿宋_GB2312" w:eastAsia="仿宋_GB2312" w:cs="仿宋_GB2312"/>
          <w:b w:val="0"/>
          <w:bCs w:val="0"/>
          <w:color w:val="auto"/>
          <w:sz w:val="32"/>
          <w:szCs w:val="32"/>
          <w:highlight w:val="none"/>
          <w:lang w:eastAsia="zh-CN"/>
        </w:rPr>
        <w:t>高可用性</w:t>
      </w:r>
    </w:p>
    <w:p w14:paraId="3802E01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考虑到系统的监管用途，需达到99.9%以上的系统可用性，最大限度减少停机时间。应实施冗余设计，包括但不限于多数据中心部署、自动故障转移机制等，确保即使发生硬件或软件故障，系统仍能持续运行，不影响业务连续性。定期进行系统健康检查和维护，提前预防潜在问题。</w:t>
      </w:r>
    </w:p>
    <w:p w14:paraId="672096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val="en-US" w:eastAsia="zh-CN"/>
        </w:rPr>
        <w:t>4.5</w:t>
      </w:r>
      <w:r>
        <w:rPr>
          <w:rFonts w:hint="eastAsia" w:ascii="仿宋_GB2312" w:hAnsi="仿宋_GB2312" w:eastAsia="仿宋_GB2312" w:cs="仿宋_GB2312"/>
          <w:b w:val="0"/>
          <w:bCs w:val="0"/>
          <w:color w:val="auto"/>
          <w:sz w:val="32"/>
          <w:szCs w:val="32"/>
          <w:highlight w:val="none"/>
          <w:lang w:eastAsia="zh-CN"/>
        </w:rPr>
        <w:t>安全性</w:t>
      </w:r>
    </w:p>
    <w:p w14:paraId="2CCB8CB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强化</w:t>
      </w:r>
      <w:r>
        <w:rPr>
          <w:rFonts w:hint="eastAsia" w:ascii="仿宋_GB2312" w:hAnsi="仿宋_GB2312" w:eastAsia="仿宋_GB2312" w:cs="仿宋_GB2312"/>
          <w:b w:val="0"/>
          <w:bCs w:val="0"/>
          <w:color w:val="auto"/>
          <w:sz w:val="32"/>
          <w:szCs w:val="32"/>
          <w:highlight w:val="none"/>
          <w:lang w:val="en-US" w:eastAsia="zh-CN"/>
        </w:rPr>
        <w:t>系统及</w:t>
      </w:r>
      <w:r>
        <w:rPr>
          <w:rFonts w:hint="eastAsia" w:ascii="仿宋_GB2312" w:hAnsi="仿宋_GB2312" w:eastAsia="仿宋_GB2312" w:cs="仿宋_GB2312"/>
          <w:b w:val="0"/>
          <w:bCs w:val="0"/>
          <w:color w:val="auto"/>
          <w:sz w:val="32"/>
          <w:szCs w:val="32"/>
          <w:highlight w:val="none"/>
          <w:lang w:eastAsia="zh-CN"/>
        </w:rPr>
        <w:t>数据安全保障措施，防止未授权访问，并严格遵守相关隐私法规，确保数据安全。</w:t>
      </w:r>
    </w:p>
    <w:p w14:paraId="0D75436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default"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5.数据分析报告要求</w:t>
      </w:r>
    </w:p>
    <w:p w14:paraId="2FD1913C">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根据要求开展数据分析，出具月度分析报告。报告相关内容如下：</w:t>
      </w:r>
    </w:p>
    <w:p w14:paraId="10CFCE9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kern w:val="2"/>
          <w:sz w:val="32"/>
          <w:szCs w:val="32"/>
          <w:highlight w:val="none"/>
          <w:lang w:val="en-US" w:eastAsia="zh-CN" w:bidi="ar-SA"/>
        </w:rPr>
        <w:t>5.1</w:t>
      </w:r>
      <w:r>
        <w:rPr>
          <w:rFonts w:hint="eastAsia" w:ascii="仿宋_GB2312" w:hAnsi="仿宋_GB2312" w:eastAsia="仿宋_GB2312" w:cs="仿宋_GB2312"/>
          <w:b w:val="0"/>
          <w:bCs w:val="0"/>
          <w:color w:val="auto"/>
          <w:sz w:val="32"/>
          <w:szCs w:val="32"/>
          <w:highlight w:val="none"/>
          <w:lang w:eastAsia="zh-CN"/>
        </w:rPr>
        <w:t>重型柴油车运行和排放分析</w:t>
      </w:r>
    </w:p>
    <w:p w14:paraId="6BFC6FE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分析</w:t>
      </w:r>
      <w:r>
        <w:rPr>
          <w:rFonts w:hint="eastAsia" w:ascii="仿宋_GB2312" w:hAnsi="仿宋_GB2312" w:eastAsia="仿宋_GB2312" w:cs="仿宋_GB2312"/>
          <w:sz w:val="32"/>
          <w:szCs w:val="32"/>
          <w:highlight w:val="none"/>
          <w:lang w:val="en-US" w:eastAsia="zh-CN"/>
        </w:rPr>
        <w:t>进入石家庄市市域内行驶的全国各地</w:t>
      </w:r>
      <w:r>
        <w:rPr>
          <w:rFonts w:hint="eastAsia" w:ascii="仿宋_GB2312" w:hAnsi="仿宋_GB2312" w:eastAsia="仿宋_GB2312" w:cs="仿宋_GB2312"/>
          <w:sz w:val="32"/>
          <w:szCs w:val="32"/>
          <w:highlight w:val="none"/>
        </w:rPr>
        <w:t>国六重型柴油货车</w:t>
      </w:r>
      <w:r>
        <w:rPr>
          <w:rFonts w:hint="eastAsia" w:ascii="仿宋_GB2312" w:hAnsi="仿宋_GB2312" w:eastAsia="仿宋_GB2312" w:cs="仿宋_GB2312"/>
          <w:sz w:val="32"/>
          <w:szCs w:val="32"/>
          <w:highlight w:val="none"/>
          <w:lang w:val="en-US" w:eastAsia="zh-CN"/>
        </w:rPr>
        <w:t>的实时行驶位置、行驶路线、氮氧化物</w:t>
      </w:r>
      <w:r>
        <w:rPr>
          <w:rFonts w:hint="eastAsia" w:ascii="仿宋_GB2312" w:hAnsi="仿宋_GB2312" w:eastAsia="仿宋_GB2312" w:cs="仿宋_GB2312"/>
          <w:sz w:val="32"/>
          <w:szCs w:val="32"/>
          <w:highlight w:val="none"/>
        </w:rPr>
        <w:t>排放数据</w:t>
      </w:r>
      <w:r>
        <w:rPr>
          <w:rFonts w:hint="eastAsia" w:ascii="仿宋_GB2312" w:hAnsi="仿宋_GB2312" w:eastAsia="仿宋_GB2312" w:cs="仿宋_GB2312"/>
          <w:sz w:val="32"/>
          <w:szCs w:val="32"/>
          <w:highlight w:val="none"/>
          <w:lang w:eastAsia="zh-CN"/>
        </w:rPr>
        <w:t>变化、</w:t>
      </w:r>
      <w:r>
        <w:rPr>
          <w:rFonts w:hint="eastAsia" w:ascii="仿宋_GB2312" w:hAnsi="仿宋_GB2312" w:eastAsia="仿宋_GB2312" w:cs="仿宋_GB2312"/>
          <w:sz w:val="32"/>
          <w:szCs w:val="32"/>
          <w:highlight w:val="none"/>
        </w:rPr>
        <w:t>分布</w:t>
      </w:r>
      <w:r>
        <w:rPr>
          <w:rFonts w:hint="eastAsia" w:ascii="仿宋_GB2312" w:hAnsi="仿宋_GB2312" w:eastAsia="仿宋_GB2312" w:cs="仿宋_GB2312"/>
          <w:sz w:val="32"/>
          <w:szCs w:val="32"/>
          <w:highlight w:val="none"/>
          <w:lang w:eastAsia="zh-CN"/>
        </w:rPr>
        <w:t>情况</w:t>
      </w:r>
      <w:r>
        <w:rPr>
          <w:rFonts w:hint="eastAsia" w:ascii="仿宋_GB2312" w:hAnsi="仿宋_GB2312" w:eastAsia="仿宋_GB2312" w:cs="仿宋_GB2312"/>
          <w:sz w:val="32"/>
          <w:szCs w:val="32"/>
          <w:highlight w:val="none"/>
        </w:rPr>
        <w:t>，包括在线数量、运行里程、</w:t>
      </w:r>
      <w:r>
        <w:rPr>
          <w:rFonts w:hint="eastAsia" w:ascii="仿宋_GB2312" w:hAnsi="仿宋_GB2312" w:eastAsia="仿宋_GB2312" w:cs="仿宋_GB2312"/>
          <w:sz w:val="32"/>
          <w:szCs w:val="32"/>
          <w:highlight w:val="none"/>
          <w:lang w:val="en-US" w:eastAsia="zh-CN"/>
        </w:rPr>
        <w:t>行驶轨迹、</w:t>
      </w:r>
      <w:r>
        <w:rPr>
          <w:rFonts w:hint="eastAsia" w:ascii="仿宋_GB2312" w:hAnsi="仿宋_GB2312" w:eastAsia="仿宋_GB2312" w:cs="仿宋_GB2312"/>
          <w:sz w:val="32"/>
          <w:szCs w:val="32"/>
          <w:highlight w:val="none"/>
        </w:rPr>
        <w:t>行驶时长、在线时长、百公里尿素耗、百公里油耗、平均时速、NOx排放</w:t>
      </w:r>
      <w:r>
        <w:rPr>
          <w:rFonts w:hint="eastAsia" w:ascii="仿宋_GB2312" w:hAnsi="仿宋_GB2312" w:eastAsia="仿宋_GB2312" w:cs="仿宋_GB2312"/>
          <w:sz w:val="32"/>
          <w:szCs w:val="32"/>
          <w:highlight w:val="none"/>
          <w:lang w:val="en-US" w:eastAsia="zh-CN"/>
        </w:rPr>
        <w:t>量</w:t>
      </w:r>
      <w:r>
        <w:rPr>
          <w:rFonts w:hint="eastAsia" w:ascii="仿宋_GB2312" w:hAnsi="仿宋_GB2312" w:eastAsia="仿宋_GB2312" w:cs="仿宋_GB2312"/>
          <w:sz w:val="32"/>
          <w:szCs w:val="32"/>
          <w:highlight w:val="none"/>
        </w:rPr>
        <w:t>等，全面掌握</w:t>
      </w:r>
      <w:r>
        <w:rPr>
          <w:rFonts w:hint="eastAsia" w:ascii="仿宋_GB2312" w:hAnsi="仿宋_GB2312" w:eastAsia="仿宋_GB2312" w:cs="仿宋_GB2312"/>
          <w:sz w:val="32"/>
          <w:szCs w:val="32"/>
          <w:highlight w:val="none"/>
          <w:lang w:val="en-US" w:eastAsia="zh-CN"/>
        </w:rPr>
        <w:t>在石家庄市市域内行驶的</w:t>
      </w:r>
      <w:r>
        <w:rPr>
          <w:rFonts w:hint="eastAsia" w:ascii="仿宋_GB2312" w:hAnsi="仿宋_GB2312" w:eastAsia="仿宋_GB2312" w:cs="仿宋_GB2312"/>
          <w:sz w:val="32"/>
          <w:szCs w:val="32"/>
          <w:highlight w:val="none"/>
        </w:rPr>
        <w:t>重型柴油车的运行和排放情况。</w:t>
      </w:r>
      <w:r>
        <w:rPr>
          <w:rFonts w:hint="eastAsia" w:ascii="仿宋_GB2312" w:hAnsi="仿宋_GB2312" w:eastAsia="仿宋_GB2312" w:cs="仿宋_GB2312"/>
          <w:sz w:val="32"/>
          <w:szCs w:val="32"/>
          <w:highlight w:val="none"/>
          <w:lang w:eastAsia="zh-CN"/>
        </w:rPr>
        <w:t>精准测算污染分布情况</w:t>
      </w:r>
      <w:r>
        <w:rPr>
          <w:rFonts w:hint="eastAsia" w:ascii="仿宋_GB2312" w:hAnsi="仿宋_GB2312" w:eastAsia="仿宋_GB2312" w:cs="仿宋_GB2312"/>
          <w:color w:val="auto"/>
          <w:sz w:val="32"/>
          <w:szCs w:val="32"/>
          <w:highlight w:val="none"/>
        </w:rPr>
        <w:t>。</w:t>
      </w:r>
    </w:p>
    <w:p w14:paraId="29F5A60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kern w:val="2"/>
          <w:sz w:val="32"/>
          <w:szCs w:val="32"/>
          <w:highlight w:val="none"/>
          <w:lang w:val="en-US" w:eastAsia="zh-CN" w:bidi="ar-SA"/>
        </w:rPr>
        <w:t>5.2</w:t>
      </w:r>
      <w:r>
        <w:rPr>
          <w:rFonts w:hint="eastAsia" w:ascii="仿宋_GB2312" w:hAnsi="仿宋_GB2312" w:eastAsia="仿宋_GB2312" w:cs="仿宋_GB2312"/>
          <w:b w:val="0"/>
          <w:bCs w:val="0"/>
          <w:color w:val="auto"/>
          <w:sz w:val="32"/>
          <w:szCs w:val="32"/>
          <w:highlight w:val="none"/>
        </w:rPr>
        <w:t>门禁企业使用异常车辆统计分析</w:t>
      </w:r>
    </w:p>
    <w:p w14:paraId="5B94AF8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基于OBD数据结合</w:t>
      </w:r>
      <w:r>
        <w:rPr>
          <w:rFonts w:hint="eastAsia" w:ascii="仿宋_GB2312" w:hAnsi="仿宋_GB2312" w:eastAsia="仿宋_GB2312" w:cs="仿宋_GB2312"/>
          <w:sz w:val="32"/>
          <w:szCs w:val="32"/>
          <w:highlight w:val="none"/>
          <w:lang w:val="en-US" w:eastAsia="zh-CN"/>
        </w:rPr>
        <w:t>门禁企业重型柴油车通行数据</w:t>
      </w:r>
      <w:r>
        <w:rPr>
          <w:rFonts w:hint="eastAsia" w:ascii="仿宋_GB2312" w:hAnsi="仿宋_GB2312" w:eastAsia="仿宋_GB2312" w:cs="仿宋_GB2312"/>
          <w:sz w:val="32"/>
          <w:szCs w:val="32"/>
          <w:highlight w:val="none"/>
        </w:rPr>
        <w:t>，分析石家庄门禁企业当月使用异常车辆</w:t>
      </w:r>
      <w:r>
        <w:rPr>
          <w:rFonts w:hint="eastAsia" w:ascii="仿宋_GB2312" w:hAnsi="仿宋_GB2312" w:eastAsia="仿宋_GB2312" w:cs="仿宋_GB2312"/>
          <w:sz w:val="32"/>
          <w:szCs w:val="32"/>
          <w:highlight w:val="none"/>
          <w:lang w:val="en-US" w:eastAsia="zh-CN"/>
        </w:rPr>
        <w:t>情况，并输出</w:t>
      </w:r>
      <w:r>
        <w:rPr>
          <w:rFonts w:hint="eastAsia" w:ascii="仿宋_GB2312" w:hAnsi="仿宋_GB2312" w:eastAsia="仿宋_GB2312" w:cs="仿宋_GB2312"/>
          <w:sz w:val="32"/>
          <w:szCs w:val="32"/>
          <w:highlight w:val="none"/>
        </w:rPr>
        <w:t>企业使用异常车辆数</w:t>
      </w:r>
      <w:r>
        <w:rPr>
          <w:rFonts w:hint="eastAsia" w:ascii="仿宋_GB2312" w:hAnsi="仿宋_GB2312" w:eastAsia="仿宋_GB2312" w:cs="仿宋_GB2312"/>
          <w:sz w:val="32"/>
          <w:szCs w:val="32"/>
          <w:highlight w:val="none"/>
          <w:lang w:val="en-US" w:eastAsia="zh-CN"/>
        </w:rPr>
        <w:t>名单</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为执法人员提供重点用车大户企业用车情况分析</w:t>
      </w:r>
      <w:r>
        <w:rPr>
          <w:rFonts w:hint="eastAsia" w:ascii="仿宋_GB2312" w:hAnsi="仿宋_GB2312" w:eastAsia="仿宋_GB2312" w:cs="仿宋_GB2312"/>
          <w:sz w:val="32"/>
          <w:szCs w:val="32"/>
          <w:highlight w:val="none"/>
        </w:rPr>
        <w:t>。</w:t>
      </w:r>
    </w:p>
    <w:p w14:paraId="2960E3E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kern w:val="2"/>
          <w:sz w:val="32"/>
          <w:szCs w:val="32"/>
          <w:highlight w:val="none"/>
          <w:lang w:val="en-US" w:eastAsia="zh-CN" w:bidi="ar-SA"/>
        </w:rPr>
        <w:t>5.3</w:t>
      </w:r>
      <w:r>
        <w:rPr>
          <w:rFonts w:hint="eastAsia" w:ascii="仿宋_GB2312" w:hAnsi="仿宋_GB2312" w:eastAsia="仿宋_GB2312" w:cs="仿宋_GB2312"/>
          <w:b w:val="0"/>
          <w:bCs w:val="0"/>
          <w:color w:val="auto"/>
          <w:sz w:val="32"/>
          <w:szCs w:val="32"/>
          <w:highlight w:val="none"/>
          <w:lang w:eastAsia="zh-CN"/>
        </w:rPr>
        <w:t>异常车辆识别与监控</w:t>
      </w:r>
    </w:p>
    <w:p w14:paraId="23186C0A">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基于OBD数据开展数据深入挖掘分析，建立问题车辆识别算法和模型，识别使用异常的重型柴油车，包括疑似OBD篡改车辆、</w:t>
      </w:r>
      <w:r>
        <w:rPr>
          <w:rFonts w:hint="eastAsia" w:ascii="仿宋_GB2312" w:hAnsi="仿宋_GB2312" w:eastAsia="仿宋_GB2312" w:cs="仿宋_GB2312"/>
          <w:sz w:val="32"/>
          <w:szCs w:val="32"/>
          <w:highlight w:val="none"/>
          <w:lang w:val="en-US" w:eastAsia="zh-CN"/>
        </w:rPr>
        <w:t>超标</w:t>
      </w:r>
      <w:r>
        <w:rPr>
          <w:rFonts w:hint="eastAsia" w:ascii="仿宋_GB2312" w:hAnsi="仿宋_GB2312" w:eastAsia="仿宋_GB2312" w:cs="仿宋_GB2312"/>
          <w:sz w:val="32"/>
          <w:szCs w:val="32"/>
          <w:highlight w:val="none"/>
        </w:rPr>
        <w:t>排放车辆、尿素使用异常车辆、排温异常车辆等</w:t>
      </w:r>
      <w:r>
        <w:rPr>
          <w:rFonts w:hint="eastAsia" w:ascii="仿宋_GB2312" w:hAnsi="仿宋_GB2312" w:eastAsia="仿宋_GB2312" w:cs="仿宋_GB2312"/>
          <w:sz w:val="32"/>
          <w:szCs w:val="32"/>
          <w:highlight w:val="none"/>
          <w:lang w:eastAsia="zh-CN"/>
        </w:rPr>
        <w:t>，实现实时报警功能。通过平台实时推送给相关县市区分局</w:t>
      </w:r>
      <w:r>
        <w:rPr>
          <w:rFonts w:hint="eastAsia" w:ascii="仿宋_GB2312" w:hAnsi="仿宋_GB2312" w:eastAsia="仿宋_GB2312" w:cs="仿宋_GB2312"/>
          <w:sz w:val="32"/>
          <w:szCs w:val="32"/>
          <w:highlight w:val="none"/>
        </w:rPr>
        <w:t>。</w:t>
      </w:r>
    </w:p>
    <w:p w14:paraId="1D36DF3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outlineLvl w:val="2"/>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5.4非道路机械运行时间维度分析</w:t>
      </w:r>
    </w:p>
    <w:p w14:paraId="35C733F8">
      <w:pPr>
        <w:keepNext w:val="0"/>
        <w:keepLines w:val="0"/>
        <w:pageBreakBefore w:val="0"/>
        <w:widowControl w:val="0"/>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基于</w:t>
      </w:r>
      <w:r>
        <w:rPr>
          <w:rFonts w:hint="eastAsia" w:ascii="仿宋_GB2312" w:hAnsi="仿宋_GB2312" w:eastAsia="仿宋_GB2312" w:cs="仿宋_GB2312"/>
          <w:b w:val="0"/>
          <w:bCs w:val="0"/>
          <w:color w:val="auto"/>
          <w:sz w:val="32"/>
          <w:szCs w:val="32"/>
          <w:highlight w:val="none"/>
          <w:lang w:val="en-US" w:eastAsia="zh-CN"/>
        </w:rPr>
        <w:t>国四非道路移动机械</w:t>
      </w:r>
      <w:r>
        <w:rPr>
          <w:rFonts w:hint="eastAsia" w:ascii="仿宋_GB2312" w:hAnsi="仿宋_GB2312" w:eastAsia="仿宋_GB2312" w:cs="仿宋_GB2312"/>
          <w:b w:val="0"/>
          <w:bCs w:val="0"/>
          <w:color w:val="auto"/>
          <w:sz w:val="32"/>
          <w:szCs w:val="32"/>
          <w:highlight w:val="none"/>
          <w:lang w:eastAsia="zh-CN"/>
        </w:rPr>
        <w:t>数据</w:t>
      </w:r>
      <w:r>
        <w:rPr>
          <w:rFonts w:hint="eastAsia" w:ascii="仿宋_GB2312" w:hAnsi="仿宋_GB2312" w:eastAsia="仿宋_GB2312" w:cs="仿宋_GB2312"/>
          <w:sz w:val="32"/>
          <w:szCs w:val="32"/>
          <w:highlight w:val="none"/>
        </w:rPr>
        <w:t>提供的</w:t>
      </w:r>
      <w:r>
        <w:rPr>
          <w:rFonts w:hint="eastAsia" w:ascii="仿宋_GB2312" w:hAnsi="仿宋_GB2312" w:eastAsia="仿宋_GB2312" w:cs="仿宋_GB2312"/>
          <w:sz w:val="32"/>
          <w:szCs w:val="32"/>
          <w:highlight w:val="none"/>
          <w:lang w:val="en-US" w:eastAsia="zh-CN"/>
        </w:rPr>
        <w:t>机械总数、机械类型、在线数据、工作状态等信息，对机械进行位置和排放分析，进而建立石家庄市国四非道路机械运行时间维度分析，包括不同机械类型的在线情况、运行时长情况，进而分析出不同机械类型的NOx排放占比情况，并分析出不同时间段的机械在线率，为执法人员提供数据分析指导。</w:t>
      </w:r>
    </w:p>
    <w:p w14:paraId="31E7173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3" w:firstLineChars="200"/>
        <w:textAlignment w:val="auto"/>
        <w:outlineLvl w:val="2"/>
        <w:rPr>
          <w:rFonts w:hint="eastAsia" w:ascii="仿宋_GB2312" w:hAnsi="仿宋_GB2312" w:eastAsia="仿宋_GB2312" w:cs="仿宋_GB2312"/>
          <w:b/>
          <w:bCs/>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6．派2人驻场，协助甲方相关事宜。</w:t>
      </w:r>
    </w:p>
    <w:p w14:paraId="3EA4E2A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系统巡检：每日检查系统健康状态，确保正常运作。定期审查服务器性能和安全配置，提前发现并解决潜在问题。</w:t>
      </w:r>
    </w:p>
    <w:p w14:paraId="066D502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报告出具：根据需求定期生成系统运行状况和数据分析报告。</w:t>
      </w:r>
    </w:p>
    <w:p w14:paraId="4F743A6A">
      <w:pPr>
        <w:pStyle w:val="11"/>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问题处置：</w:t>
      </w:r>
      <w:r>
        <w:rPr>
          <w:rFonts w:hint="eastAsia" w:ascii="仿宋_GB2312" w:hAnsi="仿宋_GB2312" w:eastAsia="仿宋_GB2312" w:cs="仿宋_GB2312"/>
          <w:sz w:val="32"/>
          <w:szCs w:val="32"/>
          <w:highlight w:val="none"/>
        </w:rPr>
        <w:t>对于日常巡检中发现的问题，立即记录并分析原因。简单问题应在30分钟内解决；复杂问题需在2小时内提出初步解决方案，并持续跟进直至问题完全解决。遇到重大故障或安全事件，立即启动应急响应流程，确保在最短时间内恢复正常运作。</w:t>
      </w:r>
    </w:p>
    <w:p w14:paraId="6944ACA3">
      <w:pPr>
        <w:spacing w:line="360" w:lineRule="auto"/>
        <w:ind w:firstLine="640" w:firstLineChars="200"/>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（二）商务要求</w:t>
      </w:r>
    </w:p>
    <w:p w14:paraId="1B938004">
      <w:pPr>
        <w:spacing w:line="360" w:lineRule="auto"/>
        <w:ind w:firstLine="640" w:firstLineChars="200"/>
        <w:rPr>
          <w:rFonts w:eastAsia="仿宋_GB2312" w:cs="Courier New"/>
          <w:sz w:val="32"/>
          <w:szCs w:val="32"/>
          <w:highlight w:val="none"/>
        </w:rPr>
      </w:pPr>
      <w:r>
        <w:rPr>
          <w:rFonts w:hint="eastAsia" w:eastAsia="仿宋_GB2312" w:cs="Courier New"/>
          <w:sz w:val="32"/>
          <w:szCs w:val="32"/>
          <w:highlight w:val="none"/>
        </w:rPr>
        <w:t>服务时间：</w:t>
      </w:r>
      <w:r>
        <w:rPr>
          <w:rFonts w:hint="eastAsia" w:ascii="仿宋_GB2312" w:hAnsi="仿宋_GB2312" w:eastAsia="仿宋_GB2312" w:cs="仿宋_GB2312"/>
          <w:sz w:val="32"/>
          <w:szCs w:val="32"/>
          <w:highlight w:val="none"/>
          <w:lang w:val="en-US" w:eastAsia="zh-CN"/>
        </w:rPr>
        <w:t>服务期为1年</w:t>
      </w:r>
      <w:r>
        <w:rPr>
          <w:rFonts w:hint="eastAsia" w:ascii="仿宋_GB2312" w:hAnsi="仿宋_GB2312" w:eastAsia="仿宋_GB2312" w:cs="仿宋_GB2312"/>
          <w:sz w:val="32"/>
          <w:szCs w:val="32"/>
          <w:highlight w:val="none"/>
        </w:rPr>
        <w:t>。</w:t>
      </w:r>
    </w:p>
    <w:p w14:paraId="439D1A66">
      <w:pPr>
        <w:spacing w:line="360" w:lineRule="auto"/>
        <w:ind w:firstLine="640" w:firstLineChars="200"/>
        <w:rPr>
          <w:rFonts w:eastAsia="仿宋_GB2312" w:cs="Courier New"/>
          <w:sz w:val="32"/>
          <w:szCs w:val="32"/>
          <w:highlight w:val="none"/>
        </w:rPr>
      </w:pPr>
      <w:r>
        <w:rPr>
          <w:rFonts w:hint="eastAsia" w:eastAsia="仿宋_GB2312" w:cs="Courier New"/>
          <w:sz w:val="32"/>
          <w:szCs w:val="32"/>
          <w:highlight w:val="none"/>
        </w:rPr>
        <w:t>服务地点：石家庄市</w:t>
      </w:r>
    </w:p>
    <w:p w14:paraId="5CBB856F">
      <w:pPr>
        <w:spacing w:line="360" w:lineRule="auto"/>
        <w:ind w:firstLine="640" w:firstLineChars="200"/>
        <w:rPr>
          <w:rFonts w:eastAsia="仿宋_GB2312" w:cs="Courier New"/>
          <w:sz w:val="32"/>
          <w:szCs w:val="32"/>
          <w:highlight w:val="none"/>
        </w:rPr>
      </w:pPr>
      <w:r>
        <w:rPr>
          <w:rFonts w:hint="eastAsia" w:eastAsia="仿宋_GB2312" w:cs="Courier New"/>
          <w:sz w:val="32"/>
          <w:szCs w:val="32"/>
          <w:highlight w:val="none"/>
        </w:rPr>
        <w:t>经费预算及资金支付要求：</w:t>
      </w:r>
    </w:p>
    <w:p w14:paraId="7C783190">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640" w:firstLineChars="200"/>
        <w:textAlignment w:val="auto"/>
        <w:rPr>
          <w:rFonts w:eastAsia="仿宋_GB2312" w:cs="Courier New"/>
          <w:sz w:val="32"/>
          <w:szCs w:val="32"/>
          <w:highlight w:val="none"/>
        </w:rPr>
      </w:pPr>
      <w:r>
        <w:rPr>
          <w:rFonts w:hint="eastAsia" w:eastAsia="仿宋_GB2312" w:cs="Courier New"/>
          <w:sz w:val="32"/>
          <w:szCs w:val="32"/>
          <w:highlight w:val="none"/>
        </w:rPr>
        <w:t>项目预算情况</w:t>
      </w:r>
    </w:p>
    <w:p w14:paraId="56491401">
      <w:pPr>
        <w:keepNext w:val="0"/>
        <w:keepLines w:val="0"/>
        <w:pageBreakBefore w:val="0"/>
        <w:widowControl w:val="0"/>
        <w:kinsoku/>
        <w:wordWrap/>
        <w:overflowPunct/>
        <w:topLinePunct w:val="0"/>
        <w:autoSpaceDE/>
        <w:autoSpaceDN/>
        <w:bidi w:val="0"/>
        <w:adjustRightInd/>
        <w:snapToGrid/>
        <w:spacing w:line="360" w:lineRule="auto"/>
        <w:ind w:firstLine="640" w:firstLineChars="200"/>
        <w:textAlignment w:val="auto"/>
        <w:rPr>
          <w:rFonts w:eastAsia="仿宋_GB2312" w:cs="Courier New"/>
          <w:sz w:val="32"/>
          <w:szCs w:val="32"/>
          <w:highlight w:val="none"/>
        </w:rPr>
      </w:pPr>
      <w:r>
        <w:rPr>
          <w:rFonts w:hint="eastAsia" w:eastAsia="仿宋_GB2312" w:cs="Courier New"/>
          <w:sz w:val="32"/>
          <w:szCs w:val="32"/>
          <w:highlight w:val="none"/>
        </w:rPr>
        <w:t>以上工作的开展，涉及</w:t>
      </w:r>
      <w:r>
        <w:rPr>
          <w:rFonts w:hint="eastAsia" w:eastAsia="仿宋_GB2312" w:cs="Courier New"/>
          <w:sz w:val="32"/>
          <w:szCs w:val="32"/>
          <w:highlight w:val="none"/>
          <w:lang w:val="en-US" w:eastAsia="zh-CN"/>
        </w:rPr>
        <w:t>数据接入费、数据分析</w:t>
      </w:r>
      <w:r>
        <w:rPr>
          <w:rFonts w:hint="eastAsia" w:eastAsia="仿宋_GB2312" w:cs="Courier New"/>
          <w:sz w:val="32"/>
          <w:szCs w:val="32"/>
          <w:highlight w:val="none"/>
        </w:rPr>
        <w:t>费、差旅费、报告编制</w:t>
      </w:r>
      <w:r>
        <w:rPr>
          <w:rFonts w:hint="eastAsia" w:eastAsia="仿宋_GB2312" w:cs="Courier New"/>
          <w:sz w:val="32"/>
          <w:szCs w:val="32"/>
          <w:highlight w:val="none"/>
          <w:lang w:val="en-US" w:eastAsia="zh-CN"/>
        </w:rPr>
        <w:t>打印</w:t>
      </w:r>
      <w:r>
        <w:rPr>
          <w:rFonts w:hint="eastAsia" w:eastAsia="仿宋_GB2312" w:cs="Courier New"/>
          <w:sz w:val="32"/>
          <w:szCs w:val="32"/>
          <w:highlight w:val="none"/>
        </w:rPr>
        <w:t>费、税费等</w:t>
      </w:r>
      <w:r>
        <w:rPr>
          <w:rFonts w:hint="eastAsia" w:ascii="Times New Roman" w:hAnsi="Times New Roman" w:eastAsia="仿宋_GB2312" w:cs="Courier New"/>
          <w:sz w:val="32"/>
          <w:szCs w:val="32"/>
          <w:highlight w:val="none"/>
        </w:rPr>
        <w:t>经费</w:t>
      </w:r>
      <w:r>
        <w:rPr>
          <w:rFonts w:hint="eastAsia" w:ascii="Times New Roman" w:hAnsi="Times New Roman" w:eastAsia="仿宋_GB2312" w:cs="Courier New"/>
          <w:sz w:val="32"/>
          <w:szCs w:val="32"/>
          <w:highlight w:val="none"/>
          <w:lang w:val="en-US" w:eastAsia="zh-CN"/>
        </w:rPr>
        <w:t>为168</w:t>
      </w:r>
      <w:r>
        <w:rPr>
          <w:rFonts w:hint="eastAsia" w:eastAsia="仿宋_GB2312" w:cs="Courier New"/>
          <w:sz w:val="32"/>
          <w:szCs w:val="32"/>
          <w:highlight w:val="none"/>
        </w:rPr>
        <w:t>万元。</w:t>
      </w:r>
    </w:p>
    <w:p w14:paraId="3FBE174D">
      <w:pPr>
        <w:keepNext w:val="0"/>
        <w:keepLines w:val="0"/>
        <w:pageBreakBefore w:val="0"/>
        <w:widowControl w:val="0"/>
        <w:numPr>
          <w:ilvl w:val="0"/>
          <w:numId w:val="3"/>
        </w:numPr>
        <w:kinsoku/>
        <w:wordWrap/>
        <w:overflowPunct/>
        <w:topLinePunct w:val="0"/>
        <w:autoSpaceDE/>
        <w:autoSpaceDN/>
        <w:bidi w:val="0"/>
        <w:adjustRightInd/>
        <w:snapToGrid/>
        <w:spacing w:line="360" w:lineRule="auto"/>
        <w:ind w:left="0" w:leftChars="0" w:firstLine="640" w:firstLineChars="200"/>
        <w:textAlignment w:val="auto"/>
        <w:rPr>
          <w:rFonts w:eastAsia="仿宋_GB2312" w:cs="Courier New"/>
          <w:sz w:val="32"/>
          <w:szCs w:val="32"/>
          <w:highlight w:val="none"/>
        </w:rPr>
      </w:pPr>
      <w:r>
        <w:rPr>
          <w:rFonts w:hint="eastAsia" w:eastAsia="仿宋_GB2312" w:cs="Courier New"/>
          <w:sz w:val="32"/>
          <w:szCs w:val="32"/>
          <w:highlight w:val="none"/>
        </w:rPr>
        <w:t>资金支付要求</w:t>
      </w:r>
    </w:p>
    <w:p w14:paraId="7D1AB7F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eastAsia="仿宋_GB2312" w:cs="Courier New"/>
          <w:sz w:val="32"/>
          <w:szCs w:val="32"/>
          <w:highlight w:val="none"/>
        </w:rPr>
      </w:pPr>
      <w:r>
        <w:rPr>
          <w:rFonts w:hint="eastAsia" w:eastAsia="仿宋_GB2312" w:cs="Courier New"/>
          <w:sz w:val="32"/>
          <w:szCs w:val="32"/>
          <w:highlight w:val="none"/>
        </w:rPr>
        <w:t>合同签订生效后7个工作日内，乙方向甲方提交符合财务规定的合法发票后，甲方向乙方支付中标金额的</w:t>
      </w:r>
      <w:r>
        <w:rPr>
          <w:rFonts w:hint="eastAsia" w:eastAsia="仿宋_GB2312" w:cs="Courier New"/>
          <w:sz w:val="32"/>
          <w:szCs w:val="32"/>
          <w:highlight w:val="none"/>
          <w:lang w:val="en-US" w:eastAsia="zh-CN"/>
        </w:rPr>
        <w:t>相应费用</w:t>
      </w:r>
      <w:r>
        <w:rPr>
          <w:rFonts w:hint="eastAsia" w:eastAsia="仿宋_GB2312" w:cs="Courier New"/>
          <w:sz w:val="32"/>
          <w:szCs w:val="32"/>
          <w:highlight w:val="none"/>
        </w:rPr>
        <w:t>；乙方</w:t>
      </w:r>
      <w:r>
        <w:rPr>
          <w:rFonts w:hint="eastAsia" w:eastAsia="仿宋_GB2312" w:cs="Courier New"/>
          <w:sz w:val="32"/>
          <w:szCs w:val="32"/>
          <w:highlight w:val="none"/>
          <w:lang w:val="en-US" w:eastAsia="zh-CN"/>
        </w:rPr>
        <w:t>服务</w:t>
      </w:r>
      <w:r>
        <w:rPr>
          <w:rFonts w:hint="eastAsia" w:eastAsia="仿宋_GB2312" w:cs="Courier New"/>
          <w:sz w:val="32"/>
          <w:szCs w:val="32"/>
          <w:highlight w:val="none"/>
        </w:rPr>
        <w:t>时间达到半年，并向甲方提交符合财务规定的合法发票后，甲方向乙方支付中标金额的</w:t>
      </w:r>
      <w:r>
        <w:rPr>
          <w:rFonts w:hint="eastAsia" w:eastAsia="仿宋_GB2312" w:cs="Courier New"/>
          <w:sz w:val="32"/>
          <w:szCs w:val="32"/>
          <w:highlight w:val="none"/>
          <w:lang w:val="en-US" w:eastAsia="zh-CN"/>
        </w:rPr>
        <w:t>相应费用</w:t>
      </w:r>
      <w:r>
        <w:rPr>
          <w:rFonts w:hint="eastAsia" w:eastAsia="仿宋_GB2312" w:cs="Courier New"/>
          <w:sz w:val="32"/>
          <w:szCs w:val="32"/>
          <w:highlight w:val="none"/>
        </w:rPr>
        <w:t>；乙方履行合同完毕，向甲方递交服务总结报告和履约验收申请，按照合同约定进行履约验收。项目通过履约验收且乙方无违反合同规定，并向甲方提交符合财务规定的合法发票后,甲方向乙方支付中标金额的</w:t>
      </w:r>
      <w:r>
        <w:rPr>
          <w:rFonts w:hint="eastAsia" w:eastAsia="仿宋_GB2312" w:cs="Courier New"/>
          <w:sz w:val="32"/>
          <w:szCs w:val="32"/>
          <w:highlight w:val="none"/>
          <w:lang w:val="en-US" w:eastAsia="zh-CN"/>
        </w:rPr>
        <w:t>相应费用</w:t>
      </w:r>
      <w:r>
        <w:rPr>
          <w:rFonts w:hint="eastAsia" w:eastAsia="仿宋_GB2312" w:cs="Courier New"/>
          <w:sz w:val="32"/>
          <w:szCs w:val="32"/>
          <w:highlight w:val="none"/>
        </w:rPr>
        <w:t>；如乙方不能达到或违反合同相关条款之情形，甲方按照相关约定据实核算从项目尾款中扣减相应金额，不足部分由乙方在10个日历内补足。</w:t>
      </w:r>
    </w:p>
    <w:p w14:paraId="23FDC3E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highlight w:val="none"/>
        </w:rPr>
      </w:pPr>
      <w:r>
        <w:rPr>
          <w:rFonts w:hint="eastAsia" w:ascii="黑体" w:hAnsi="黑体" w:eastAsia="黑体" w:cs="黑体"/>
          <w:sz w:val="32"/>
          <w:szCs w:val="32"/>
          <w:highlight w:val="none"/>
        </w:rPr>
        <w:t>五</w:t>
      </w:r>
      <w:r>
        <w:rPr>
          <w:rFonts w:hint="eastAsia" w:ascii="黑体" w:hAnsi="黑体" w:eastAsia="黑体" w:cs="黑体"/>
          <w:sz w:val="32"/>
          <w:szCs w:val="32"/>
          <w:highlight w:val="none"/>
          <w:lang w:eastAsia="zh-CN"/>
        </w:rPr>
        <w:t>、</w:t>
      </w:r>
      <w:r>
        <w:rPr>
          <w:rFonts w:hint="eastAsia" w:ascii="黑体" w:hAnsi="黑体" w:eastAsia="黑体" w:cs="黑体"/>
          <w:sz w:val="32"/>
          <w:szCs w:val="32"/>
          <w:highlight w:val="none"/>
        </w:rPr>
        <w:t>项目绩效</w:t>
      </w:r>
    </w:p>
    <w:p w14:paraId="7F8EA486">
      <w:pPr>
        <w:pStyle w:val="21"/>
        <w:keepNext w:val="0"/>
        <w:keepLines w:val="0"/>
        <w:pageBreakBefore w:val="0"/>
        <w:widowControl w:val="0"/>
        <w:kinsoku/>
        <w:wordWrap/>
        <w:overflowPunct/>
        <w:topLinePunct w:val="0"/>
        <w:autoSpaceDE w:val="0"/>
        <w:autoSpaceDN/>
        <w:bidi w:val="0"/>
        <w:spacing w:line="560" w:lineRule="exact"/>
        <w:ind w:firstLine="640" w:firstLineChars="200"/>
        <w:textAlignment w:val="auto"/>
        <w:rPr>
          <w:rFonts w:hint="default" w:ascii="Times New Roman" w:hAnsi="Times New Roman" w:eastAsia="黑体" w:cs="Times New Roman"/>
          <w:b w:val="0"/>
          <w:bCs/>
          <w:color w:val="auto"/>
          <w:sz w:val="32"/>
          <w:szCs w:val="32"/>
        </w:rPr>
      </w:pPr>
      <w:r>
        <w:rPr>
          <w:rFonts w:hint="eastAsia" w:ascii="Times New Roman" w:hAnsi="Times New Roman" w:eastAsia="仿宋_GB2312" w:cs="Courier New"/>
          <w:sz w:val="32"/>
          <w:szCs w:val="32"/>
          <w:highlight w:val="none"/>
          <w:lang w:val="en-US" w:eastAsia="zh-CN"/>
        </w:rPr>
        <w:t>通过</w:t>
      </w:r>
      <w:r>
        <w:rPr>
          <w:rFonts w:hint="eastAsia" w:eastAsia="仿宋_GB2312" w:cs="Courier New"/>
          <w:sz w:val="32"/>
          <w:szCs w:val="32"/>
          <w:highlight w:val="none"/>
        </w:rPr>
        <w:t>石家庄市</w:t>
      </w:r>
      <w:r>
        <w:rPr>
          <w:rFonts w:hint="eastAsia" w:eastAsia="仿宋_GB2312" w:cs="Courier New"/>
          <w:sz w:val="32"/>
          <w:szCs w:val="32"/>
          <w:highlight w:val="none"/>
          <w:lang w:val="en-US" w:eastAsia="zh-CN"/>
        </w:rPr>
        <w:t>移动源</w:t>
      </w:r>
      <w:r>
        <w:rPr>
          <w:rFonts w:hint="eastAsia" w:eastAsia="仿宋_GB2312" w:cs="Courier New"/>
          <w:sz w:val="32"/>
          <w:szCs w:val="32"/>
          <w:highlight w:val="none"/>
        </w:rPr>
        <w:t>远程排放监控系统，</w:t>
      </w:r>
      <w:r>
        <w:rPr>
          <w:rFonts w:hint="eastAsia" w:eastAsia="仿宋_GB2312" w:cs="Courier New"/>
          <w:sz w:val="32"/>
          <w:szCs w:val="32"/>
          <w:highlight w:val="none"/>
          <w:lang w:val="en-US" w:eastAsia="zh-CN"/>
        </w:rPr>
        <w:t>基于</w:t>
      </w:r>
      <w:r>
        <w:rPr>
          <w:rFonts w:hint="eastAsia" w:eastAsia="仿宋_GB2312" w:cs="Courier New"/>
          <w:sz w:val="32"/>
          <w:szCs w:val="32"/>
          <w:highlight w:val="none"/>
        </w:rPr>
        <w:t>全国重型货车远程在线监控（OBD）数据</w:t>
      </w:r>
      <w:r>
        <w:rPr>
          <w:rFonts w:hint="eastAsia" w:eastAsia="仿宋_GB2312" w:cs="Courier New"/>
          <w:sz w:val="32"/>
          <w:szCs w:val="32"/>
          <w:highlight w:val="none"/>
          <w:lang w:val="en-US" w:eastAsia="zh-CN"/>
        </w:rPr>
        <w:t>及国四排放阶段的非道路移动机械定位数据</w:t>
      </w:r>
      <w:r>
        <w:rPr>
          <w:rFonts w:hint="eastAsia" w:eastAsia="仿宋_GB2312" w:cs="Courier New"/>
          <w:sz w:val="32"/>
          <w:szCs w:val="32"/>
          <w:highlight w:val="none"/>
        </w:rPr>
        <w:t>，对进入石家庄市市域内行驶的全国各地国六重型柴油货车的在线监控（OBD）数据</w:t>
      </w:r>
      <w:r>
        <w:rPr>
          <w:rFonts w:hint="eastAsia" w:eastAsia="仿宋_GB2312" w:cs="Courier New"/>
          <w:sz w:val="32"/>
          <w:szCs w:val="32"/>
          <w:highlight w:val="none"/>
          <w:lang w:val="en-US" w:eastAsia="zh-CN"/>
        </w:rPr>
        <w:t>及在</w:t>
      </w:r>
      <w:r>
        <w:rPr>
          <w:rFonts w:hint="eastAsia" w:eastAsia="仿宋_GB2312" w:cs="Courier New"/>
          <w:sz w:val="32"/>
          <w:szCs w:val="32"/>
          <w:highlight w:val="none"/>
        </w:rPr>
        <w:t>石家庄市</w:t>
      </w:r>
      <w:r>
        <w:rPr>
          <w:rFonts w:hint="eastAsia" w:eastAsia="仿宋_GB2312" w:cs="Courier New"/>
          <w:sz w:val="32"/>
          <w:szCs w:val="32"/>
          <w:highlight w:val="none"/>
          <w:lang w:val="en-US" w:eastAsia="zh-CN"/>
        </w:rPr>
        <w:t>施工运行的国四排放阶段的非道路移动机械定位数据</w:t>
      </w:r>
      <w:r>
        <w:rPr>
          <w:rFonts w:hint="eastAsia" w:eastAsia="仿宋_GB2312" w:cs="Courier New"/>
          <w:sz w:val="32"/>
          <w:szCs w:val="32"/>
          <w:highlight w:val="none"/>
        </w:rPr>
        <w:t>开展分析服务，实现重型车</w:t>
      </w:r>
      <w:r>
        <w:rPr>
          <w:rFonts w:hint="eastAsia" w:eastAsia="仿宋_GB2312" w:cs="Courier New"/>
          <w:sz w:val="32"/>
          <w:szCs w:val="32"/>
          <w:highlight w:val="none"/>
          <w:lang w:val="en-US" w:eastAsia="zh-CN"/>
        </w:rPr>
        <w:t>及国四排放阶段的非道路移动机械</w:t>
      </w:r>
      <w:r>
        <w:rPr>
          <w:rFonts w:hint="eastAsia" w:eastAsia="仿宋_GB2312" w:cs="Courier New"/>
          <w:sz w:val="32"/>
          <w:szCs w:val="32"/>
          <w:highlight w:val="none"/>
        </w:rPr>
        <w:t>全市域、全时段的自动化监管</w:t>
      </w:r>
      <w:r>
        <w:rPr>
          <w:rFonts w:hint="eastAsia" w:ascii="Times New Roman" w:hAnsi="Times New Roman" w:eastAsia="仿宋_GB2312" w:cs="Courier New"/>
          <w:sz w:val="32"/>
          <w:szCs w:val="32"/>
          <w:highlight w:val="none"/>
          <w:lang w:val="en-US" w:eastAsia="zh-CN"/>
        </w:rPr>
        <w:t>。项目将通过分析车辆的在线数量、运行里程、行驶时长、百公里尿素耗、百公里油耗、平均时速、NOx排放等指标，全面掌握重型柴油车的运行和排放情况。同时，基于OBD数据，项目将建立问题车辆识别算法和模型，识别使用异常的重型柴油车，如疑似OBD篡改车辆、高排放车辆等，提供详细的异常车辆清单和管控建议。基于</w:t>
      </w:r>
      <w:r>
        <w:rPr>
          <w:rFonts w:hint="eastAsia" w:ascii="仿宋_GB2312" w:hAnsi="仿宋_GB2312" w:eastAsia="仿宋_GB2312" w:cs="仿宋_GB2312"/>
          <w:b w:val="0"/>
          <w:bCs w:val="0"/>
          <w:color w:val="auto"/>
          <w:sz w:val="32"/>
          <w:szCs w:val="32"/>
          <w:highlight w:val="none"/>
          <w:lang w:val="en-US" w:eastAsia="zh-CN"/>
        </w:rPr>
        <w:t>本地区国四阶段非道路机械数据分析地区在线非国四非道路移动机械数量和在线作业情况，为国四非道路机械区域排放量计算分析做数据支撑。</w:t>
      </w:r>
      <w:r>
        <w:rPr>
          <w:rFonts w:hint="eastAsia" w:eastAsia="仿宋_GB2312" w:cs="Courier New"/>
          <w:sz w:val="32"/>
          <w:szCs w:val="32"/>
          <w:highlight w:val="none"/>
        </w:rPr>
        <w:t>构建石家庄重型车</w:t>
      </w:r>
      <w:r>
        <w:rPr>
          <w:rFonts w:hint="eastAsia" w:eastAsia="仿宋_GB2312" w:cs="Courier New"/>
          <w:sz w:val="32"/>
          <w:szCs w:val="32"/>
          <w:highlight w:val="none"/>
          <w:lang w:eastAsia="zh-CN"/>
        </w:rPr>
        <w:t>、</w:t>
      </w:r>
      <w:r>
        <w:rPr>
          <w:rFonts w:hint="eastAsia" w:eastAsia="仿宋_GB2312" w:cs="Courier New"/>
          <w:sz w:val="32"/>
          <w:szCs w:val="32"/>
          <w:highlight w:val="none"/>
          <w:lang w:val="en-US" w:eastAsia="zh-CN"/>
        </w:rPr>
        <w:t>国四非道路移动机械</w:t>
      </w:r>
      <w:r>
        <w:rPr>
          <w:rFonts w:hint="eastAsia" w:eastAsia="仿宋_GB2312" w:cs="Courier New"/>
          <w:sz w:val="32"/>
          <w:szCs w:val="32"/>
          <w:highlight w:val="none"/>
        </w:rPr>
        <w:t>排放精准监管体系，全面评估重型车</w:t>
      </w:r>
      <w:r>
        <w:rPr>
          <w:rFonts w:hint="eastAsia" w:eastAsia="仿宋_GB2312" w:cs="Courier New"/>
          <w:sz w:val="32"/>
          <w:szCs w:val="32"/>
          <w:highlight w:val="none"/>
          <w:lang w:val="en-US" w:eastAsia="zh-CN"/>
        </w:rPr>
        <w:t>及国四非道路移动机械</w:t>
      </w:r>
      <w:r>
        <w:rPr>
          <w:rFonts w:hint="eastAsia" w:eastAsia="仿宋_GB2312" w:cs="Courier New"/>
          <w:sz w:val="32"/>
          <w:szCs w:val="32"/>
          <w:highlight w:val="none"/>
        </w:rPr>
        <w:t>环境管理措施的环境效益，</w:t>
      </w:r>
      <w:r>
        <w:rPr>
          <w:rFonts w:hint="eastAsia" w:ascii="Times New Roman" w:hAnsi="Times New Roman" w:eastAsia="仿宋_GB2312" w:cs="Courier New"/>
          <w:sz w:val="32"/>
          <w:szCs w:val="32"/>
          <w:highlight w:val="none"/>
          <w:lang w:val="en-US" w:eastAsia="zh-CN"/>
        </w:rPr>
        <w:t>为“天地车人”一体化机动车排放监控体系提供支撑，推动我市空气质量持续改善。</w:t>
      </w:r>
    </w:p>
    <w:p w14:paraId="345A690D">
      <w:pPr>
        <w:pStyle w:val="9"/>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hint="default" w:ascii="Times New Roman" w:hAnsi="Times New Roman" w:eastAsia="黑体" w:cs="Times New Roman"/>
          <w:color w:val="auto"/>
          <w:sz w:val="28"/>
          <w:szCs w:val="28"/>
        </w:rPr>
      </w:pPr>
      <w:r>
        <w:rPr>
          <w:rFonts w:hint="default" w:ascii="Times New Roman" w:hAnsi="Times New Roman" w:eastAsia="黑体" w:cs="Times New Roman"/>
          <w:b w:val="0"/>
          <w:bCs/>
          <w:color w:val="auto"/>
          <w:sz w:val="32"/>
          <w:szCs w:val="32"/>
        </w:rPr>
        <w:t>附件3</w:t>
      </w:r>
    </w:p>
    <w:p w14:paraId="6EC699F2">
      <w:pPr>
        <w:keepNext w:val="0"/>
        <w:keepLines w:val="0"/>
        <w:pageBreakBefore w:val="0"/>
        <w:kinsoku/>
        <w:wordWrap/>
        <w:overflowPunct/>
        <w:topLinePunct w:val="0"/>
        <w:autoSpaceDE/>
        <w:autoSpaceDN/>
        <w:bidi w:val="0"/>
        <w:spacing w:line="560" w:lineRule="exact"/>
        <w:ind w:left="1500" w:right="0" w:rightChars="0"/>
        <w:jc w:val="right"/>
        <w:textAlignment w:val="auto"/>
        <w:rPr>
          <w:rFonts w:hint="default" w:ascii="Times New Roman" w:hAnsi="Times New Roman" w:eastAsia="仿宋_GB2312" w:cs="Times New Roman"/>
          <w:b/>
          <w:color w:val="auto"/>
          <w:sz w:val="36"/>
        </w:rPr>
      </w:pPr>
      <w:r>
        <w:rPr>
          <w:rFonts w:hint="default" w:ascii="Times New Roman" w:hAnsi="Times New Roman" w:eastAsia="仿宋_GB2312" w:cs="Times New Roman"/>
          <w:b/>
          <w:color w:val="auto"/>
          <w:sz w:val="36"/>
        </w:rPr>
        <w:t>正本(副本)</w:t>
      </w:r>
    </w:p>
    <w:p w14:paraId="0A33F3B1">
      <w:pPr>
        <w:keepNext w:val="0"/>
        <w:keepLines w:val="0"/>
        <w:pageBreakBefore w:val="0"/>
        <w:kinsoku/>
        <w:wordWrap/>
        <w:overflowPunct/>
        <w:topLinePunct w:val="0"/>
        <w:autoSpaceDE/>
        <w:autoSpaceDN/>
        <w:bidi w:val="0"/>
        <w:spacing w:line="560" w:lineRule="exact"/>
        <w:ind w:left="1500" w:right="0" w:rightChars="0"/>
        <w:jc w:val="right"/>
        <w:textAlignment w:val="auto"/>
        <w:rPr>
          <w:rFonts w:hint="default" w:ascii="Times New Roman" w:hAnsi="Times New Roman" w:eastAsia="仿宋_GB2312" w:cs="Times New Roman"/>
          <w:b/>
          <w:color w:val="auto"/>
          <w:sz w:val="36"/>
        </w:rPr>
      </w:pPr>
    </w:p>
    <w:p w14:paraId="41312297">
      <w:pPr>
        <w:keepNext w:val="0"/>
        <w:keepLines w:val="0"/>
        <w:pageBreakBefore w:val="0"/>
        <w:kinsoku/>
        <w:wordWrap/>
        <w:overflowPunct/>
        <w:topLinePunct w:val="0"/>
        <w:autoSpaceDE/>
        <w:autoSpaceDN/>
        <w:bidi w:val="0"/>
        <w:spacing w:line="560" w:lineRule="exact"/>
        <w:ind w:left="1500" w:right="0" w:rightChars="0"/>
        <w:jc w:val="right"/>
        <w:textAlignment w:val="auto"/>
        <w:rPr>
          <w:rFonts w:hint="default" w:ascii="Times New Roman" w:hAnsi="Times New Roman" w:eastAsia="仿宋_GB2312" w:cs="Times New Roman"/>
          <w:b/>
          <w:color w:val="auto"/>
          <w:sz w:val="36"/>
        </w:rPr>
      </w:pPr>
    </w:p>
    <w:p w14:paraId="77FE339E">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color w:val="auto"/>
        </w:rPr>
      </w:pPr>
    </w:p>
    <w:p w14:paraId="5ED9437F">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color w:val="auto"/>
        </w:rPr>
      </w:pPr>
    </w:p>
    <w:p w14:paraId="29AA0114">
      <w:pPr>
        <w:spacing w:line="560" w:lineRule="exact"/>
        <w:jc w:val="center"/>
        <w:rPr>
          <w:rFonts w:hint="default" w:ascii="Times New Roman" w:hAnsi="Times New Roman" w:eastAsia="仿宋_GB2312" w:cs="Times New Roman"/>
          <w:b/>
          <w:color w:val="auto"/>
          <w:sz w:val="36"/>
          <w:lang w:eastAsia="zh-CN"/>
        </w:rPr>
      </w:pPr>
      <w:r>
        <w:rPr>
          <w:rFonts w:hint="default" w:ascii="Times New Roman" w:hAnsi="Times New Roman" w:eastAsia="仿宋_GB2312" w:cs="Times New Roman"/>
          <w:b/>
          <w:color w:val="auto"/>
          <w:sz w:val="36"/>
          <w:lang w:eastAsia="zh-CN"/>
        </w:rPr>
        <w:t>重型柴油车远程在线监控数据分析服务项目</w:t>
      </w:r>
    </w:p>
    <w:p w14:paraId="1181751B">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仿宋_GB2312" w:cs="Times New Roman"/>
          <w:b/>
          <w:color w:val="auto"/>
          <w:sz w:val="72"/>
        </w:rPr>
      </w:pPr>
    </w:p>
    <w:p w14:paraId="2B02615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hint="default" w:ascii="Times New Roman" w:hAnsi="Times New Roman" w:eastAsia="仿宋_GB2312" w:cs="Times New Roman"/>
          <w:b/>
          <w:color w:val="auto"/>
          <w:sz w:val="72"/>
        </w:rPr>
      </w:pPr>
      <w:r>
        <w:rPr>
          <w:rFonts w:hint="default" w:ascii="Times New Roman" w:hAnsi="Times New Roman" w:eastAsia="仿宋_GB2312" w:cs="Times New Roman"/>
          <w:b/>
          <w:color w:val="auto"/>
          <w:sz w:val="72"/>
        </w:rPr>
        <w:t>询价响应文件</w:t>
      </w:r>
    </w:p>
    <w:p w14:paraId="6CE261E9">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仿宋_GB2312" w:cs="Times New Roman"/>
          <w:b/>
          <w:color w:val="auto"/>
          <w:sz w:val="48"/>
        </w:rPr>
      </w:pPr>
    </w:p>
    <w:p w14:paraId="6C2FE028">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
          <w:color w:val="auto"/>
          <w:sz w:val="48"/>
        </w:rPr>
      </w:pPr>
    </w:p>
    <w:p w14:paraId="6832562D">
      <w:pPr>
        <w:pStyle w:val="10"/>
        <w:rPr>
          <w:rFonts w:hint="default" w:ascii="Times New Roman" w:hAnsi="Times New Roman" w:eastAsia="仿宋_GB2312" w:cs="Times New Roman"/>
          <w:b/>
          <w:color w:val="auto"/>
          <w:sz w:val="48"/>
        </w:rPr>
      </w:pPr>
    </w:p>
    <w:p w14:paraId="64A6C990">
      <w:pPr>
        <w:pStyle w:val="11"/>
        <w:rPr>
          <w:rFonts w:hint="default" w:ascii="Times New Roman" w:hAnsi="Times New Roman" w:cs="Times New Roman"/>
          <w:color w:val="auto"/>
        </w:rPr>
      </w:pPr>
    </w:p>
    <w:p w14:paraId="165F2F2A">
      <w:pPr>
        <w:keepNext w:val="0"/>
        <w:keepLines w:val="0"/>
        <w:pageBreakBefore w:val="0"/>
        <w:widowControl w:val="0"/>
        <w:kinsoku/>
        <w:wordWrap/>
        <w:overflowPunct/>
        <w:topLinePunct w:val="0"/>
        <w:autoSpaceDE/>
        <w:autoSpaceDN/>
        <w:bidi w:val="0"/>
        <w:adjustRightInd/>
        <w:snapToGrid/>
        <w:spacing w:line="560" w:lineRule="exact"/>
        <w:ind w:firstLine="658" w:firstLineChars="200"/>
        <w:jc w:val="both"/>
        <w:textAlignment w:val="auto"/>
        <w:rPr>
          <w:rFonts w:hint="default" w:ascii="Times New Roman" w:hAnsi="Times New Roman" w:eastAsia="仿宋_GB2312" w:cs="Times New Roman"/>
          <w:color w:val="auto"/>
          <w:lang w:eastAsia="zh-CN"/>
        </w:rPr>
      </w:pPr>
      <w:r>
        <w:rPr>
          <w:rFonts w:hint="default" w:ascii="Times New Roman" w:hAnsi="Times New Roman" w:eastAsia="仿宋_GB2312" w:cs="Times New Roman"/>
          <w:b/>
          <w:color w:val="auto"/>
          <w:spacing w:val="14"/>
          <w:sz w:val="30"/>
          <w:szCs w:val="30"/>
        </w:rPr>
        <w:t>项目名称</w:t>
      </w:r>
      <w:r>
        <w:rPr>
          <w:rFonts w:hint="default" w:ascii="Times New Roman" w:hAnsi="Times New Roman" w:eastAsia="仿宋_GB2312" w:cs="Times New Roman"/>
          <w:b/>
          <w:color w:val="auto"/>
          <w:sz w:val="30"/>
          <w:szCs w:val="30"/>
        </w:rPr>
        <w:t>：</w:t>
      </w:r>
      <w:r>
        <w:rPr>
          <w:rFonts w:hint="default" w:ascii="Times New Roman" w:hAnsi="Times New Roman" w:eastAsia="仿宋_GB2312" w:cs="Times New Roman"/>
          <w:b/>
          <w:color w:val="auto"/>
          <w:sz w:val="30"/>
          <w:u w:val="single"/>
          <w:lang w:eastAsia="zh-CN"/>
        </w:rPr>
        <w:t>重型柴油车远程在线监控数据分析服务项目</w:t>
      </w:r>
    </w:p>
    <w:p w14:paraId="36449AEF">
      <w:pPr>
        <w:pStyle w:val="11"/>
        <w:rPr>
          <w:rFonts w:hint="default" w:ascii="Times New Roman" w:hAnsi="Times New Roman" w:cs="Times New Roman"/>
          <w:color w:val="auto"/>
        </w:rPr>
      </w:pPr>
    </w:p>
    <w:p w14:paraId="3219D737">
      <w:pPr>
        <w:keepNext w:val="0"/>
        <w:keepLines w:val="0"/>
        <w:pageBreakBefore w:val="0"/>
        <w:widowControl w:val="0"/>
        <w:kinsoku/>
        <w:wordWrap/>
        <w:overflowPunct/>
        <w:topLinePunct w:val="0"/>
        <w:autoSpaceDE/>
        <w:autoSpaceDN/>
        <w:bidi w:val="0"/>
        <w:adjustRightInd/>
        <w:snapToGrid w:val="0"/>
        <w:spacing w:line="560" w:lineRule="exact"/>
        <w:ind w:right="0" w:rightChars="0" w:firstLine="602" w:firstLineChars="200"/>
        <w:textAlignment w:val="auto"/>
        <w:rPr>
          <w:rFonts w:hint="default" w:ascii="Times New Roman" w:hAnsi="Times New Roman" w:eastAsia="仿宋_GB2312" w:cs="Times New Roman"/>
          <w:b/>
          <w:color w:val="auto"/>
          <w:sz w:val="30"/>
          <w:u w:val="single"/>
        </w:rPr>
      </w:pPr>
      <w:r>
        <w:rPr>
          <w:rFonts w:hint="default" w:ascii="Times New Roman" w:hAnsi="Times New Roman" w:eastAsia="仿宋_GB2312" w:cs="Times New Roman"/>
          <w:b/>
          <w:color w:val="auto"/>
          <w:sz w:val="30"/>
        </w:rPr>
        <w:t>报价单位：</w:t>
      </w:r>
      <w:r>
        <w:rPr>
          <w:rFonts w:hint="default" w:ascii="Times New Roman" w:hAnsi="Times New Roman" w:eastAsia="仿宋_GB2312" w:cs="Times New Roman"/>
          <w:b/>
          <w:color w:val="auto"/>
          <w:sz w:val="30"/>
          <w:u w:val="single"/>
        </w:rPr>
        <w:t xml:space="preserve">          </w:t>
      </w:r>
      <w:r>
        <w:rPr>
          <w:rFonts w:hint="default" w:ascii="Times New Roman" w:hAnsi="Times New Roman" w:eastAsia="仿宋_GB2312" w:cs="Times New Roman"/>
          <w:b/>
          <w:color w:val="auto"/>
          <w:sz w:val="30"/>
          <w:u w:val="single"/>
        </w:rPr>
        <w:tab/>
      </w:r>
      <w:r>
        <w:rPr>
          <w:rFonts w:hint="default" w:ascii="Times New Roman" w:hAnsi="Times New Roman" w:eastAsia="仿宋_GB2312" w:cs="Times New Roman"/>
          <w:b/>
          <w:color w:val="auto"/>
          <w:sz w:val="30"/>
          <w:u w:val="single"/>
        </w:rPr>
        <w:tab/>
      </w:r>
      <w:r>
        <w:rPr>
          <w:rFonts w:hint="default" w:ascii="Times New Roman" w:hAnsi="Times New Roman" w:eastAsia="仿宋_GB2312" w:cs="Times New Roman"/>
          <w:b/>
          <w:color w:val="auto"/>
          <w:sz w:val="30"/>
          <w:u w:val="single"/>
        </w:rPr>
        <w:t xml:space="preserve">          （公章）</w:t>
      </w:r>
    </w:p>
    <w:p w14:paraId="368AD1CE">
      <w:pPr>
        <w:pStyle w:val="10"/>
        <w:keepNext w:val="0"/>
        <w:keepLines w:val="0"/>
        <w:pageBreakBefore w:val="0"/>
        <w:widowControl w:val="0"/>
        <w:kinsoku/>
        <w:wordWrap/>
        <w:overflowPunct/>
        <w:topLinePunct w:val="0"/>
        <w:autoSpaceDE/>
        <w:autoSpaceDN/>
        <w:bidi w:val="0"/>
        <w:adjustRightInd/>
        <w:ind w:firstLine="964" w:firstLineChars="200"/>
        <w:textAlignment w:val="auto"/>
        <w:rPr>
          <w:rFonts w:hint="default" w:ascii="Times New Roman" w:hAnsi="Times New Roman" w:cs="Times New Roman"/>
          <w:color w:val="auto"/>
        </w:rPr>
      </w:pPr>
    </w:p>
    <w:p w14:paraId="4CD3D793">
      <w:pPr>
        <w:pStyle w:val="11"/>
        <w:keepNext w:val="0"/>
        <w:keepLines w:val="0"/>
        <w:pageBreakBefore w:val="0"/>
        <w:widowControl w:val="0"/>
        <w:kinsoku/>
        <w:wordWrap/>
        <w:overflowPunct/>
        <w:topLinePunct w:val="0"/>
        <w:autoSpaceDE/>
        <w:autoSpaceDN/>
        <w:bidi w:val="0"/>
        <w:adjustRightInd/>
        <w:ind w:firstLine="420" w:firstLineChars="200"/>
        <w:textAlignment w:val="auto"/>
        <w:rPr>
          <w:rFonts w:hint="default" w:ascii="Times New Roman" w:hAnsi="Times New Roman" w:cs="Times New Roman"/>
          <w:color w:val="auto"/>
        </w:rPr>
      </w:pPr>
    </w:p>
    <w:p w14:paraId="4AB03561">
      <w:pPr>
        <w:keepNext w:val="0"/>
        <w:keepLines w:val="0"/>
        <w:pageBreakBefore w:val="0"/>
        <w:widowControl w:val="0"/>
        <w:kinsoku/>
        <w:wordWrap/>
        <w:overflowPunct/>
        <w:topLinePunct w:val="0"/>
        <w:autoSpaceDE/>
        <w:autoSpaceDN/>
        <w:bidi w:val="0"/>
        <w:adjustRightInd/>
        <w:snapToGrid w:val="0"/>
        <w:spacing w:line="560" w:lineRule="exact"/>
        <w:ind w:right="0" w:rightChars="0" w:firstLine="602" w:firstLineChars="200"/>
        <w:textAlignment w:val="auto"/>
        <w:rPr>
          <w:rFonts w:hint="default" w:ascii="Times New Roman" w:hAnsi="Times New Roman" w:eastAsia="仿宋_GB2312" w:cs="Times New Roman"/>
          <w:b/>
          <w:color w:val="auto"/>
          <w:sz w:val="30"/>
          <w:u w:val="single"/>
        </w:rPr>
      </w:pPr>
      <w:r>
        <w:rPr>
          <w:rFonts w:hint="default" w:ascii="Times New Roman" w:hAnsi="Times New Roman" w:eastAsia="仿宋_GB2312" w:cs="Times New Roman"/>
          <w:b/>
          <w:color w:val="auto"/>
          <w:sz w:val="30"/>
        </w:rPr>
        <w:t>法定代表人：</w:t>
      </w:r>
      <w:r>
        <w:rPr>
          <w:rFonts w:hint="default" w:ascii="Times New Roman" w:hAnsi="Times New Roman" w:eastAsia="仿宋_GB2312" w:cs="Times New Roman"/>
          <w:b/>
          <w:color w:val="auto"/>
          <w:sz w:val="30"/>
          <w:u w:val="single"/>
        </w:rPr>
        <w:t xml:space="preserve">          </w:t>
      </w:r>
      <w:r>
        <w:rPr>
          <w:rFonts w:hint="default" w:ascii="Times New Roman" w:hAnsi="Times New Roman" w:eastAsia="仿宋_GB2312" w:cs="Times New Roman"/>
          <w:b/>
          <w:color w:val="auto"/>
          <w:sz w:val="30"/>
          <w:u w:val="single"/>
        </w:rPr>
        <w:tab/>
      </w:r>
      <w:r>
        <w:rPr>
          <w:rFonts w:hint="default" w:ascii="Times New Roman" w:hAnsi="Times New Roman" w:eastAsia="仿宋_GB2312" w:cs="Times New Roman"/>
          <w:b/>
          <w:color w:val="auto"/>
          <w:sz w:val="30"/>
          <w:u w:val="single"/>
        </w:rPr>
        <w:tab/>
      </w:r>
      <w:r>
        <w:rPr>
          <w:rFonts w:hint="default" w:ascii="Times New Roman" w:hAnsi="Times New Roman" w:eastAsia="仿宋_GB2312" w:cs="Times New Roman"/>
          <w:b/>
          <w:color w:val="auto"/>
          <w:sz w:val="30"/>
          <w:u w:val="single"/>
        </w:rPr>
        <w:t xml:space="preserve">       （印鉴）</w:t>
      </w:r>
    </w:p>
    <w:p w14:paraId="36437523">
      <w:pPr>
        <w:pStyle w:val="10"/>
        <w:rPr>
          <w:rFonts w:hint="default" w:ascii="Times New Roman" w:hAnsi="Times New Roman" w:cs="Times New Roman"/>
          <w:color w:val="auto"/>
        </w:rPr>
      </w:pPr>
    </w:p>
    <w:p w14:paraId="3F6341DE">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
          <w:color w:val="auto"/>
          <w:sz w:val="30"/>
        </w:rPr>
      </w:pPr>
      <w:r>
        <w:rPr>
          <w:rFonts w:hint="default" w:ascii="Times New Roman" w:hAnsi="Times New Roman" w:eastAsia="仿宋_GB2312" w:cs="Times New Roman"/>
          <w:b/>
          <w:color w:val="auto"/>
          <w:sz w:val="30"/>
        </w:rPr>
        <w:t xml:space="preserve">           日  期：</w:t>
      </w:r>
      <w:r>
        <w:rPr>
          <w:rFonts w:hint="default" w:ascii="Times New Roman" w:hAnsi="Times New Roman" w:eastAsia="仿宋_GB2312" w:cs="Times New Roman"/>
          <w:b/>
          <w:color w:val="auto"/>
          <w:sz w:val="30"/>
          <w:u w:val="single"/>
        </w:rPr>
        <w:t xml:space="preserve">       </w:t>
      </w:r>
      <w:r>
        <w:rPr>
          <w:rFonts w:hint="default" w:ascii="Times New Roman" w:hAnsi="Times New Roman" w:eastAsia="仿宋_GB2312" w:cs="Times New Roman"/>
          <w:b/>
          <w:color w:val="auto"/>
          <w:sz w:val="30"/>
        </w:rPr>
        <w:t>年</w:t>
      </w:r>
      <w:r>
        <w:rPr>
          <w:rFonts w:hint="default" w:ascii="Times New Roman" w:hAnsi="Times New Roman" w:eastAsia="仿宋_GB2312" w:cs="Times New Roman"/>
          <w:b/>
          <w:color w:val="auto"/>
          <w:sz w:val="30"/>
          <w:u w:val="single"/>
        </w:rPr>
        <w:t xml:space="preserve">      </w:t>
      </w:r>
      <w:r>
        <w:rPr>
          <w:rFonts w:hint="default" w:ascii="Times New Roman" w:hAnsi="Times New Roman" w:eastAsia="仿宋_GB2312" w:cs="Times New Roman"/>
          <w:b/>
          <w:color w:val="auto"/>
          <w:sz w:val="30"/>
        </w:rPr>
        <w:t>月</w:t>
      </w:r>
      <w:r>
        <w:rPr>
          <w:rFonts w:hint="default" w:ascii="Times New Roman" w:hAnsi="Times New Roman" w:eastAsia="仿宋_GB2312" w:cs="Times New Roman"/>
          <w:b/>
          <w:color w:val="auto"/>
          <w:sz w:val="30"/>
          <w:u w:val="single"/>
        </w:rPr>
        <w:t xml:space="preserve">      </w:t>
      </w:r>
      <w:r>
        <w:rPr>
          <w:rFonts w:hint="default" w:ascii="Times New Roman" w:hAnsi="Times New Roman" w:eastAsia="仿宋_GB2312" w:cs="Times New Roman"/>
          <w:b/>
          <w:color w:val="auto"/>
          <w:sz w:val="30"/>
        </w:rPr>
        <w:t>日</w:t>
      </w:r>
    </w:p>
    <w:p w14:paraId="078AC345">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
          <w:color w:val="auto"/>
          <w:sz w:val="30"/>
        </w:rPr>
      </w:pPr>
      <w:r>
        <w:rPr>
          <w:rFonts w:hint="default" w:ascii="Times New Roman" w:hAnsi="Times New Roman" w:eastAsia="仿宋_GB2312" w:cs="Times New Roman"/>
          <w:b/>
          <w:color w:val="auto"/>
          <w:sz w:val="30"/>
        </w:rPr>
        <w:br w:type="page"/>
      </w:r>
    </w:p>
    <w:p w14:paraId="39D7D15E">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
          <w:color w:val="auto"/>
          <w:sz w:val="30"/>
        </w:rPr>
      </w:pPr>
    </w:p>
    <w:p w14:paraId="6632E63D">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b w:val="0"/>
          <w:bCs w:val="0"/>
          <w:color w:val="auto"/>
          <w:sz w:val="44"/>
          <w:szCs w:val="44"/>
        </w:rPr>
      </w:pPr>
      <w:r>
        <w:rPr>
          <w:rFonts w:hint="default" w:ascii="Times New Roman" w:hAnsi="Times New Roman" w:eastAsia="方正小标宋简体" w:cs="Times New Roman"/>
          <w:b w:val="0"/>
          <w:bCs w:val="0"/>
          <w:color w:val="auto"/>
          <w:sz w:val="44"/>
          <w:szCs w:val="44"/>
        </w:rPr>
        <w:t>报价承诺函</w:t>
      </w:r>
    </w:p>
    <w:p w14:paraId="72B36C61">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宋体" w:cs="Times New Roman"/>
          <w:b/>
          <w:bCs/>
          <w:color w:val="auto"/>
          <w:sz w:val="44"/>
          <w:szCs w:val="44"/>
        </w:rPr>
      </w:pPr>
    </w:p>
    <w:p w14:paraId="0E1DD4B7">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致</w:t>
      </w:r>
      <w:r>
        <w:rPr>
          <w:rFonts w:hint="eastAsia" w:ascii="Times New Roman" w:hAnsi="Times New Roman" w:eastAsia="仿宋_GB2312" w:cs="Times New Roman"/>
          <w:color w:val="auto"/>
          <w:sz w:val="28"/>
          <w:lang w:eastAsia="zh-CN"/>
        </w:rPr>
        <w:t>：</w:t>
      </w:r>
      <w:r>
        <w:rPr>
          <w:rFonts w:hint="default" w:ascii="Times New Roman" w:hAnsi="Times New Roman" w:eastAsia="仿宋_GB2312" w:cs="Times New Roman"/>
          <w:color w:val="000000" w:themeColor="text1"/>
          <w:sz w:val="28"/>
          <w:lang w:eastAsia="zh-CN"/>
          <w14:textFill>
            <w14:solidFill>
              <w14:schemeClr w14:val="tx1"/>
            </w14:solidFill>
          </w14:textFill>
        </w:rPr>
        <w:t>石家庄市机动车排污管理中心</w:t>
      </w:r>
    </w:p>
    <w:p w14:paraId="51884D02">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 xml:space="preserve">    </w:t>
      </w:r>
      <w:r>
        <w:rPr>
          <w:rFonts w:hint="default" w:ascii="Times New Roman" w:hAnsi="Times New Roman" w:eastAsia="仿宋_GB2312" w:cs="Times New Roman"/>
          <w:color w:val="auto"/>
          <w:sz w:val="28"/>
          <w:u w:val="single"/>
        </w:rPr>
        <w:t xml:space="preserve">                           </w:t>
      </w:r>
      <w:r>
        <w:rPr>
          <w:rFonts w:hint="default" w:ascii="Times New Roman" w:hAnsi="Times New Roman" w:eastAsia="仿宋_GB2312" w:cs="Times New Roman"/>
          <w:color w:val="auto"/>
          <w:sz w:val="28"/>
        </w:rPr>
        <w:t>授权</w:t>
      </w:r>
      <w:r>
        <w:rPr>
          <w:rFonts w:hint="default" w:ascii="Times New Roman" w:hAnsi="Times New Roman" w:eastAsia="仿宋_GB2312" w:cs="Times New Roman"/>
          <w:color w:val="auto"/>
          <w:sz w:val="28"/>
          <w:u w:val="single"/>
        </w:rPr>
        <w:t xml:space="preserve">         </w:t>
      </w:r>
      <w:r>
        <w:rPr>
          <w:rFonts w:hint="default" w:ascii="Times New Roman" w:hAnsi="Times New Roman" w:eastAsia="仿宋_GB2312" w:cs="Times New Roman"/>
          <w:color w:val="auto"/>
          <w:sz w:val="28"/>
        </w:rPr>
        <w:t>为全权代表,参加贵单位采购项目询价的有关活动并报价。为此，我方郑重声明以下诸点：</w:t>
      </w:r>
    </w:p>
    <w:p w14:paraId="78EA77E6">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黑体" w:cs="Times New Roman"/>
          <w:color w:val="auto"/>
          <w:sz w:val="28"/>
        </w:rPr>
      </w:pPr>
      <w:r>
        <w:rPr>
          <w:rFonts w:hint="default" w:ascii="Times New Roman" w:hAnsi="Times New Roman" w:eastAsia="黑体" w:cs="Times New Roman"/>
          <w:color w:val="auto"/>
          <w:sz w:val="28"/>
        </w:rPr>
        <w:t>提交下述文件正本一份和副本贰份</w:t>
      </w:r>
    </w:p>
    <w:p w14:paraId="0DA1E387">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初始报价表</w:t>
      </w:r>
    </w:p>
    <w:p w14:paraId="5FE10FEE">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采购项目报价简要说明</w:t>
      </w:r>
    </w:p>
    <w:p w14:paraId="38C1E287">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二次报价表</w:t>
      </w:r>
    </w:p>
    <w:p w14:paraId="7EB303C9">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黑体" w:cs="Times New Roman"/>
          <w:color w:val="auto"/>
          <w:sz w:val="28"/>
        </w:rPr>
      </w:pPr>
      <w:r>
        <w:rPr>
          <w:rFonts w:hint="default" w:ascii="Times New Roman" w:hAnsi="Times New Roman" w:eastAsia="黑体" w:cs="Times New Roman"/>
          <w:color w:val="auto"/>
          <w:sz w:val="28"/>
        </w:rPr>
        <w:t>据此函，法人授权委托代理人代表宣布如下</w:t>
      </w:r>
    </w:p>
    <w:p w14:paraId="6E4D8F70">
      <w:pPr>
        <w:keepNext w:val="0"/>
        <w:keepLines w:val="0"/>
        <w:pageBreakBefore w:val="0"/>
        <w:numPr>
          <w:ilvl w:val="0"/>
          <w:numId w:val="6"/>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我公司已详细审阅项目全部的有关文件（包括但不限于</w:t>
      </w:r>
      <w:r>
        <w:rPr>
          <w:rFonts w:hint="default" w:ascii="Times New Roman" w:hAnsi="Times New Roman" w:eastAsia="仿宋_GB2312" w:cs="Times New Roman"/>
          <w:color w:val="auto"/>
          <w:sz w:val="28"/>
          <w:szCs w:val="28"/>
          <w:lang w:eastAsia="zh-CN"/>
        </w:rPr>
        <w:t>设备</w:t>
      </w:r>
      <w:r>
        <w:rPr>
          <w:rFonts w:hint="default" w:ascii="Times New Roman" w:hAnsi="Times New Roman" w:eastAsia="仿宋_GB2312" w:cs="Times New Roman"/>
          <w:color w:val="auto"/>
          <w:sz w:val="28"/>
          <w:szCs w:val="28"/>
        </w:rPr>
        <w:t>方案、采购明细、技术参数、实现的功能或者目标等），我们完全理解并同意放弃对此方面有不明及误解的权利。</w:t>
      </w:r>
    </w:p>
    <w:p w14:paraId="4A144825">
      <w:pPr>
        <w:keepNext w:val="0"/>
        <w:keepLines w:val="0"/>
        <w:pageBreakBefore w:val="0"/>
        <w:numPr>
          <w:ilvl w:val="0"/>
          <w:numId w:val="6"/>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我公司将按询价响应文件的有关承诺规定履行责任和义务。</w:t>
      </w:r>
    </w:p>
    <w:p w14:paraId="4F0E74E8">
      <w:pPr>
        <w:keepNext w:val="0"/>
        <w:keepLines w:val="0"/>
        <w:pageBreakBefore w:val="0"/>
        <w:numPr>
          <w:ilvl w:val="0"/>
          <w:numId w:val="6"/>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报价之日起有效期为</w:t>
      </w: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个日历日。</w:t>
      </w:r>
    </w:p>
    <w:p w14:paraId="6E063FD0">
      <w:pPr>
        <w:keepNext w:val="0"/>
        <w:keepLines w:val="0"/>
        <w:pageBreakBefore w:val="0"/>
        <w:numPr>
          <w:ilvl w:val="0"/>
          <w:numId w:val="6"/>
        </w:numPr>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初始报价为(小写)</w:t>
      </w: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元；(大写)</w:t>
      </w:r>
      <w:r>
        <w:rPr>
          <w:rFonts w:hint="default" w:ascii="Times New Roman" w:hAnsi="Times New Roman" w:eastAsia="仿宋_GB2312" w:cs="Times New Roman"/>
          <w:color w:val="auto"/>
          <w:sz w:val="28"/>
          <w:szCs w:val="28"/>
          <w:u w:val="single"/>
        </w:rPr>
        <w:t xml:space="preserve">             </w:t>
      </w:r>
      <w:r>
        <w:rPr>
          <w:rFonts w:hint="default" w:ascii="Times New Roman" w:hAnsi="Times New Roman" w:eastAsia="仿宋_GB2312" w:cs="Times New Roman"/>
          <w:color w:val="auto"/>
          <w:sz w:val="28"/>
          <w:szCs w:val="28"/>
        </w:rPr>
        <w:t xml:space="preserve"> ； </w:t>
      </w:r>
    </w:p>
    <w:p w14:paraId="3C618251">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仿宋_GB2312" w:cs="Times New Roman"/>
          <w:b/>
          <w:color w:val="auto"/>
          <w:sz w:val="28"/>
          <w:szCs w:val="28"/>
        </w:rPr>
      </w:pPr>
      <w:r>
        <w:rPr>
          <w:rFonts w:hint="default" w:ascii="Times New Roman" w:hAnsi="Times New Roman" w:eastAsia="仿宋_GB2312" w:cs="Times New Roman"/>
          <w:b/>
          <w:color w:val="auto"/>
          <w:sz w:val="28"/>
          <w:szCs w:val="28"/>
        </w:rPr>
        <w:t xml:space="preserve">    </w:t>
      </w:r>
    </w:p>
    <w:p w14:paraId="54A99F66">
      <w:pPr>
        <w:pStyle w:val="10"/>
        <w:rPr>
          <w:rFonts w:hint="default" w:ascii="Times New Roman" w:hAnsi="Times New Roman" w:cs="Times New Roman"/>
          <w:color w:val="auto"/>
        </w:rPr>
      </w:pPr>
    </w:p>
    <w:p w14:paraId="2D6E6454">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投 标 单 位：（盖章）</w:t>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 xml:space="preserve">  法人授权代表：（签字）</w:t>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ab/>
      </w:r>
      <w:r>
        <w:rPr>
          <w:rFonts w:hint="default" w:ascii="Times New Roman" w:hAnsi="Times New Roman" w:eastAsia="仿宋_GB2312" w:cs="Times New Roman"/>
          <w:color w:val="auto"/>
          <w:sz w:val="28"/>
          <w:szCs w:val="28"/>
        </w:rPr>
        <w:t xml:space="preserve">  </w:t>
      </w:r>
    </w:p>
    <w:p w14:paraId="36989F8D">
      <w:pPr>
        <w:pStyle w:val="10"/>
        <w:rPr>
          <w:rFonts w:hint="default" w:ascii="Times New Roman" w:hAnsi="Times New Roman" w:cs="Times New Roman"/>
          <w:color w:val="auto"/>
        </w:rPr>
      </w:pPr>
    </w:p>
    <w:p w14:paraId="30E2E991">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default" w:ascii="Times New Roman" w:hAnsi="Times New Roman" w:eastAsia="仿宋_GB2312" w:cs="Times New Roman"/>
          <w:color w:val="auto"/>
          <w:sz w:val="28"/>
          <w:szCs w:val="28"/>
        </w:rPr>
      </w:pPr>
      <w:r>
        <w:rPr>
          <w:rFonts w:hint="default" w:ascii="Times New Roman" w:hAnsi="Times New Roman" w:eastAsia="仿宋_GB2312" w:cs="Times New Roman"/>
          <w:color w:val="auto"/>
          <w:sz w:val="28"/>
          <w:szCs w:val="28"/>
        </w:rPr>
        <w:t xml:space="preserve">  年    月    日</w:t>
      </w:r>
    </w:p>
    <w:p w14:paraId="460DAFF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default" w:ascii="Times New Roman" w:hAnsi="Times New Roman" w:eastAsia="仿宋_GB2312" w:cs="Times New Roman"/>
          <w:b/>
          <w:bCs/>
          <w:color w:val="auto"/>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04899E0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hint="default" w:ascii="Times New Roman" w:hAnsi="Times New Roman" w:eastAsia="华文仿宋" w:cs="Times New Roman"/>
          <w:color w:val="auto"/>
          <w:sz w:val="32"/>
        </w:rPr>
      </w:pPr>
    </w:p>
    <w:p w14:paraId="2DCE91F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初始报价表</w:t>
      </w:r>
    </w:p>
    <w:p w14:paraId="4768D80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黑体" w:cs="Times New Roman"/>
          <w:color w:val="auto"/>
          <w:sz w:val="44"/>
          <w:szCs w:val="44"/>
        </w:rPr>
      </w:pPr>
      <w:r>
        <w:rPr>
          <w:rFonts w:hint="default" w:ascii="Times New Roman" w:hAnsi="Times New Roman" w:eastAsia="黑体" w:cs="Times New Roman"/>
          <w:color w:val="auto"/>
          <w:sz w:val="44"/>
          <w:szCs w:val="44"/>
        </w:rPr>
        <w:t xml:space="preserve">                               </w:t>
      </w:r>
      <w:r>
        <w:rPr>
          <w:rFonts w:hint="default" w:ascii="Times New Roman" w:hAnsi="Times New Roman" w:eastAsia="华文仿宋" w:cs="Times New Roman"/>
          <w:color w:val="auto"/>
          <w:sz w:val="28"/>
        </w:rPr>
        <w:t>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3D0014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2535280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报价单位</w:t>
            </w:r>
          </w:p>
        </w:tc>
        <w:tc>
          <w:tcPr>
            <w:tcW w:w="6925" w:type="dxa"/>
          </w:tcPr>
          <w:p w14:paraId="5213341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p>
        </w:tc>
      </w:tr>
      <w:tr w14:paraId="4C7BD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38697F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项目名称</w:t>
            </w:r>
          </w:p>
        </w:tc>
        <w:tc>
          <w:tcPr>
            <w:tcW w:w="6925" w:type="dxa"/>
          </w:tcPr>
          <w:p w14:paraId="28BE4C8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hint="default" w:ascii="Times New Roman" w:hAnsi="Times New Roman" w:eastAsia="华文仿宋" w:cs="Times New Roman"/>
                <w:color w:val="auto"/>
                <w:sz w:val="28"/>
              </w:rPr>
            </w:pPr>
          </w:p>
        </w:tc>
      </w:tr>
      <w:tr w14:paraId="0EDE1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5522EF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初始报价</w:t>
            </w:r>
          </w:p>
          <w:p w14:paraId="096F3EB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p>
        </w:tc>
        <w:tc>
          <w:tcPr>
            <w:tcW w:w="6925" w:type="dxa"/>
          </w:tcPr>
          <w:p w14:paraId="102C496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人民币大写：</w:t>
            </w:r>
          </w:p>
          <w:p w14:paraId="19D7566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小写：</w:t>
            </w:r>
          </w:p>
        </w:tc>
      </w:tr>
      <w:tr w14:paraId="07231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3C31A1F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质量</w:t>
            </w:r>
          </w:p>
        </w:tc>
        <w:tc>
          <w:tcPr>
            <w:tcW w:w="6925" w:type="dxa"/>
            <w:vAlign w:val="center"/>
          </w:tcPr>
          <w:p w14:paraId="48D7990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达到相关行业标准或符合采购方要求</w:t>
            </w:r>
          </w:p>
        </w:tc>
      </w:tr>
      <w:tr w14:paraId="5A130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57C803D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交付期</w:t>
            </w:r>
          </w:p>
        </w:tc>
        <w:tc>
          <w:tcPr>
            <w:tcW w:w="6925" w:type="dxa"/>
          </w:tcPr>
          <w:p w14:paraId="028FE14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r>
      <w:tr w14:paraId="67BBA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49295ED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报价单位</w:t>
            </w:r>
          </w:p>
          <w:p w14:paraId="2647E9D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p>
        </w:tc>
        <w:tc>
          <w:tcPr>
            <w:tcW w:w="6925" w:type="dxa"/>
          </w:tcPr>
          <w:p w14:paraId="6D93832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59A2C92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法定代表人（签字或盖章）：</w:t>
            </w:r>
          </w:p>
          <w:p w14:paraId="6779F75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685CA1C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委托代理人（签字或盖章）：</w:t>
            </w:r>
          </w:p>
          <w:p w14:paraId="5E6571B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 xml:space="preserve">                               </w:t>
            </w:r>
          </w:p>
          <w:p w14:paraId="7F24D4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 xml:space="preserve">                               （公章）</w:t>
            </w:r>
          </w:p>
          <w:p w14:paraId="79FA5C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 xml:space="preserve">             年     月    日</w:t>
            </w:r>
          </w:p>
        </w:tc>
      </w:tr>
    </w:tbl>
    <w:p w14:paraId="79BF7F11">
      <w:pPr>
        <w:pStyle w:val="9"/>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b w:val="0"/>
          <w:color w:val="auto"/>
          <w:sz w:val="21"/>
          <w:szCs w:val="21"/>
        </w:rPr>
      </w:pPr>
    </w:p>
    <w:p w14:paraId="7DB74DAF">
      <w:pPr>
        <w:pStyle w:val="9"/>
        <w:keepNext w:val="0"/>
        <w:keepLines w:val="0"/>
        <w:pageBreakBefore w:val="0"/>
        <w:kinsoku/>
        <w:wordWrap/>
        <w:overflowPunct/>
        <w:topLinePunct w:val="0"/>
        <w:autoSpaceDE/>
        <w:autoSpaceDN/>
        <w:bidi w:val="0"/>
        <w:spacing w:line="560" w:lineRule="exact"/>
        <w:ind w:right="0" w:rightChars="0"/>
        <w:jc w:val="both"/>
        <w:textAlignment w:val="auto"/>
        <w:rPr>
          <w:rFonts w:hint="default" w:ascii="Times New Roman" w:hAnsi="Times New Roman" w:eastAsia="华文仿宋" w:cs="Times New Roman"/>
          <w:b w:val="0"/>
          <w:bCs/>
          <w:color w:val="auto"/>
          <w:sz w:val="32"/>
        </w:rPr>
      </w:pPr>
      <w:r>
        <w:rPr>
          <w:rFonts w:hint="default" w:ascii="Times New Roman" w:hAnsi="Times New Roman" w:eastAsia="华文仿宋" w:cs="Times New Roman"/>
          <w:bCs/>
          <w:color w:val="auto"/>
          <w:sz w:val="28"/>
          <w:szCs w:val="28"/>
        </w:rPr>
        <w:t xml:space="preserve">    说明：要求内容填写清楚，准确无误。本表中的总报价应与分项报价表费用总和一致。</w:t>
      </w:r>
    </w:p>
    <w:p w14:paraId="194912A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b/>
          <w:bCs/>
          <w:color w:val="auto"/>
          <w:sz w:val="32"/>
        </w:rPr>
        <w:sectPr>
          <w:pgSz w:w="11906" w:h="16838"/>
          <w:pgMar w:top="1440" w:right="1800" w:bottom="1440" w:left="1800" w:header="851" w:footer="992" w:gutter="0"/>
          <w:cols w:space="720" w:num="1"/>
          <w:formProt w:val="0"/>
          <w:docGrid w:type="lines" w:linePitch="312" w:charSpace="0"/>
        </w:sectPr>
      </w:pPr>
    </w:p>
    <w:p w14:paraId="6EAB292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采购项目报价简要说明</w:t>
      </w:r>
    </w:p>
    <w:p w14:paraId="4CB182B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黑体" w:cs="Times New Roman"/>
          <w:i/>
          <w:iCs/>
          <w:color w:val="auto"/>
          <w:sz w:val="44"/>
          <w:szCs w:val="44"/>
        </w:rPr>
      </w:pPr>
      <w:r>
        <w:rPr>
          <w:rFonts w:hint="default" w:ascii="Times New Roman" w:hAnsi="Times New Roman" w:eastAsia="黑体" w:cs="Times New Roman"/>
          <w:i/>
          <w:iCs/>
          <w:color w:val="auto"/>
          <w:sz w:val="44"/>
          <w:szCs w:val="44"/>
        </w:rPr>
        <w:t>（仅做参考，可依据项目方案预算实际情况编制）</w:t>
      </w:r>
    </w:p>
    <w:p w14:paraId="77DD779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报价单位名称:</w:t>
      </w:r>
    </w:p>
    <w:tbl>
      <w:tblPr>
        <w:tblStyle w:val="25"/>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29A69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428D4DB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序号</w:t>
            </w:r>
          </w:p>
        </w:tc>
        <w:tc>
          <w:tcPr>
            <w:tcW w:w="1907" w:type="dxa"/>
            <w:vAlign w:val="center"/>
          </w:tcPr>
          <w:p w14:paraId="2C405A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项目明细</w:t>
            </w:r>
          </w:p>
        </w:tc>
        <w:tc>
          <w:tcPr>
            <w:tcW w:w="1620" w:type="dxa"/>
          </w:tcPr>
          <w:p w14:paraId="476BF25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型号规格</w:t>
            </w:r>
          </w:p>
          <w:p w14:paraId="4E4C7DA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及技术参数</w:t>
            </w:r>
          </w:p>
        </w:tc>
        <w:tc>
          <w:tcPr>
            <w:tcW w:w="977" w:type="dxa"/>
            <w:vAlign w:val="center"/>
          </w:tcPr>
          <w:p w14:paraId="32FB90A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数量</w:t>
            </w:r>
          </w:p>
        </w:tc>
        <w:tc>
          <w:tcPr>
            <w:tcW w:w="840" w:type="dxa"/>
            <w:vAlign w:val="center"/>
          </w:tcPr>
          <w:p w14:paraId="666ECD09">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单价</w:t>
            </w:r>
          </w:p>
        </w:tc>
        <w:tc>
          <w:tcPr>
            <w:tcW w:w="810" w:type="dxa"/>
            <w:vAlign w:val="center"/>
          </w:tcPr>
          <w:p w14:paraId="5382A50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金额</w:t>
            </w:r>
          </w:p>
        </w:tc>
        <w:tc>
          <w:tcPr>
            <w:tcW w:w="930" w:type="dxa"/>
            <w:vAlign w:val="center"/>
          </w:tcPr>
          <w:p w14:paraId="362F0E5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品牌</w:t>
            </w:r>
          </w:p>
        </w:tc>
        <w:tc>
          <w:tcPr>
            <w:tcW w:w="2325" w:type="dxa"/>
            <w:vAlign w:val="center"/>
          </w:tcPr>
          <w:p w14:paraId="474558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产地及制造厂商</w:t>
            </w:r>
          </w:p>
        </w:tc>
        <w:tc>
          <w:tcPr>
            <w:tcW w:w="1487" w:type="dxa"/>
            <w:vAlign w:val="center"/>
          </w:tcPr>
          <w:p w14:paraId="14C5A2F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性能说明</w:t>
            </w:r>
          </w:p>
        </w:tc>
        <w:tc>
          <w:tcPr>
            <w:tcW w:w="1350" w:type="dxa"/>
            <w:vAlign w:val="center"/>
          </w:tcPr>
          <w:p w14:paraId="6A8A484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备   注</w:t>
            </w:r>
          </w:p>
        </w:tc>
      </w:tr>
      <w:tr w14:paraId="3290A4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3566A89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1</w:t>
            </w:r>
          </w:p>
        </w:tc>
        <w:tc>
          <w:tcPr>
            <w:tcW w:w="1907" w:type="dxa"/>
          </w:tcPr>
          <w:p w14:paraId="2E96457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620" w:type="dxa"/>
          </w:tcPr>
          <w:p w14:paraId="42876CF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977" w:type="dxa"/>
          </w:tcPr>
          <w:p w14:paraId="733E7C5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840" w:type="dxa"/>
          </w:tcPr>
          <w:p w14:paraId="0B02880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810" w:type="dxa"/>
          </w:tcPr>
          <w:p w14:paraId="7C3EFE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930" w:type="dxa"/>
          </w:tcPr>
          <w:p w14:paraId="1FA0610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2325" w:type="dxa"/>
          </w:tcPr>
          <w:p w14:paraId="489E40C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487" w:type="dxa"/>
          </w:tcPr>
          <w:p w14:paraId="0316517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350" w:type="dxa"/>
          </w:tcPr>
          <w:p w14:paraId="4E29E92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r>
      <w:tr w14:paraId="61216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77480A8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2</w:t>
            </w:r>
          </w:p>
        </w:tc>
        <w:tc>
          <w:tcPr>
            <w:tcW w:w="1907" w:type="dxa"/>
          </w:tcPr>
          <w:p w14:paraId="6145BF6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620" w:type="dxa"/>
          </w:tcPr>
          <w:p w14:paraId="5E801A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977" w:type="dxa"/>
          </w:tcPr>
          <w:p w14:paraId="1B06875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840" w:type="dxa"/>
          </w:tcPr>
          <w:p w14:paraId="68C12F8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810" w:type="dxa"/>
          </w:tcPr>
          <w:p w14:paraId="68D4940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930" w:type="dxa"/>
          </w:tcPr>
          <w:p w14:paraId="6E59256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2325" w:type="dxa"/>
          </w:tcPr>
          <w:p w14:paraId="0071BC2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487" w:type="dxa"/>
          </w:tcPr>
          <w:p w14:paraId="654CB35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350" w:type="dxa"/>
          </w:tcPr>
          <w:p w14:paraId="42DBAE4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r>
      <w:tr w14:paraId="42CC2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1D9276F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w:t>
            </w:r>
          </w:p>
        </w:tc>
        <w:tc>
          <w:tcPr>
            <w:tcW w:w="1907" w:type="dxa"/>
          </w:tcPr>
          <w:p w14:paraId="05F594C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620" w:type="dxa"/>
          </w:tcPr>
          <w:p w14:paraId="6CB16D0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977" w:type="dxa"/>
          </w:tcPr>
          <w:p w14:paraId="63342B1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840" w:type="dxa"/>
          </w:tcPr>
          <w:p w14:paraId="3C14BA4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810" w:type="dxa"/>
          </w:tcPr>
          <w:p w14:paraId="24D70FE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930" w:type="dxa"/>
          </w:tcPr>
          <w:p w14:paraId="02D67BC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2325" w:type="dxa"/>
          </w:tcPr>
          <w:p w14:paraId="7A69EA6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487" w:type="dxa"/>
          </w:tcPr>
          <w:p w14:paraId="314CB95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350" w:type="dxa"/>
          </w:tcPr>
          <w:p w14:paraId="2843951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r>
      <w:tr w14:paraId="5F4B0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316A17E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b/>
                <w:bCs/>
                <w:color w:val="auto"/>
                <w:sz w:val="28"/>
              </w:rPr>
            </w:pPr>
            <w:r>
              <w:rPr>
                <w:rFonts w:hint="default" w:ascii="Times New Roman" w:hAnsi="Times New Roman" w:eastAsia="华文仿宋" w:cs="Times New Roman"/>
                <w:b/>
                <w:bCs/>
                <w:color w:val="auto"/>
                <w:sz w:val="28"/>
              </w:rPr>
              <w:t>初始报价总价</w:t>
            </w:r>
          </w:p>
        </w:tc>
        <w:tc>
          <w:tcPr>
            <w:tcW w:w="7369" w:type="dxa"/>
            <w:gridSpan w:val="6"/>
          </w:tcPr>
          <w:p w14:paraId="61A58A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c>
          <w:tcPr>
            <w:tcW w:w="1350" w:type="dxa"/>
          </w:tcPr>
          <w:p w14:paraId="288DC56A">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单位：元</w:t>
            </w:r>
          </w:p>
        </w:tc>
      </w:tr>
    </w:tbl>
    <w:p w14:paraId="6DA8120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242BD97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报价单位代表（签字或盖章）:____________________</w:t>
      </w:r>
    </w:p>
    <w:p w14:paraId="1BB4D8C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3D941394">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1C484A46">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sectPr>
          <w:pgSz w:w="16838" w:h="11906" w:orient="landscape"/>
          <w:pgMar w:top="1803" w:right="1440" w:bottom="1803" w:left="1440" w:header="851" w:footer="992" w:gutter="0"/>
          <w:cols w:space="720" w:num="1"/>
          <w:formProt w:val="0"/>
          <w:docGrid w:type="lines" w:linePitch="319" w:charSpace="0"/>
        </w:sectPr>
      </w:pPr>
    </w:p>
    <w:p w14:paraId="095C925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二次报价表</w:t>
      </w:r>
    </w:p>
    <w:p w14:paraId="7D42EB2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黑体" w:cs="Times New Roman"/>
          <w:color w:val="auto"/>
          <w:sz w:val="44"/>
          <w:szCs w:val="44"/>
        </w:rPr>
      </w:pPr>
      <w:r>
        <w:rPr>
          <w:rFonts w:hint="default" w:ascii="Times New Roman" w:hAnsi="Times New Roman" w:eastAsia="华文仿宋" w:cs="Times New Roman"/>
          <w:color w:val="auto"/>
          <w:sz w:val="28"/>
        </w:rPr>
        <w:t xml:space="preserve">                                                 单位:元</w:t>
      </w:r>
    </w:p>
    <w:tbl>
      <w:tblPr>
        <w:tblStyle w:val="25"/>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286B4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3B23CA9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报价单位</w:t>
            </w:r>
          </w:p>
        </w:tc>
        <w:tc>
          <w:tcPr>
            <w:tcW w:w="6925" w:type="dxa"/>
          </w:tcPr>
          <w:p w14:paraId="2BE2234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p>
        </w:tc>
      </w:tr>
      <w:tr w14:paraId="79653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43DDED6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项目名称</w:t>
            </w:r>
          </w:p>
        </w:tc>
        <w:tc>
          <w:tcPr>
            <w:tcW w:w="6925" w:type="dxa"/>
          </w:tcPr>
          <w:p w14:paraId="592DD43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hint="default" w:ascii="Times New Roman" w:hAnsi="Times New Roman" w:eastAsia="华文仿宋" w:cs="Times New Roman"/>
                <w:color w:val="auto"/>
                <w:sz w:val="28"/>
              </w:rPr>
            </w:pPr>
          </w:p>
        </w:tc>
      </w:tr>
      <w:tr w14:paraId="4DDC2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3B93130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二次报价</w:t>
            </w:r>
          </w:p>
          <w:p w14:paraId="1F92D5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p>
        </w:tc>
        <w:tc>
          <w:tcPr>
            <w:tcW w:w="6925" w:type="dxa"/>
          </w:tcPr>
          <w:p w14:paraId="5620FD0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603E6CE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人民币大写：</w:t>
            </w:r>
          </w:p>
          <w:p w14:paraId="23CE546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小写：</w:t>
            </w:r>
          </w:p>
        </w:tc>
      </w:tr>
      <w:tr w14:paraId="65B25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1040126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质量</w:t>
            </w:r>
          </w:p>
        </w:tc>
        <w:tc>
          <w:tcPr>
            <w:tcW w:w="6925" w:type="dxa"/>
            <w:vAlign w:val="center"/>
          </w:tcPr>
          <w:p w14:paraId="691A558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达到相关行业标准或符合采购方要求</w:t>
            </w:r>
          </w:p>
        </w:tc>
      </w:tr>
      <w:tr w14:paraId="330D3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F0C77B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交付期</w:t>
            </w:r>
          </w:p>
        </w:tc>
        <w:tc>
          <w:tcPr>
            <w:tcW w:w="6925" w:type="dxa"/>
          </w:tcPr>
          <w:p w14:paraId="15CF243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tc>
      </w:tr>
      <w:tr w14:paraId="39334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094857C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报价单位</w:t>
            </w:r>
          </w:p>
          <w:p w14:paraId="38BD0AA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default" w:ascii="Times New Roman" w:hAnsi="Times New Roman" w:eastAsia="华文仿宋" w:cs="Times New Roman"/>
                <w:color w:val="auto"/>
                <w:sz w:val="28"/>
              </w:rPr>
            </w:pPr>
          </w:p>
        </w:tc>
        <w:tc>
          <w:tcPr>
            <w:tcW w:w="6925" w:type="dxa"/>
          </w:tcPr>
          <w:p w14:paraId="1241351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0320BB1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法定代表人（签字或盖章）：</w:t>
            </w:r>
          </w:p>
          <w:p w14:paraId="68972CF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p>
          <w:p w14:paraId="745EB09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委托代理人（签字或盖章）：</w:t>
            </w:r>
          </w:p>
          <w:p w14:paraId="708FDC6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 xml:space="preserve">                                    </w:t>
            </w:r>
          </w:p>
          <w:p w14:paraId="73733EE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 xml:space="preserve">                               （公章）</w:t>
            </w:r>
          </w:p>
          <w:p w14:paraId="542C435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hint="default" w:ascii="Times New Roman" w:hAnsi="Times New Roman" w:eastAsia="华文仿宋" w:cs="Times New Roman"/>
                <w:color w:val="auto"/>
                <w:sz w:val="28"/>
              </w:rPr>
            </w:pPr>
            <w:r>
              <w:rPr>
                <w:rFonts w:hint="default" w:ascii="Times New Roman" w:hAnsi="Times New Roman" w:eastAsia="华文仿宋" w:cs="Times New Roman"/>
                <w:color w:val="auto"/>
                <w:sz w:val="28"/>
              </w:rPr>
              <w:t xml:space="preserve">             年     月    日</w:t>
            </w:r>
          </w:p>
        </w:tc>
      </w:tr>
    </w:tbl>
    <w:p w14:paraId="156AA026">
      <w:pPr>
        <w:pStyle w:val="9"/>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b w:val="0"/>
          <w:color w:val="auto"/>
          <w:sz w:val="21"/>
          <w:szCs w:val="21"/>
        </w:rPr>
      </w:pPr>
    </w:p>
    <w:p w14:paraId="10F0F922">
      <w:pPr>
        <w:pStyle w:val="9"/>
        <w:keepNext w:val="0"/>
        <w:keepLines w:val="0"/>
        <w:pageBreakBefore w:val="0"/>
        <w:kinsoku/>
        <w:wordWrap/>
        <w:overflowPunct/>
        <w:topLinePunct w:val="0"/>
        <w:autoSpaceDE/>
        <w:autoSpaceDN/>
        <w:bidi w:val="0"/>
        <w:spacing w:line="560" w:lineRule="exact"/>
        <w:ind w:right="0" w:rightChars="0"/>
        <w:jc w:val="both"/>
        <w:textAlignment w:val="auto"/>
        <w:rPr>
          <w:rFonts w:hint="default" w:ascii="Times New Roman" w:hAnsi="Times New Roman" w:eastAsia="华文仿宋" w:cs="Times New Roman"/>
          <w:color w:val="auto"/>
          <w:sz w:val="21"/>
          <w:szCs w:val="21"/>
        </w:rPr>
      </w:pPr>
      <w:r>
        <w:rPr>
          <w:rFonts w:hint="default" w:ascii="Times New Roman" w:hAnsi="Times New Roman" w:eastAsia="黑体" w:cs="Times New Roman"/>
          <w:b w:val="0"/>
          <w:bCs/>
          <w:color w:val="auto"/>
          <w:sz w:val="28"/>
        </w:rPr>
        <w:t xml:space="preserve">    </w:t>
      </w:r>
      <w:r>
        <w:rPr>
          <w:rFonts w:hint="default" w:ascii="Times New Roman" w:hAnsi="Times New Roman" w:eastAsia="黑体" w:cs="Times New Roman"/>
          <w:color w:val="auto"/>
          <w:sz w:val="28"/>
        </w:rPr>
        <w:t>注：本次询价分初始报价和二次报价，经与采购方询价小组谈判后，再填制二次报价表（手工填写）。</w:t>
      </w:r>
    </w:p>
    <w:p w14:paraId="028C5733">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华文仿宋" w:cs="Times New Roman"/>
          <w:b/>
          <w:color w:val="auto"/>
          <w:sz w:val="28"/>
        </w:rPr>
        <w:sectPr>
          <w:pgSz w:w="11906" w:h="16838"/>
          <w:pgMar w:top="1440" w:right="1800" w:bottom="1440" w:left="1800" w:header="851" w:footer="992" w:gutter="0"/>
          <w:cols w:space="720" w:num="1"/>
          <w:formProt w:val="0"/>
          <w:docGrid w:type="lines" w:linePitch="312" w:charSpace="0"/>
        </w:sectPr>
      </w:pPr>
    </w:p>
    <w:p w14:paraId="7F6D5793">
      <w:pPr>
        <w:keepNext w:val="0"/>
        <w:keepLines w:val="0"/>
        <w:pageBreakBefore w:val="0"/>
        <w:kinsoku/>
        <w:wordWrap/>
        <w:overflowPunct/>
        <w:topLinePunct w:val="0"/>
        <w:autoSpaceDE/>
        <w:autoSpaceDN/>
        <w:bidi w:val="0"/>
        <w:spacing w:line="560" w:lineRule="exact"/>
        <w:ind w:right="0" w:rightChars="0"/>
        <w:jc w:val="center"/>
        <w:textAlignment w:val="auto"/>
        <w:rPr>
          <w:rFonts w:hint="default" w:ascii="Times New Roman" w:hAnsi="Times New Roman" w:eastAsia="方正小标宋简体" w:cs="Times New Roman"/>
          <w:b w:val="0"/>
          <w:bCs w:val="0"/>
          <w:color w:val="auto"/>
          <w:sz w:val="36"/>
          <w:szCs w:val="36"/>
        </w:rPr>
      </w:pPr>
      <w:r>
        <w:rPr>
          <w:rFonts w:hint="default" w:ascii="Times New Roman" w:hAnsi="Times New Roman" w:eastAsia="方正小标宋简体" w:cs="Times New Roman"/>
          <w:b w:val="0"/>
          <w:bCs w:val="0"/>
          <w:color w:val="auto"/>
          <w:sz w:val="36"/>
          <w:szCs w:val="36"/>
        </w:rPr>
        <w:t>授权委托书</w:t>
      </w:r>
    </w:p>
    <w:p w14:paraId="207E19BD">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hint="default" w:ascii="Times New Roman" w:hAnsi="Times New Roman" w:eastAsia="华文仿宋" w:cs="Times New Roman"/>
          <w:b/>
          <w:color w:val="auto"/>
          <w:sz w:val="32"/>
        </w:rPr>
      </w:pPr>
    </w:p>
    <w:p w14:paraId="792C5B60">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本授权委托书声明：我</w:t>
      </w:r>
      <w:r>
        <w:rPr>
          <w:rFonts w:hint="default" w:ascii="Times New Roman" w:hAnsi="Times New Roman" w:eastAsia="仿宋_GB2312" w:cs="Times New Roman"/>
          <w:color w:val="auto"/>
          <w:sz w:val="28"/>
          <w:u w:val="single"/>
        </w:rPr>
        <w:t xml:space="preserve">         </w:t>
      </w:r>
      <w:r>
        <w:rPr>
          <w:rFonts w:hint="default" w:ascii="Times New Roman" w:hAnsi="Times New Roman" w:eastAsia="仿宋_GB2312" w:cs="Times New Roman"/>
          <w:color w:val="auto"/>
          <w:sz w:val="28"/>
        </w:rPr>
        <w:t>（姓名）系</w:t>
      </w:r>
      <w:r>
        <w:rPr>
          <w:rFonts w:hint="default" w:ascii="Times New Roman" w:hAnsi="Times New Roman" w:eastAsia="仿宋_GB2312" w:cs="Times New Roman"/>
          <w:color w:val="auto"/>
          <w:sz w:val="28"/>
          <w:u w:val="single"/>
        </w:rPr>
        <w:t xml:space="preserve">              </w:t>
      </w:r>
      <w:r>
        <w:rPr>
          <w:rFonts w:hint="default" w:ascii="Times New Roman" w:hAnsi="Times New Roman" w:eastAsia="仿宋_GB2312" w:cs="Times New Roman"/>
          <w:color w:val="auto"/>
          <w:sz w:val="28"/>
        </w:rPr>
        <w:t>（</w:t>
      </w:r>
      <w:r>
        <w:rPr>
          <w:rFonts w:hint="default" w:ascii="Times New Roman" w:hAnsi="Times New Roman" w:eastAsia="仿宋_GB2312" w:cs="Times New Roman"/>
          <w:color w:val="auto"/>
          <w:sz w:val="28"/>
          <w:lang w:eastAsia="zh-CN"/>
        </w:rPr>
        <w:t>单位</w:t>
      </w:r>
      <w:r>
        <w:rPr>
          <w:rFonts w:hint="default" w:ascii="Times New Roman" w:hAnsi="Times New Roman" w:eastAsia="仿宋_GB2312" w:cs="Times New Roman"/>
          <w:color w:val="auto"/>
          <w:sz w:val="28"/>
        </w:rPr>
        <w:t>名称）的法定代表人，现授权委托</w:t>
      </w:r>
      <w:r>
        <w:rPr>
          <w:rFonts w:hint="default" w:ascii="Times New Roman" w:hAnsi="Times New Roman" w:eastAsia="仿宋_GB2312" w:cs="Times New Roman"/>
          <w:color w:val="auto"/>
          <w:sz w:val="28"/>
          <w:u w:val="single"/>
        </w:rPr>
        <w:t xml:space="preserve">                   </w:t>
      </w:r>
      <w:r>
        <w:rPr>
          <w:rFonts w:hint="default" w:ascii="Times New Roman" w:hAnsi="Times New Roman" w:eastAsia="仿宋_GB2312" w:cs="Times New Roman"/>
          <w:color w:val="auto"/>
          <w:sz w:val="28"/>
        </w:rPr>
        <w:t>（单位名称）的</w:t>
      </w:r>
      <w:r>
        <w:rPr>
          <w:rFonts w:hint="default" w:ascii="Times New Roman" w:hAnsi="Times New Roman" w:eastAsia="仿宋_GB2312" w:cs="Times New Roman"/>
          <w:color w:val="auto"/>
          <w:sz w:val="28"/>
          <w:u w:val="single"/>
        </w:rPr>
        <w:t xml:space="preserve">                        </w:t>
      </w:r>
      <w:r>
        <w:rPr>
          <w:rFonts w:hint="default" w:ascii="Times New Roman" w:hAnsi="Times New Roman" w:eastAsia="仿宋_GB2312" w:cs="Times New Roman"/>
          <w:color w:val="auto"/>
          <w:sz w:val="28"/>
        </w:rPr>
        <w:t>（姓名、职务）为我公司代理人，以本公司的名义参加</w:t>
      </w:r>
      <w:r>
        <w:rPr>
          <w:rFonts w:hint="default" w:ascii="Times New Roman" w:hAnsi="Times New Roman" w:eastAsia="仿宋_GB2312" w:cs="Times New Roman"/>
          <w:color w:val="000000" w:themeColor="text1"/>
          <w:sz w:val="28"/>
          <w:u w:val="single"/>
          <w:lang w:eastAsia="zh-CN"/>
          <w14:textFill>
            <w14:solidFill>
              <w14:schemeClr w14:val="tx1"/>
            </w14:solidFill>
          </w14:textFill>
        </w:rPr>
        <w:t>石家庄市机动车排污管理中心</w:t>
      </w:r>
      <w:r>
        <w:rPr>
          <w:rFonts w:hint="default" w:ascii="Times New Roman" w:hAnsi="Times New Roman" w:eastAsia="仿宋_GB2312" w:cs="Times New Roman"/>
          <w:color w:val="auto"/>
          <w:sz w:val="28"/>
        </w:rPr>
        <w:t>的</w:t>
      </w:r>
      <w:r>
        <w:rPr>
          <w:rFonts w:hint="default" w:ascii="Times New Roman" w:hAnsi="Times New Roman" w:eastAsia="仿宋_GB2312" w:cs="Times New Roman"/>
          <w:color w:val="000000" w:themeColor="text1"/>
          <w:sz w:val="28"/>
          <w:u w:val="single"/>
          <w:lang w:eastAsia="zh-CN"/>
          <w14:textFill>
            <w14:solidFill>
              <w14:schemeClr w14:val="tx1"/>
            </w14:solidFill>
          </w14:textFill>
        </w:rPr>
        <w:t>重型柴油车远程在线监控数据分析服务项目</w:t>
      </w:r>
      <w:r>
        <w:rPr>
          <w:rFonts w:hint="default" w:ascii="Times New Roman" w:hAnsi="Times New Roman" w:eastAsia="仿宋_GB2312" w:cs="Times New Roman"/>
          <w:color w:val="auto"/>
          <w:sz w:val="28"/>
        </w:rPr>
        <w:t>的市场询价活动。代理人在询价谈判过程中所签署的一切文件和处理与之有关的一切事务，我均予以承认。</w:t>
      </w:r>
    </w:p>
    <w:p w14:paraId="13DAC1DC">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代理人无转委托权。特此委托。</w:t>
      </w:r>
    </w:p>
    <w:p w14:paraId="4AD782BB">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p>
    <w:p w14:paraId="60587EB7">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代理人：                性别：    年龄：</w:t>
      </w:r>
    </w:p>
    <w:p w14:paraId="7D04C1EE">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单位：                  职务：    身份证号：</w:t>
      </w:r>
    </w:p>
    <w:p w14:paraId="67174AA7">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lang w:eastAsia="zh-CN"/>
        </w:rPr>
      </w:pPr>
      <w:r>
        <w:rPr>
          <w:rFonts w:hint="default" w:ascii="Times New Roman" w:hAnsi="Times New Roman" w:eastAsia="仿宋_GB2312" w:cs="Times New Roman"/>
          <w:color w:val="auto"/>
          <w:sz w:val="28"/>
          <w:lang w:eastAsia="zh-CN"/>
        </w:rPr>
        <w:t>固定电话：</w:t>
      </w:r>
      <w:r>
        <w:rPr>
          <w:rFonts w:hint="default" w:ascii="Times New Roman" w:hAnsi="Times New Roman" w:eastAsia="仿宋_GB2312" w:cs="Times New Roman"/>
          <w:color w:val="auto"/>
          <w:sz w:val="28"/>
          <w:lang w:val="en-US" w:eastAsia="zh-CN"/>
        </w:rPr>
        <w:t xml:space="preserve">              手机号码：</w:t>
      </w:r>
    </w:p>
    <w:p w14:paraId="443437AE">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p>
    <w:p w14:paraId="102B0B42">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报价单位：（盖章）</w:t>
      </w:r>
    </w:p>
    <w:p w14:paraId="7024086A">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default" w:ascii="Times New Roman" w:hAnsi="Times New Roman" w:eastAsia="仿宋_GB2312" w:cs="Times New Roman"/>
          <w:color w:val="auto"/>
          <w:sz w:val="28"/>
        </w:rPr>
      </w:pPr>
    </w:p>
    <w:p w14:paraId="70F522FE">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default" w:ascii="Times New Roman" w:hAnsi="Times New Roman" w:eastAsia="仿宋_GB2312" w:cs="Times New Roman"/>
          <w:color w:val="auto"/>
          <w:sz w:val="28"/>
        </w:rPr>
      </w:pPr>
    </w:p>
    <w:p w14:paraId="617A0C41">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法定代表人：（盖章）</w:t>
      </w:r>
    </w:p>
    <w:p w14:paraId="647D35B0">
      <w:pPr>
        <w:pStyle w:val="10"/>
        <w:rPr>
          <w:rFonts w:hint="default" w:ascii="Times New Roman" w:hAnsi="Times New Roman" w:eastAsia="仿宋_GB2312" w:cs="Times New Roman"/>
          <w:color w:val="auto"/>
          <w:sz w:val="28"/>
        </w:rPr>
      </w:pPr>
    </w:p>
    <w:p w14:paraId="0B128B6C">
      <w:pPr>
        <w:pStyle w:val="11"/>
        <w:rPr>
          <w:rFonts w:hint="default" w:ascii="Times New Roman" w:hAnsi="Times New Roman" w:cs="Times New Roman"/>
          <w:color w:val="auto"/>
        </w:rPr>
      </w:pPr>
    </w:p>
    <w:p w14:paraId="334D677F">
      <w:pPr>
        <w:keepNext w:val="0"/>
        <w:keepLines w:val="0"/>
        <w:pageBreakBefore w:val="0"/>
        <w:kinsoku/>
        <w:wordWrap/>
        <w:overflowPunct/>
        <w:topLinePunct w:val="0"/>
        <w:autoSpaceDE/>
        <w:autoSpaceDN/>
        <w:bidi w:val="0"/>
        <w:spacing w:line="560" w:lineRule="exact"/>
        <w:ind w:right="0" w:rightChars="0" w:firstLine="570"/>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有效期：  年  月  日至  年  月  日</w:t>
      </w:r>
    </w:p>
    <w:p w14:paraId="04902B1D">
      <w:pPr>
        <w:pStyle w:val="10"/>
        <w:rPr>
          <w:rFonts w:hint="default" w:ascii="Times New Roman" w:hAnsi="Times New Roman" w:cs="Times New Roman"/>
          <w:color w:val="auto"/>
        </w:rPr>
      </w:pPr>
    </w:p>
    <w:p w14:paraId="72C4618D">
      <w:pPr>
        <w:keepNext w:val="0"/>
        <w:keepLines w:val="0"/>
        <w:pageBreakBefore w:val="0"/>
        <w:kinsoku/>
        <w:wordWrap/>
        <w:overflowPunct/>
        <w:topLinePunct w:val="0"/>
        <w:autoSpaceDE/>
        <w:autoSpaceDN/>
        <w:bidi w:val="0"/>
        <w:spacing w:line="560" w:lineRule="exact"/>
        <w:ind w:left="850" w:right="0" w:rightChars="0" w:firstLine="679"/>
        <w:textAlignment w:val="auto"/>
        <w:rPr>
          <w:rFonts w:hint="default" w:ascii="Times New Roman" w:hAnsi="Times New Roman" w:eastAsia="仿宋_GB2312" w:cs="Times New Roman"/>
          <w:color w:val="auto"/>
          <w:sz w:val="28"/>
        </w:rPr>
      </w:pPr>
      <w:r>
        <w:rPr>
          <w:rFonts w:hint="default" w:ascii="Times New Roman" w:hAnsi="Times New Roman" w:eastAsia="仿宋_GB2312" w:cs="Times New Roman"/>
          <w:color w:val="auto"/>
          <w:sz w:val="28"/>
        </w:rPr>
        <w:t xml:space="preserve">                           日期：  年  月  日</w:t>
      </w:r>
    </w:p>
    <w:p w14:paraId="523A15E9">
      <w:pPr>
        <w:keepNext w:val="0"/>
        <w:keepLines w:val="0"/>
        <w:pageBreakBefore w:val="0"/>
        <w:kinsoku/>
        <w:wordWrap/>
        <w:overflowPunct/>
        <w:topLinePunct w:val="0"/>
        <w:autoSpaceDE/>
        <w:autoSpaceDN/>
        <w:bidi w:val="0"/>
        <w:spacing w:line="560" w:lineRule="exact"/>
        <w:ind w:left="850" w:right="0" w:rightChars="0" w:firstLine="679"/>
        <w:textAlignment w:val="auto"/>
        <w:rPr>
          <w:rFonts w:hint="default" w:ascii="Times New Roman" w:hAnsi="Times New Roman" w:eastAsia="仿宋_GB2312" w:cs="Times New Roman"/>
          <w:color w:val="auto"/>
          <w:sz w:val="28"/>
        </w:rPr>
        <w:sectPr>
          <w:pgSz w:w="11906" w:h="16838"/>
          <w:pgMar w:top="1440" w:right="1800" w:bottom="1440" w:left="1800" w:header="851" w:footer="992" w:gutter="0"/>
          <w:cols w:space="720" w:num="1"/>
          <w:formProt w:val="0"/>
          <w:docGrid w:type="lines" w:linePitch="312" w:charSpace="0"/>
        </w:sectPr>
      </w:pPr>
    </w:p>
    <w:p w14:paraId="41443E28">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【营业执照副本（或三证合一）复印件】（加盖单位公章和法人章）</w:t>
      </w:r>
    </w:p>
    <w:p w14:paraId="3F28290E">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【相关资质复印件】（加盖单位公章和法人章）</w:t>
      </w:r>
    </w:p>
    <w:p w14:paraId="51564D5F">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楷体" w:cs="Times New Roman"/>
          <w:color w:val="auto"/>
          <w:sz w:val="32"/>
          <w:szCs w:val="32"/>
        </w:rPr>
      </w:pPr>
      <w:r>
        <w:rPr>
          <w:rFonts w:hint="default" w:ascii="Times New Roman" w:hAnsi="Times New Roman" w:eastAsia="楷体" w:cs="Times New Roman"/>
          <w:color w:val="auto"/>
          <w:sz w:val="32"/>
          <w:szCs w:val="32"/>
        </w:rPr>
        <w:t>【被询价单位法人身份证复印件】（加盖单位公章和法人章）【被询价单位委托代理人身份证复印件】（加盖单位公章和法人章）</w:t>
      </w:r>
    </w:p>
    <w:p w14:paraId="5ECD3713">
      <w:pPr>
        <w:keepNext w:val="0"/>
        <w:keepLines w:val="0"/>
        <w:pageBreakBefore w:val="0"/>
        <w:kinsoku/>
        <w:wordWrap/>
        <w:overflowPunct/>
        <w:topLinePunct w:val="0"/>
        <w:autoSpaceDE/>
        <w:autoSpaceDN/>
        <w:bidi w:val="0"/>
        <w:spacing w:line="560" w:lineRule="exact"/>
        <w:ind w:right="0" w:rightChars="0"/>
        <w:textAlignment w:val="auto"/>
        <w:rPr>
          <w:rFonts w:hint="default" w:ascii="Times New Roman" w:hAnsi="Times New Roman" w:eastAsia="楷体" w:cs="Times New Roman"/>
          <w:color w:val="auto"/>
          <w:sz w:val="32"/>
          <w:szCs w:val="32"/>
        </w:rPr>
        <w:sectPr>
          <w:pgSz w:w="11906" w:h="16838"/>
          <w:pgMar w:top="1440" w:right="1800" w:bottom="1440" w:left="1800" w:header="851" w:footer="992" w:gutter="0"/>
          <w:cols w:space="425" w:num="1"/>
          <w:formProt w:val="0"/>
          <w:docGrid w:type="lines" w:linePitch="312" w:charSpace="0"/>
        </w:sectPr>
      </w:pPr>
      <w:r>
        <w:rPr>
          <w:rFonts w:hint="default" w:ascii="Times New Roman" w:hAnsi="Times New Roman" w:eastAsia="楷体" w:cs="Times New Roman"/>
          <w:color w:val="auto"/>
          <w:sz w:val="32"/>
          <w:szCs w:val="32"/>
        </w:rPr>
        <w:t>【其他】</w:t>
      </w:r>
    </w:p>
    <w:p w14:paraId="1599745B">
      <w:pPr>
        <w:spacing w:line="560" w:lineRule="exact"/>
        <w:jc w:val="center"/>
        <w:rPr>
          <w:rFonts w:hint="default" w:ascii="Times New Roman" w:hAnsi="Times New Roman" w:eastAsia="方正小标宋简体" w:cs="Times New Roman"/>
          <w:bCs/>
          <w:color w:val="auto"/>
          <w:sz w:val="44"/>
          <w:szCs w:val="44"/>
          <w:lang w:val="en-US" w:eastAsia="zh-CN"/>
        </w:rPr>
      </w:pPr>
      <w:r>
        <w:rPr>
          <w:rFonts w:hint="default" w:ascii="Times New Roman" w:hAnsi="Times New Roman" w:eastAsia="方正小标宋简体" w:cs="Times New Roman"/>
          <w:bCs/>
          <w:sz w:val="44"/>
          <w:szCs w:val="44"/>
        </w:rPr>
        <w:t>石家庄市机动车排污管理中心</w:t>
      </w:r>
    </w:p>
    <w:p w14:paraId="236EAFB0">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default" w:ascii="Times New Roman" w:hAnsi="Times New Roman" w:eastAsia="方正小标宋简体" w:cs="Times New Roman"/>
          <w:bCs/>
          <w:sz w:val="44"/>
          <w:szCs w:val="44"/>
          <w:lang w:eastAsia="zh-CN"/>
        </w:rPr>
      </w:pPr>
      <w:r>
        <w:rPr>
          <w:rFonts w:hint="default" w:ascii="Times New Roman" w:hAnsi="Times New Roman" w:eastAsia="方正小标宋简体" w:cs="Times New Roman"/>
          <w:bCs/>
          <w:sz w:val="44"/>
          <w:szCs w:val="44"/>
          <w:lang w:eastAsia="zh-CN"/>
        </w:rPr>
        <w:t>重型柴油车远程在线监控数据分析服务</w:t>
      </w:r>
    </w:p>
    <w:p w14:paraId="37B28892">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hint="default" w:ascii="Times New Roman" w:hAnsi="Times New Roman" w:eastAsia="方正小标宋_GBK" w:cs="Times New Roman"/>
          <w:bCs/>
          <w:color w:val="auto"/>
          <w:sz w:val="44"/>
          <w:szCs w:val="44"/>
        </w:rPr>
      </w:pPr>
      <w:r>
        <w:rPr>
          <w:rFonts w:hint="default" w:ascii="Times New Roman" w:hAnsi="Times New Roman" w:eastAsia="方正小标宋简体" w:cs="Times New Roman"/>
          <w:bCs/>
          <w:sz w:val="44"/>
          <w:szCs w:val="44"/>
          <w:lang w:eastAsia="zh-CN"/>
        </w:rPr>
        <w:t>项目</w:t>
      </w:r>
      <w:r>
        <w:rPr>
          <w:rFonts w:hint="default" w:ascii="Times New Roman" w:hAnsi="Times New Roman" w:eastAsia="方正小标宋简体" w:cs="Times New Roman"/>
          <w:bCs/>
          <w:color w:val="auto"/>
          <w:sz w:val="44"/>
          <w:szCs w:val="44"/>
        </w:rPr>
        <w:t>询价告知卡</w:t>
      </w:r>
    </w:p>
    <w:p w14:paraId="6812FF3E">
      <w:pPr>
        <w:pStyle w:val="32"/>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hint="default" w:ascii="Times New Roman" w:hAnsi="Times New Roman" w:eastAsia="方正小标宋_GBK" w:cs="Times New Roman"/>
          <w:color w:val="auto"/>
          <w:sz w:val="44"/>
          <w:szCs w:val="44"/>
        </w:rPr>
      </w:pPr>
    </w:p>
    <w:p w14:paraId="26DEDAC7">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hint="default" w:ascii="Times New Roman" w:hAnsi="Times New Roman" w:eastAsia="方正小标宋_GBK" w:cs="Times New Roman"/>
          <w:b w:val="0"/>
          <w:bCs/>
          <w:color w:val="auto"/>
          <w:sz w:val="32"/>
          <w:szCs w:val="32"/>
          <w:u w:val="single"/>
        </w:rPr>
      </w:pPr>
      <w:r>
        <w:rPr>
          <w:rFonts w:hint="default" w:ascii="Times New Roman" w:hAnsi="Times New Roman" w:eastAsia="方正小标宋_GBK" w:cs="Times New Roman"/>
          <w:b w:val="0"/>
          <w:bCs/>
          <w:color w:val="auto"/>
          <w:sz w:val="32"/>
          <w:szCs w:val="32"/>
          <w:u w:val="single"/>
        </w:rPr>
        <w:t xml:space="preserve">                             </w:t>
      </w:r>
      <w:r>
        <w:rPr>
          <w:rFonts w:hint="default" w:ascii="Times New Roman" w:hAnsi="Times New Roman" w:eastAsia="方正小标宋_GBK" w:cs="Times New Roman"/>
          <w:b w:val="0"/>
          <w:bCs/>
          <w:color w:val="auto"/>
          <w:sz w:val="32"/>
          <w:szCs w:val="32"/>
        </w:rPr>
        <w:t xml:space="preserve"> （报价单位名称）：</w:t>
      </w:r>
    </w:p>
    <w:p w14:paraId="604721AF">
      <w:pPr>
        <w:pStyle w:val="9"/>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hint="default" w:ascii="Times New Roman" w:hAnsi="Times New Roman" w:eastAsia="方正小标宋_GBK" w:cs="Times New Roman"/>
          <w:b w:val="0"/>
          <w:bCs/>
          <w:color w:val="auto"/>
          <w:sz w:val="32"/>
          <w:szCs w:val="32"/>
          <w:u w:val="single"/>
        </w:rPr>
      </w:pPr>
    </w:p>
    <w:p w14:paraId="6E901E7F">
      <w:pPr>
        <w:pStyle w:val="9"/>
        <w:keepNext w:val="0"/>
        <w:keepLines w:val="0"/>
        <w:pageBreakBefore w:val="0"/>
        <w:widowControl w:val="0"/>
        <w:numPr>
          <w:ilvl w:val="0"/>
          <w:numId w:val="7"/>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方正小标宋简体" w:cs="Times New Roman"/>
          <w:b w:val="0"/>
          <w:bCs/>
          <w:color w:val="auto"/>
          <w:sz w:val="32"/>
          <w:szCs w:val="32"/>
        </w:rPr>
      </w:pPr>
      <w:r>
        <w:rPr>
          <w:rFonts w:hint="default" w:ascii="Times New Roman" w:hAnsi="Times New Roman" w:eastAsia="方正小标宋简体" w:cs="Times New Roman"/>
          <w:b w:val="0"/>
          <w:bCs/>
          <w:color w:val="auto"/>
          <w:sz w:val="32"/>
          <w:szCs w:val="32"/>
        </w:rPr>
        <w:t>我单位官网发布的“</w:t>
      </w:r>
      <w:r>
        <w:rPr>
          <w:rFonts w:hint="default" w:ascii="Times New Roman" w:hAnsi="Times New Roman" w:eastAsia="方正小标宋简体" w:cs="Times New Roman"/>
          <w:b w:val="0"/>
          <w:bCs/>
          <w:sz w:val="32"/>
          <w:szCs w:val="32"/>
        </w:rPr>
        <w:t>石家庄市机动车排污管理中心关于</w:t>
      </w:r>
      <w:r>
        <w:rPr>
          <w:rFonts w:hint="default" w:ascii="Times New Roman" w:hAnsi="Times New Roman" w:eastAsia="方正小标宋简体" w:cs="Times New Roman"/>
          <w:b w:val="0"/>
          <w:bCs/>
          <w:sz w:val="32"/>
          <w:szCs w:val="32"/>
          <w:lang w:eastAsia="zh-CN"/>
        </w:rPr>
        <w:t>重型柴油车远程在线监控数据分析服务项目</w:t>
      </w:r>
      <w:r>
        <w:rPr>
          <w:rFonts w:hint="default" w:ascii="Times New Roman" w:hAnsi="Times New Roman" w:eastAsia="方正小标宋简体" w:cs="Times New Roman"/>
          <w:b w:val="0"/>
          <w:bCs/>
          <w:color w:val="auto"/>
          <w:sz w:val="32"/>
          <w:szCs w:val="32"/>
        </w:rPr>
        <w:t>的询价信息公告”是否阅知？</w:t>
      </w:r>
    </w:p>
    <w:p w14:paraId="3E95C9E8">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hint="default" w:ascii="Times New Roman" w:hAnsi="Times New Roman" w:eastAsia="方正小标宋简体" w:cs="Times New Roman"/>
          <w:b w:val="0"/>
          <w:bCs/>
          <w:color w:val="auto"/>
          <w:sz w:val="32"/>
          <w:szCs w:val="32"/>
          <w:u w:val="single"/>
        </w:rPr>
      </w:pPr>
      <w:r>
        <w:rPr>
          <w:rFonts w:hint="default" w:ascii="Times New Roman" w:hAnsi="Times New Roman" w:eastAsia="方正小标宋简体" w:cs="Times New Roman"/>
          <w:b w:val="0"/>
          <w:bCs/>
          <w:color w:val="auto"/>
          <w:sz w:val="32"/>
          <w:szCs w:val="32"/>
          <w:u w:val="single"/>
        </w:rPr>
        <w:t xml:space="preserve">             </w:t>
      </w:r>
    </w:p>
    <w:p w14:paraId="6C939B1C">
      <w:pPr>
        <w:pStyle w:val="9"/>
        <w:keepNext w:val="0"/>
        <w:keepLines w:val="0"/>
        <w:pageBreakBefore w:val="0"/>
        <w:widowControl w:val="0"/>
        <w:numPr>
          <w:ilvl w:val="0"/>
          <w:numId w:val="7"/>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方正小标宋简体" w:cs="Times New Roman"/>
          <w:b w:val="0"/>
          <w:bCs/>
          <w:color w:val="auto"/>
          <w:sz w:val="32"/>
          <w:szCs w:val="32"/>
        </w:rPr>
      </w:pPr>
      <w:r>
        <w:rPr>
          <w:rFonts w:hint="default" w:ascii="Times New Roman" w:hAnsi="Times New Roman" w:eastAsia="方正小标宋简体" w:cs="Times New Roman"/>
          <w:b w:val="0"/>
          <w:bCs/>
          <w:color w:val="auto"/>
          <w:sz w:val="32"/>
          <w:szCs w:val="32"/>
        </w:rPr>
        <w:t>我单位官网发布的“</w:t>
      </w:r>
      <w:r>
        <w:rPr>
          <w:rFonts w:hint="default" w:ascii="Times New Roman" w:hAnsi="Times New Roman" w:eastAsia="方正小标宋简体" w:cs="Times New Roman"/>
          <w:b w:val="0"/>
          <w:bCs/>
          <w:sz w:val="32"/>
          <w:szCs w:val="32"/>
        </w:rPr>
        <w:t>石家庄市机动车排污管理中心关于</w:t>
      </w:r>
      <w:r>
        <w:rPr>
          <w:rFonts w:hint="default" w:ascii="Times New Roman" w:hAnsi="Times New Roman" w:eastAsia="方正小标宋简体" w:cs="Times New Roman"/>
          <w:b w:val="0"/>
          <w:bCs/>
          <w:sz w:val="32"/>
          <w:szCs w:val="32"/>
          <w:lang w:eastAsia="zh-CN"/>
        </w:rPr>
        <w:t>重型柴油车远程在线监控数据分析服务项目</w:t>
      </w:r>
      <w:r>
        <w:rPr>
          <w:rFonts w:hint="default" w:ascii="Times New Roman" w:hAnsi="Times New Roman" w:eastAsia="方正小标宋简体" w:cs="Times New Roman"/>
          <w:b w:val="0"/>
          <w:bCs/>
          <w:color w:val="auto"/>
          <w:sz w:val="32"/>
          <w:szCs w:val="32"/>
          <w:lang w:val="en-US" w:eastAsia="zh-CN"/>
        </w:rPr>
        <w:t>询价要求及流程</w:t>
      </w:r>
      <w:r>
        <w:rPr>
          <w:rFonts w:hint="default" w:ascii="Times New Roman" w:hAnsi="Times New Roman" w:eastAsia="方正小标宋简体" w:cs="Times New Roman"/>
          <w:b w:val="0"/>
          <w:bCs/>
          <w:color w:val="auto"/>
          <w:sz w:val="32"/>
          <w:szCs w:val="32"/>
        </w:rPr>
        <w:t>”是否阅知？</w:t>
      </w:r>
    </w:p>
    <w:p w14:paraId="1208650A">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hint="default" w:ascii="Times New Roman" w:hAnsi="Times New Roman" w:eastAsia="方正小标宋简体" w:cs="Times New Roman"/>
          <w:b w:val="0"/>
          <w:bCs/>
          <w:color w:val="auto"/>
          <w:sz w:val="32"/>
          <w:szCs w:val="32"/>
          <w:u w:val="single"/>
        </w:rPr>
      </w:pPr>
      <w:r>
        <w:rPr>
          <w:rFonts w:hint="default" w:ascii="Times New Roman" w:hAnsi="Times New Roman" w:eastAsia="方正小标宋简体" w:cs="Times New Roman"/>
          <w:b w:val="0"/>
          <w:bCs/>
          <w:color w:val="auto"/>
          <w:sz w:val="32"/>
          <w:szCs w:val="32"/>
          <w:u w:val="single"/>
        </w:rPr>
        <w:t xml:space="preserve">              </w:t>
      </w:r>
    </w:p>
    <w:p w14:paraId="4A49ED43">
      <w:pPr>
        <w:pStyle w:val="9"/>
        <w:keepNext w:val="0"/>
        <w:keepLines w:val="0"/>
        <w:pageBreakBefore w:val="0"/>
        <w:widowControl w:val="0"/>
        <w:numPr>
          <w:ilvl w:val="0"/>
          <w:numId w:val="7"/>
        </w:numPr>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方正小标宋简体" w:cs="Times New Roman"/>
          <w:b w:val="0"/>
          <w:bCs/>
          <w:color w:val="auto"/>
          <w:sz w:val="32"/>
          <w:szCs w:val="32"/>
        </w:rPr>
      </w:pPr>
      <w:r>
        <w:rPr>
          <w:rFonts w:hint="default" w:ascii="Times New Roman" w:hAnsi="Times New Roman" w:eastAsia="方正小标宋简体" w:cs="Times New Roman"/>
          <w:b w:val="0"/>
          <w:bCs/>
          <w:color w:val="auto"/>
          <w:sz w:val="32"/>
          <w:szCs w:val="32"/>
        </w:rPr>
        <w:t>我单位官网发布的“</w:t>
      </w:r>
      <w:r>
        <w:rPr>
          <w:rFonts w:hint="default" w:ascii="Times New Roman" w:hAnsi="Times New Roman" w:eastAsia="方正小标宋简体" w:cs="Times New Roman"/>
          <w:b w:val="0"/>
          <w:bCs/>
          <w:sz w:val="32"/>
          <w:szCs w:val="32"/>
        </w:rPr>
        <w:t>石家庄市机动车排污管理中心关于</w:t>
      </w:r>
      <w:r>
        <w:rPr>
          <w:rFonts w:hint="default" w:ascii="Times New Roman" w:hAnsi="Times New Roman" w:eastAsia="方正小标宋简体" w:cs="Times New Roman"/>
          <w:b w:val="0"/>
          <w:bCs/>
          <w:sz w:val="32"/>
          <w:szCs w:val="32"/>
          <w:lang w:eastAsia="zh-CN"/>
        </w:rPr>
        <w:t>重型柴油车远程在线监控数据分析服务项目</w:t>
      </w:r>
      <w:r>
        <w:rPr>
          <w:rFonts w:hint="default" w:ascii="Times New Roman" w:hAnsi="Times New Roman" w:eastAsia="方正小标宋简体" w:cs="Times New Roman"/>
          <w:b w:val="0"/>
          <w:bCs/>
          <w:color w:val="auto"/>
          <w:sz w:val="32"/>
          <w:szCs w:val="32"/>
        </w:rPr>
        <w:t>”采购需求是否阅知？</w:t>
      </w:r>
    </w:p>
    <w:p w14:paraId="45562D59">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hint="default" w:ascii="Times New Roman" w:hAnsi="Times New Roman" w:eastAsia="方正小标宋简体" w:cs="Times New Roman"/>
          <w:b w:val="0"/>
          <w:bCs/>
          <w:color w:val="auto"/>
          <w:sz w:val="32"/>
          <w:szCs w:val="32"/>
          <w:u w:val="single"/>
        </w:rPr>
      </w:pPr>
      <w:r>
        <w:rPr>
          <w:rFonts w:hint="default" w:ascii="Times New Roman" w:hAnsi="Times New Roman" w:eastAsia="方正小标宋简体" w:cs="Times New Roman"/>
          <w:b w:val="0"/>
          <w:bCs/>
          <w:color w:val="auto"/>
          <w:sz w:val="32"/>
          <w:szCs w:val="32"/>
          <w:u w:val="single"/>
        </w:rPr>
        <w:t xml:space="preserve">             </w:t>
      </w:r>
    </w:p>
    <w:p w14:paraId="1A65D52F">
      <w:pPr>
        <w:pStyle w:val="9"/>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hint="default" w:ascii="Times New Roman" w:hAnsi="Times New Roman" w:eastAsia="方正小标宋简体" w:cs="Times New Roman"/>
          <w:b w:val="0"/>
          <w:bCs/>
          <w:color w:val="auto"/>
          <w:sz w:val="32"/>
          <w:szCs w:val="32"/>
          <w:u w:val="single"/>
        </w:rPr>
      </w:pPr>
    </w:p>
    <w:p w14:paraId="37245636">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default" w:ascii="Times New Roman" w:hAnsi="Times New Roman" w:eastAsia="方正小标宋简体" w:cs="Times New Roman"/>
          <w:b w:val="0"/>
          <w:bCs/>
          <w:color w:val="auto"/>
          <w:sz w:val="32"/>
          <w:szCs w:val="32"/>
          <w:u w:val="single"/>
        </w:rPr>
      </w:pPr>
      <w:r>
        <w:rPr>
          <w:rFonts w:hint="default" w:ascii="Times New Roman" w:hAnsi="Times New Roman" w:eastAsia="方正小标宋简体" w:cs="Times New Roman"/>
          <w:b w:val="0"/>
          <w:bCs/>
          <w:color w:val="auto"/>
          <w:sz w:val="32"/>
          <w:szCs w:val="32"/>
        </w:rPr>
        <w:t>报价单位（公章）：</w:t>
      </w:r>
      <w:r>
        <w:rPr>
          <w:rFonts w:hint="default" w:ascii="Times New Roman" w:hAnsi="Times New Roman" w:eastAsia="方正小标宋简体" w:cs="Times New Roman"/>
          <w:b w:val="0"/>
          <w:bCs/>
          <w:color w:val="auto"/>
          <w:sz w:val="32"/>
          <w:szCs w:val="32"/>
          <w:u w:val="single"/>
        </w:rPr>
        <w:t xml:space="preserve">                               </w:t>
      </w:r>
    </w:p>
    <w:p w14:paraId="3AA43A91">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default" w:ascii="Times New Roman" w:hAnsi="Times New Roman" w:eastAsia="方正小标宋简体" w:cs="Times New Roman"/>
          <w:b w:val="0"/>
          <w:bCs/>
          <w:color w:val="auto"/>
          <w:sz w:val="32"/>
          <w:szCs w:val="32"/>
          <w:u w:val="single"/>
        </w:rPr>
      </w:pPr>
    </w:p>
    <w:p w14:paraId="75F1FD62">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default" w:ascii="Times New Roman" w:hAnsi="Times New Roman" w:eastAsia="方正小标宋简体" w:cs="Times New Roman"/>
          <w:b w:val="0"/>
          <w:bCs/>
          <w:color w:val="auto"/>
          <w:sz w:val="32"/>
          <w:szCs w:val="32"/>
        </w:rPr>
      </w:pPr>
      <w:r>
        <w:rPr>
          <w:rFonts w:hint="default" w:ascii="Times New Roman" w:hAnsi="Times New Roman" w:eastAsia="方正小标宋简体" w:cs="Times New Roman"/>
          <w:b w:val="0"/>
          <w:bCs/>
          <w:color w:val="auto"/>
          <w:sz w:val="32"/>
          <w:szCs w:val="32"/>
        </w:rPr>
        <w:t>委托代理人（签字）：</w:t>
      </w:r>
    </w:p>
    <w:p w14:paraId="6F4CC5C4">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default" w:ascii="Times New Roman" w:hAnsi="Times New Roman" w:eastAsia="方正小标宋简体" w:cs="Times New Roman"/>
          <w:b w:val="0"/>
          <w:bCs/>
          <w:color w:val="auto"/>
          <w:sz w:val="32"/>
          <w:szCs w:val="32"/>
        </w:rPr>
      </w:pPr>
    </w:p>
    <w:p w14:paraId="5AECB6D5">
      <w:pPr>
        <w:pStyle w:val="9"/>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default" w:ascii="Times New Roman" w:hAnsi="Times New Roman" w:eastAsia="方正小标宋_GBK" w:cs="Times New Roman"/>
          <w:b w:val="0"/>
          <w:bCs/>
          <w:color w:val="auto"/>
          <w:sz w:val="32"/>
          <w:szCs w:val="32"/>
          <w:lang w:val="en-US" w:eastAsia="zh-CN"/>
        </w:rPr>
      </w:pPr>
      <w:r>
        <w:rPr>
          <w:rFonts w:hint="default" w:ascii="Times New Roman" w:hAnsi="Times New Roman" w:eastAsia="方正小标宋简体" w:cs="Times New Roman"/>
          <w:b w:val="0"/>
          <w:bCs/>
          <w:color w:val="auto"/>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KSOFE4500885">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CC3BD5">
    <w:pPr>
      <w:pStyle w:val="13"/>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27872">
    <w:pPr>
      <w:pStyle w:val="13"/>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1721C">
    <w:pPr>
      <w:pStyle w:val="13"/>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2B1745">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8DFDE">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4"/>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3">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4">
    <w:nsid w:val="5912EC30"/>
    <w:multiLevelType w:val="singleLevel"/>
    <w:tmpl w:val="5912EC30"/>
    <w:lvl w:ilvl="0" w:tentative="0">
      <w:start w:val="1"/>
      <w:numFmt w:val="decimal"/>
      <w:suff w:val="nothing"/>
      <w:lvlText w:val="%1．"/>
      <w:lvlJc w:val="left"/>
      <w:pPr>
        <w:ind w:left="0" w:firstLine="400"/>
      </w:pPr>
      <w:rPr>
        <w:rFonts w:hint="default"/>
      </w:rPr>
    </w:lvl>
  </w:abstractNum>
  <w:abstractNum w:abstractNumId="5">
    <w:nsid w:val="5B837B76"/>
    <w:multiLevelType w:val="singleLevel"/>
    <w:tmpl w:val="5B837B76"/>
    <w:lvl w:ilvl="0" w:tentative="0">
      <w:start w:val="1"/>
      <w:numFmt w:val="decimal"/>
      <w:suff w:val="nothing"/>
      <w:lvlText w:val="%1．"/>
      <w:lvlJc w:val="left"/>
      <w:pPr>
        <w:ind w:left="0" w:firstLine="400"/>
      </w:pPr>
      <w:rPr>
        <w:rFonts w:hint="default"/>
      </w:rPr>
    </w:lvl>
  </w:abstractNum>
  <w:abstractNum w:abstractNumId="6">
    <w:nsid w:val="797E3A2C"/>
    <w:multiLevelType w:val="singleLevel"/>
    <w:tmpl w:val="797E3A2C"/>
    <w:lvl w:ilvl="0" w:tentative="0">
      <w:start w:val="1"/>
      <w:numFmt w:val="decimal"/>
      <w:suff w:val="nothing"/>
      <w:lvlText w:val="%1．"/>
      <w:lvlJc w:val="left"/>
      <w:pPr>
        <w:ind w:left="0" w:firstLine="400"/>
      </w:pPr>
      <w:rPr>
        <w:rFonts w:hint="default"/>
      </w:rPr>
    </w:lvl>
  </w:abstractNum>
  <w:num w:numId="1">
    <w:abstractNumId w:val="0"/>
  </w:num>
  <w:num w:numId="2">
    <w:abstractNumId w:val="6"/>
  </w:num>
  <w:num w:numId="3">
    <w:abstractNumId w:val="5"/>
  </w:num>
  <w:num w:numId="4">
    <w:abstractNumId w:val="2"/>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YyNzRhMWQ2MDA1ZmZkYjEwNTlhMTVjZjQyNGYzNjc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71FB0"/>
    <w:rsid w:val="00DA3B74"/>
    <w:rsid w:val="00DE3410"/>
    <w:rsid w:val="00DE57BA"/>
    <w:rsid w:val="00DE737C"/>
    <w:rsid w:val="00EB5E32"/>
    <w:rsid w:val="00FD79A8"/>
    <w:rsid w:val="00FE2C98"/>
    <w:rsid w:val="01D53C37"/>
    <w:rsid w:val="01FE1BB8"/>
    <w:rsid w:val="02B80751"/>
    <w:rsid w:val="034E7427"/>
    <w:rsid w:val="05145058"/>
    <w:rsid w:val="054637EC"/>
    <w:rsid w:val="05AA1AAE"/>
    <w:rsid w:val="05C20325"/>
    <w:rsid w:val="06FF4152"/>
    <w:rsid w:val="0AD51908"/>
    <w:rsid w:val="0BA31992"/>
    <w:rsid w:val="0C63233E"/>
    <w:rsid w:val="0CD60C9A"/>
    <w:rsid w:val="0E7A5FCC"/>
    <w:rsid w:val="0E88796A"/>
    <w:rsid w:val="0EC0759D"/>
    <w:rsid w:val="0EDF32A9"/>
    <w:rsid w:val="10215F19"/>
    <w:rsid w:val="105B6A84"/>
    <w:rsid w:val="10BD0069"/>
    <w:rsid w:val="10E34450"/>
    <w:rsid w:val="11E76B9F"/>
    <w:rsid w:val="12684593"/>
    <w:rsid w:val="12DA0A88"/>
    <w:rsid w:val="1320369B"/>
    <w:rsid w:val="13325751"/>
    <w:rsid w:val="135D040F"/>
    <w:rsid w:val="13621EEC"/>
    <w:rsid w:val="138564F0"/>
    <w:rsid w:val="13AA5E2B"/>
    <w:rsid w:val="13C8190F"/>
    <w:rsid w:val="13D73627"/>
    <w:rsid w:val="13E41600"/>
    <w:rsid w:val="157A2AA0"/>
    <w:rsid w:val="15A52F2E"/>
    <w:rsid w:val="17C821C3"/>
    <w:rsid w:val="18C563ED"/>
    <w:rsid w:val="194A05B4"/>
    <w:rsid w:val="1AC66850"/>
    <w:rsid w:val="1B3C6692"/>
    <w:rsid w:val="1B8D5C41"/>
    <w:rsid w:val="1E486234"/>
    <w:rsid w:val="1F012D15"/>
    <w:rsid w:val="1F6623C1"/>
    <w:rsid w:val="1FB0031C"/>
    <w:rsid w:val="1FF40938"/>
    <w:rsid w:val="20304FD0"/>
    <w:rsid w:val="204E102B"/>
    <w:rsid w:val="2095319D"/>
    <w:rsid w:val="213868ED"/>
    <w:rsid w:val="219A57C2"/>
    <w:rsid w:val="222840E4"/>
    <w:rsid w:val="22DF2C0B"/>
    <w:rsid w:val="238D0876"/>
    <w:rsid w:val="23973171"/>
    <w:rsid w:val="24BB6482"/>
    <w:rsid w:val="275D3454"/>
    <w:rsid w:val="27D2138F"/>
    <w:rsid w:val="2805730B"/>
    <w:rsid w:val="28D94CC5"/>
    <w:rsid w:val="28E145A1"/>
    <w:rsid w:val="2901229F"/>
    <w:rsid w:val="29BC1BEA"/>
    <w:rsid w:val="2A962289"/>
    <w:rsid w:val="2B1B53F5"/>
    <w:rsid w:val="2B57444A"/>
    <w:rsid w:val="2BCD7650"/>
    <w:rsid w:val="2C770D7D"/>
    <w:rsid w:val="2D5A65C5"/>
    <w:rsid w:val="2D7F55C2"/>
    <w:rsid w:val="2DEB62CF"/>
    <w:rsid w:val="2E922A59"/>
    <w:rsid w:val="2EB57CCE"/>
    <w:rsid w:val="2F811C83"/>
    <w:rsid w:val="2F9013C2"/>
    <w:rsid w:val="3108454D"/>
    <w:rsid w:val="3156643E"/>
    <w:rsid w:val="32BC67A5"/>
    <w:rsid w:val="32D76267"/>
    <w:rsid w:val="332609ED"/>
    <w:rsid w:val="33433250"/>
    <w:rsid w:val="346A24A1"/>
    <w:rsid w:val="36336D3C"/>
    <w:rsid w:val="37664A4B"/>
    <w:rsid w:val="376A10BB"/>
    <w:rsid w:val="37D31B27"/>
    <w:rsid w:val="3A3F6D53"/>
    <w:rsid w:val="3A9F725A"/>
    <w:rsid w:val="3B2535D0"/>
    <w:rsid w:val="3C3314A1"/>
    <w:rsid w:val="3C771D8C"/>
    <w:rsid w:val="3DE94E2A"/>
    <w:rsid w:val="3E5A0659"/>
    <w:rsid w:val="3ED04B63"/>
    <w:rsid w:val="3F345B9D"/>
    <w:rsid w:val="3FC2791B"/>
    <w:rsid w:val="3FCD703E"/>
    <w:rsid w:val="403959A7"/>
    <w:rsid w:val="412D7C28"/>
    <w:rsid w:val="42B43088"/>
    <w:rsid w:val="44127729"/>
    <w:rsid w:val="451838F8"/>
    <w:rsid w:val="45330549"/>
    <w:rsid w:val="476D36D0"/>
    <w:rsid w:val="47D64CBF"/>
    <w:rsid w:val="486D2B74"/>
    <w:rsid w:val="48BA422E"/>
    <w:rsid w:val="49862862"/>
    <w:rsid w:val="4A103E4C"/>
    <w:rsid w:val="4B34396A"/>
    <w:rsid w:val="4B562B1E"/>
    <w:rsid w:val="4C900CC1"/>
    <w:rsid w:val="4D4E52B1"/>
    <w:rsid w:val="4DA169F8"/>
    <w:rsid w:val="4E276751"/>
    <w:rsid w:val="4E486040"/>
    <w:rsid w:val="50120259"/>
    <w:rsid w:val="5096171E"/>
    <w:rsid w:val="50FD61CC"/>
    <w:rsid w:val="52B30142"/>
    <w:rsid w:val="52B34A6D"/>
    <w:rsid w:val="535165EE"/>
    <w:rsid w:val="53EA4A51"/>
    <w:rsid w:val="545E3EDB"/>
    <w:rsid w:val="546A57C4"/>
    <w:rsid w:val="54BD7D6C"/>
    <w:rsid w:val="54E16872"/>
    <w:rsid w:val="55223BCA"/>
    <w:rsid w:val="553E2D0A"/>
    <w:rsid w:val="56561DB1"/>
    <w:rsid w:val="5692360D"/>
    <w:rsid w:val="569F214B"/>
    <w:rsid w:val="580426D3"/>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3E14C55"/>
    <w:rsid w:val="64481E81"/>
    <w:rsid w:val="645131D3"/>
    <w:rsid w:val="64527F8F"/>
    <w:rsid w:val="659C40EE"/>
    <w:rsid w:val="66302E0F"/>
    <w:rsid w:val="672B0915"/>
    <w:rsid w:val="67AB00FD"/>
    <w:rsid w:val="67BE26CC"/>
    <w:rsid w:val="680A67C8"/>
    <w:rsid w:val="68837F16"/>
    <w:rsid w:val="68E07AEE"/>
    <w:rsid w:val="69006831"/>
    <w:rsid w:val="698E4E85"/>
    <w:rsid w:val="6A4A6515"/>
    <w:rsid w:val="6A640F76"/>
    <w:rsid w:val="6DD00BA9"/>
    <w:rsid w:val="6E1C437F"/>
    <w:rsid w:val="6E2C46FB"/>
    <w:rsid w:val="6F125D61"/>
    <w:rsid w:val="700D25CF"/>
    <w:rsid w:val="70642025"/>
    <w:rsid w:val="70F652BC"/>
    <w:rsid w:val="71407CFA"/>
    <w:rsid w:val="726C6ADB"/>
    <w:rsid w:val="7358413B"/>
    <w:rsid w:val="737A4760"/>
    <w:rsid w:val="74066F72"/>
    <w:rsid w:val="74AD57A4"/>
    <w:rsid w:val="751F4904"/>
    <w:rsid w:val="759706CC"/>
    <w:rsid w:val="762941A2"/>
    <w:rsid w:val="76536B40"/>
    <w:rsid w:val="76D36788"/>
    <w:rsid w:val="77D53717"/>
    <w:rsid w:val="784D55E5"/>
    <w:rsid w:val="7AD24DB9"/>
    <w:rsid w:val="7B584447"/>
    <w:rsid w:val="7C115EE7"/>
    <w:rsid w:val="7D242C86"/>
    <w:rsid w:val="7D850C64"/>
    <w:rsid w:val="7DBE5B9D"/>
    <w:rsid w:val="7E1A6E9E"/>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autoRedefine/>
    <w:qFormat/>
    <w:uiPriority w:val="0"/>
    <w:pPr>
      <w:keepNext/>
      <w:jc w:val="left"/>
      <w:outlineLvl w:val="0"/>
    </w:pPr>
    <w:rPr>
      <w:rFonts w:ascii="宋体" w:hAnsi="宋体"/>
      <w:b/>
      <w:sz w:val="32"/>
      <w:szCs w:val="20"/>
    </w:rPr>
  </w:style>
  <w:style w:type="paragraph" w:styleId="3">
    <w:name w:val="heading 2"/>
    <w:basedOn w:val="1"/>
    <w:next w:val="1"/>
    <w:autoRedefine/>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4">
    <w:name w:val="heading 3"/>
    <w:basedOn w:val="1"/>
    <w:next w:val="1"/>
    <w:autoRedefine/>
    <w:unhideWhenUsed/>
    <w:qFormat/>
    <w:uiPriority w:val="0"/>
    <w:pPr>
      <w:keepNext/>
      <w:keepLines/>
      <w:numPr>
        <w:ilvl w:val="2"/>
        <w:numId w:val="1"/>
      </w:numPr>
      <w:spacing w:before="240" w:after="240"/>
      <w:jc w:val="left"/>
      <w:outlineLvl w:val="2"/>
    </w:pPr>
    <w:rPr>
      <w:bCs/>
      <w:szCs w:val="32"/>
    </w:rPr>
  </w:style>
  <w:style w:type="paragraph" w:styleId="5">
    <w:name w:val="heading 4"/>
    <w:basedOn w:val="1"/>
    <w:next w:val="1"/>
    <w:autoRedefine/>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6">
    <w:name w:val="heading 5"/>
    <w:basedOn w:val="1"/>
    <w:next w:val="1"/>
    <w:autoRedefine/>
    <w:unhideWhenUsed/>
    <w:qFormat/>
    <w:uiPriority w:val="0"/>
    <w:pPr>
      <w:keepNext/>
      <w:keepLines/>
      <w:spacing w:before="280" w:after="290" w:line="376" w:lineRule="atLeast"/>
      <w:outlineLvl w:val="4"/>
    </w:pPr>
    <w:rPr>
      <w:bCs/>
      <w:szCs w:val="28"/>
    </w:rPr>
  </w:style>
  <w:style w:type="character" w:default="1" w:styleId="27">
    <w:name w:val="Default Paragraph Font"/>
    <w:autoRedefine/>
    <w:unhideWhenUsed/>
    <w:qFormat/>
    <w:uiPriority w:val="1"/>
  </w:style>
  <w:style w:type="table" w:default="1" w:styleId="25">
    <w:name w:val="Normal Table"/>
    <w:autoRedefine/>
    <w:unhideWhenUsed/>
    <w:qFormat/>
    <w:uiPriority w:val="99"/>
    <w:tblPr>
      <w:tblCellMar>
        <w:top w:w="0" w:type="dxa"/>
        <w:left w:w="108" w:type="dxa"/>
        <w:bottom w:w="0" w:type="dxa"/>
        <w:right w:w="108" w:type="dxa"/>
      </w:tblCellMar>
    </w:tblPr>
  </w:style>
  <w:style w:type="paragraph" w:styleId="7">
    <w:name w:val="Normal Indent"/>
    <w:basedOn w:val="1"/>
    <w:autoRedefine/>
    <w:qFormat/>
    <w:uiPriority w:val="0"/>
    <w:pPr>
      <w:spacing w:line="360" w:lineRule="auto"/>
      <w:ind w:firstLine="420"/>
    </w:pPr>
    <w:rPr>
      <w:szCs w:val="20"/>
    </w:rPr>
  </w:style>
  <w:style w:type="paragraph" w:styleId="8">
    <w:name w:val="annotation text"/>
    <w:basedOn w:val="1"/>
    <w:link w:val="41"/>
    <w:autoRedefine/>
    <w:qFormat/>
    <w:uiPriority w:val="0"/>
    <w:pPr>
      <w:jc w:val="left"/>
    </w:pPr>
  </w:style>
  <w:style w:type="paragraph" w:styleId="9">
    <w:name w:val="Body Text"/>
    <w:basedOn w:val="1"/>
    <w:next w:val="10"/>
    <w:autoRedefine/>
    <w:qFormat/>
    <w:uiPriority w:val="0"/>
    <w:pPr>
      <w:jc w:val="center"/>
    </w:pPr>
    <w:rPr>
      <w:rFonts w:ascii="宋体"/>
      <w:b/>
      <w:sz w:val="48"/>
    </w:rPr>
  </w:style>
  <w:style w:type="paragraph" w:styleId="10">
    <w:name w:val="Body Text First Indent"/>
    <w:basedOn w:val="9"/>
    <w:next w:val="11"/>
    <w:autoRedefine/>
    <w:unhideWhenUsed/>
    <w:qFormat/>
    <w:uiPriority w:val="99"/>
    <w:pPr>
      <w:ind w:firstLine="420" w:firstLineChars="100"/>
    </w:pPr>
  </w:style>
  <w:style w:type="paragraph" w:styleId="11">
    <w:name w:val="Body Text First Indent 2"/>
    <w:basedOn w:val="12"/>
    <w:next w:val="14"/>
    <w:autoRedefine/>
    <w:unhideWhenUsed/>
    <w:qFormat/>
    <w:uiPriority w:val="99"/>
    <w:pPr>
      <w:ind w:firstLine="420" w:firstLineChars="200"/>
    </w:pPr>
  </w:style>
  <w:style w:type="paragraph" w:styleId="12">
    <w:name w:val="Body Text Indent"/>
    <w:basedOn w:val="1"/>
    <w:next w:val="13"/>
    <w:autoRedefine/>
    <w:unhideWhenUsed/>
    <w:qFormat/>
    <w:uiPriority w:val="99"/>
    <w:pPr>
      <w:spacing w:after="120"/>
      <w:ind w:left="420" w:leftChars="200"/>
    </w:pPr>
    <w:rPr>
      <w:rFonts w:ascii="Times New Roman" w:hAnsi="Times New Roman" w:eastAsia="宋体" w:cs="Times New Roman"/>
      <w:szCs w:val="24"/>
    </w:rPr>
  </w:style>
  <w:style w:type="paragraph" w:styleId="13">
    <w:name w:val="footer"/>
    <w:basedOn w:val="1"/>
    <w:next w:val="11"/>
    <w:autoRedefine/>
    <w:qFormat/>
    <w:uiPriority w:val="0"/>
    <w:pPr>
      <w:tabs>
        <w:tab w:val="center" w:pos="4153"/>
        <w:tab w:val="right" w:pos="8306"/>
      </w:tabs>
      <w:snapToGrid w:val="0"/>
      <w:jc w:val="left"/>
    </w:pPr>
    <w:rPr>
      <w:sz w:val="18"/>
    </w:rPr>
  </w:style>
  <w:style w:type="paragraph" w:styleId="14">
    <w:name w:val="List Continue"/>
    <w:basedOn w:val="1"/>
    <w:next w:val="10"/>
    <w:autoRedefine/>
    <w:qFormat/>
    <w:uiPriority w:val="0"/>
    <w:pPr>
      <w:spacing w:after="120"/>
      <w:ind w:left="420" w:firstLine="3584"/>
    </w:pPr>
  </w:style>
  <w:style w:type="paragraph" w:styleId="15">
    <w:name w:val="toc 3"/>
    <w:basedOn w:val="1"/>
    <w:next w:val="1"/>
    <w:autoRedefine/>
    <w:qFormat/>
    <w:uiPriority w:val="0"/>
    <w:pPr>
      <w:spacing w:line="400" w:lineRule="exact"/>
      <w:ind w:left="420"/>
      <w:jc w:val="left"/>
    </w:pPr>
    <w:rPr>
      <w:rFonts w:ascii="仿宋_GB2312" w:eastAsia="仿宋_GB2312"/>
      <w:i/>
      <w:iCs/>
      <w:spacing w:val="-20"/>
      <w:sz w:val="13"/>
      <w:szCs w:val="13"/>
    </w:rPr>
  </w:style>
  <w:style w:type="paragraph" w:styleId="16">
    <w:name w:val="Plain Text"/>
    <w:basedOn w:val="1"/>
    <w:autoRedefine/>
    <w:unhideWhenUsed/>
    <w:qFormat/>
    <w:uiPriority w:val="99"/>
    <w:rPr>
      <w:rFonts w:ascii="宋体" w:hAnsi="Courier New" w:eastAsia="宋体" w:cs="Courier New"/>
      <w:kern w:val="2"/>
      <w:szCs w:val="21"/>
      <w:lang w:eastAsia="zh-CN"/>
    </w:rPr>
  </w:style>
  <w:style w:type="paragraph" w:styleId="17">
    <w:name w:val="Balloon Text"/>
    <w:basedOn w:val="1"/>
    <w:link w:val="43"/>
    <w:autoRedefine/>
    <w:qFormat/>
    <w:uiPriority w:val="0"/>
    <w:rPr>
      <w:sz w:val="18"/>
      <w:szCs w:val="18"/>
    </w:rPr>
  </w:style>
  <w:style w:type="paragraph" w:styleId="18">
    <w:name w:val="header"/>
    <w:basedOn w:val="1"/>
    <w:autoRedefine/>
    <w:qFormat/>
    <w:uiPriority w:val="0"/>
    <w:pPr>
      <w:pBdr>
        <w:bottom w:val="single" w:color="auto" w:sz="6" w:space="1"/>
      </w:pBdr>
      <w:tabs>
        <w:tab w:val="center" w:pos="4153"/>
        <w:tab w:val="right" w:pos="8306"/>
      </w:tabs>
      <w:snapToGrid w:val="0"/>
      <w:jc w:val="center"/>
    </w:pPr>
    <w:rPr>
      <w:sz w:val="18"/>
      <w:szCs w:val="18"/>
    </w:rPr>
  </w:style>
  <w:style w:type="paragraph" w:styleId="19">
    <w:name w:val="toc 1"/>
    <w:basedOn w:val="1"/>
    <w:next w:val="1"/>
    <w:autoRedefine/>
    <w:qFormat/>
    <w:uiPriority w:val="0"/>
    <w:pPr>
      <w:spacing w:before="120" w:after="120"/>
      <w:jc w:val="left"/>
    </w:pPr>
    <w:rPr>
      <w:b/>
      <w:bCs/>
      <w:caps/>
    </w:rPr>
  </w:style>
  <w:style w:type="paragraph" w:styleId="20">
    <w:name w:val="toc 4"/>
    <w:basedOn w:val="1"/>
    <w:next w:val="1"/>
    <w:autoRedefine/>
    <w:qFormat/>
    <w:uiPriority w:val="0"/>
    <w:pPr>
      <w:ind w:left="1260" w:leftChars="600"/>
    </w:pPr>
  </w:style>
  <w:style w:type="paragraph" w:styleId="21">
    <w:name w:val="Body Text Indent 3"/>
    <w:basedOn w:val="1"/>
    <w:autoRedefine/>
    <w:qFormat/>
    <w:uiPriority w:val="0"/>
    <w:pPr>
      <w:ind w:firstLine="560" w:firstLineChars="200"/>
    </w:pPr>
    <w:rPr>
      <w:rFonts w:ascii="仿宋_GB2312" w:eastAsia="仿宋_GB2312"/>
      <w:sz w:val="28"/>
    </w:rPr>
  </w:style>
  <w:style w:type="paragraph" w:styleId="22">
    <w:name w:val="toc 2"/>
    <w:basedOn w:val="1"/>
    <w:next w:val="1"/>
    <w:autoRedefine/>
    <w:qFormat/>
    <w:uiPriority w:val="0"/>
    <w:pPr>
      <w:tabs>
        <w:tab w:val="right" w:leader="dot" w:pos="9038"/>
      </w:tabs>
      <w:spacing w:line="60" w:lineRule="atLeast"/>
      <w:ind w:left="210"/>
      <w:jc w:val="left"/>
    </w:pPr>
    <w:rPr>
      <w:smallCaps/>
    </w:rPr>
  </w:style>
  <w:style w:type="paragraph" w:styleId="23">
    <w:name w:val="Normal (Web)"/>
    <w:basedOn w:val="1"/>
    <w:autoRedefine/>
    <w:qFormat/>
    <w:uiPriority w:val="0"/>
    <w:rPr>
      <w:rFonts w:ascii="Calibri" w:hAnsi="Calibri" w:eastAsia="宋体" w:cs="Times New Roman"/>
      <w:sz w:val="24"/>
    </w:rPr>
  </w:style>
  <w:style w:type="paragraph" w:styleId="24">
    <w:name w:val="annotation subject"/>
    <w:basedOn w:val="8"/>
    <w:next w:val="8"/>
    <w:link w:val="42"/>
    <w:autoRedefine/>
    <w:qFormat/>
    <w:uiPriority w:val="0"/>
    <w:rPr>
      <w:b/>
      <w:bCs/>
    </w:rPr>
  </w:style>
  <w:style w:type="table" w:styleId="26">
    <w:name w:val="Table Grid"/>
    <w:basedOn w:val="25"/>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page number"/>
    <w:basedOn w:val="27"/>
    <w:autoRedefine/>
    <w:qFormat/>
    <w:uiPriority w:val="0"/>
  </w:style>
  <w:style w:type="character" w:styleId="29">
    <w:name w:val="Hyperlink"/>
    <w:basedOn w:val="27"/>
    <w:autoRedefine/>
    <w:qFormat/>
    <w:uiPriority w:val="0"/>
    <w:rPr>
      <w:color w:val="0000FF"/>
      <w:u w:val="single"/>
    </w:rPr>
  </w:style>
  <w:style w:type="character" w:styleId="30">
    <w:name w:val="annotation reference"/>
    <w:basedOn w:val="27"/>
    <w:autoRedefine/>
    <w:qFormat/>
    <w:uiPriority w:val="0"/>
    <w:rPr>
      <w:sz w:val="21"/>
      <w:szCs w:val="21"/>
    </w:rPr>
  </w:style>
  <w:style w:type="paragraph" w:customStyle="1" w:styleId="31">
    <w:name w:val="Char"/>
    <w:basedOn w:val="1"/>
    <w:autoRedefine/>
    <w:qFormat/>
    <w:uiPriority w:val="0"/>
    <w:rPr>
      <w:szCs w:val="20"/>
    </w:rPr>
  </w:style>
  <w:style w:type="paragraph" w:customStyle="1" w:styleId="32">
    <w:name w:val="表格文字"/>
    <w:basedOn w:val="1"/>
    <w:next w:val="9"/>
    <w:autoRedefine/>
    <w:qFormat/>
    <w:uiPriority w:val="0"/>
    <w:pPr>
      <w:spacing w:line="360" w:lineRule="auto"/>
      <w:jc w:val="left"/>
    </w:pPr>
    <w:rPr>
      <w:rFonts w:ascii="Times New Roman" w:hAnsi="Times New Roman"/>
      <w:bCs/>
      <w:spacing w:val="10"/>
      <w:kern w:val="0"/>
      <w:szCs w:val="21"/>
    </w:rPr>
  </w:style>
  <w:style w:type="paragraph" w:customStyle="1" w:styleId="33">
    <w:name w:val="正文1"/>
    <w:basedOn w:val="34"/>
    <w:autoRedefine/>
    <w:qFormat/>
    <w:uiPriority w:val="0"/>
    <w:pPr>
      <w:jc w:val="both"/>
    </w:pPr>
    <w:rPr>
      <w:rFonts w:ascii="Times New Roman" w:hAnsi="Times New Roman" w:eastAsia="Times New Roman"/>
      <w:sz w:val="21"/>
    </w:rPr>
  </w:style>
  <w:style w:type="paragraph" w:customStyle="1" w:styleId="34">
    <w:name w:val="[Normal]"/>
    <w:autoRedefine/>
    <w:qFormat/>
    <w:uiPriority w:val="0"/>
    <w:rPr>
      <w:rFonts w:ascii="宋体" w:hAnsi="宋体" w:eastAsiaTheme="minorEastAsia" w:cstheme="minorBidi"/>
      <w:sz w:val="24"/>
      <w:szCs w:val="22"/>
      <w:lang w:val="en-US" w:eastAsia="en-US" w:bidi="ar-SA"/>
    </w:rPr>
  </w:style>
  <w:style w:type="paragraph" w:customStyle="1" w:styleId="35">
    <w:name w:val="正文采用"/>
    <w:autoRedefine/>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6">
    <w:name w:val="C503-正文格式"/>
    <w:basedOn w:val="1"/>
    <w:autoRedefine/>
    <w:qFormat/>
    <w:uiPriority w:val="0"/>
    <w:pPr>
      <w:spacing w:line="360" w:lineRule="auto"/>
      <w:ind w:firstLine="480" w:firstLineChars="200"/>
    </w:pPr>
    <w:rPr>
      <w:rFonts w:cs="宋体"/>
      <w:sz w:val="24"/>
      <w:szCs w:val="22"/>
    </w:rPr>
  </w:style>
  <w:style w:type="character" w:customStyle="1" w:styleId="37">
    <w:name w:val="font51"/>
    <w:basedOn w:val="27"/>
    <w:autoRedefine/>
    <w:qFormat/>
    <w:uiPriority w:val="0"/>
    <w:rPr>
      <w:rFonts w:hint="eastAsia" w:ascii="仿宋" w:hAnsi="仿宋" w:eastAsia="仿宋" w:cs="仿宋"/>
      <w:color w:val="000000"/>
      <w:sz w:val="22"/>
      <w:szCs w:val="22"/>
      <w:u w:val="none"/>
    </w:rPr>
  </w:style>
  <w:style w:type="table" w:customStyle="1" w:styleId="38">
    <w:name w:val="网格型8"/>
    <w:basedOn w:val="25"/>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9">
    <w:name w:val="列出段落1"/>
    <w:basedOn w:val="1"/>
    <w:autoRedefine/>
    <w:qFormat/>
    <w:uiPriority w:val="34"/>
    <w:pPr>
      <w:ind w:firstLine="420"/>
    </w:pPr>
  </w:style>
  <w:style w:type="character" w:customStyle="1" w:styleId="40">
    <w:name w:val="font31"/>
    <w:basedOn w:val="27"/>
    <w:autoRedefine/>
    <w:qFormat/>
    <w:uiPriority w:val="0"/>
    <w:rPr>
      <w:rFonts w:hint="eastAsia" w:ascii="宋体" w:hAnsi="宋体" w:eastAsia="宋体" w:cs="宋体"/>
      <w:color w:val="000000"/>
      <w:sz w:val="24"/>
      <w:szCs w:val="24"/>
      <w:u w:val="none"/>
    </w:rPr>
  </w:style>
  <w:style w:type="character" w:customStyle="1" w:styleId="41">
    <w:name w:val="批注文字 字符"/>
    <w:basedOn w:val="27"/>
    <w:link w:val="8"/>
    <w:autoRedefine/>
    <w:qFormat/>
    <w:uiPriority w:val="0"/>
    <w:rPr>
      <w:rFonts w:asciiTheme="minorHAnsi" w:hAnsiTheme="minorHAnsi" w:eastAsiaTheme="minorEastAsia" w:cstheme="minorBidi"/>
      <w:kern w:val="2"/>
      <w:sz w:val="21"/>
      <w:szCs w:val="24"/>
    </w:rPr>
  </w:style>
  <w:style w:type="character" w:customStyle="1" w:styleId="42">
    <w:name w:val="批注主题 字符"/>
    <w:basedOn w:val="41"/>
    <w:link w:val="24"/>
    <w:autoRedefine/>
    <w:qFormat/>
    <w:uiPriority w:val="0"/>
    <w:rPr>
      <w:rFonts w:asciiTheme="minorHAnsi" w:hAnsiTheme="minorHAnsi" w:eastAsiaTheme="minorEastAsia" w:cstheme="minorBidi"/>
      <w:b/>
      <w:bCs/>
      <w:kern w:val="2"/>
      <w:sz w:val="21"/>
      <w:szCs w:val="24"/>
    </w:rPr>
  </w:style>
  <w:style w:type="character" w:customStyle="1" w:styleId="43">
    <w:name w:val="批注框文本 字符"/>
    <w:basedOn w:val="27"/>
    <w:link w:val="17"/>
    <w:autoRedefine/>
    <w:qFormat/>
    <w:uiPriority w:val="0"/>
    <w:rPr>
      <w:rFonts w:asciiTheme="minorHAnsi" w:hAnsiTheme="minorHAnsi" w:eastAsiaTheme="minorEastAsia" w:cstheme="minorBidi"/>
      <w:kern w:val="2"/>
      <w:sz w:val="18"/>
      <w:szCs w:val="18"/>
    </w:rPr>
  </w:style>
  <w:style w:type="paragraph" w:customStyle="1" w:styleId="44">
    <w:name w:val="正文文本缩进1"/>
    <w:basedOn w:val="1"/>
    <w:autoRedefine/>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5">
    <w:name w:val="列表段落1"/>
    <w:basedOn w:val="1"/>
    <w:autoRedefine/>
    <w:qFormat/>
    <w:uiPriority w:val="99"/>
    <w:pPr>
      <w:ind w:firstLine="420" w:firstLineChars="200"/>
    </w:pPr>
  </w:style>
  <w:style w:type="character" w:customStyle="1" w:styleId="46">
    <w:name w:val="未处理的提及1"/>
    <w:basedOn w:val="27"/>
    <w:autoRedefine/>
    <w:unhideWhenUsed/>
    <w:qFormat/>
    <w:uiPriority w:val="99"/>
    <w:rPr>
      <w:color w:val="605E5C"/>
      <w:shd w:val="clear" w:color="auto" w:fill="E1DFDD"/>
    </w:rPr>
  </w:style>
  <w:style w:type="paragraph" w:customStyle="1" w:styleId="47">
    <w:name w:val="正文缩进1"/>
    <w:basedOn w:val="1"/>
    <w:autoRedefine/>
    <w:qFormat/>
    <w:uiPriority w:val="0"/>
    <w:pPr>
      <w:ind w:firstLine="420"/>
    </w:p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21</Pages>
  <Words>2905</Words>
  <Characters>3053</Characters>
  <Lines>38</Lines>
  <Paragraphs>10</Paragraphs>
  <TotalTime>2</TotalTime>
  <ScaleCrop>false</ScaleCrop>
  <LinksUpToDate>false</LinksUpToDate>
  <CharactersWithSpaces>3121</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风雨阳光</cp:lastModifiedBy>
  <cp:lastPrinted>2020-09-21T05:55:00Z</cp:lastPrinted>
  <dcterms:modified xsi:type="dcterms:W3CDTF">2026-06-28T04:52:03Z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41F8317900974CA3868B0DC82E150D77_13</vt:lpwstr>
  </property>
  <property fmtid="{D5CDD505-2E9C-101B-9397-08002B2CF9AE}" pid="4" name="KSOTemplateDocerSaveRecord">
    <vt:lpwstr>eyJoZGlkIjoiNDJhMmM1ODY2ZTVmN2I0YjY4N2I4MmI2ZWJiMWQ5ODMiLCJ1c2VySWQiOiIxMjEwOTQzOTU3In0=</vt:lpwstr>
  </property>
</Properties>
</file>