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EA5271">
      <w:pPr>
        <w:pStyle w:val="35"/>
        <w:spacing w:line="680" w:lineRule="exact"/>
        <w:ind w:firstLine="0" w:firstLineChars="0"/>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石家庄市环境监控中心</w:t>
      </w:r>
    </w:p>
    <w:p w14:paraId="61EC69E3">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关于地表水在线监测设备质控服务项目的</w:t>
      </w:r>
    </w:p>
    <w:p w14:paraId="7CC7F7D9">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询价信息公告</w:t>
      </w:r>
    </w:p>
    <w:p w14:paraId="2E7887AD">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1A8FA011">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rPr>
        <w:t>我单位根据政府采购相关规定及市财政局要求，现开展石家庄市环境监控中心</w:t>
      </w:r>
      <w:r>
        <w:rPr>
          <w:rFonts w:hint="eastAsia" w:ascii="仿宋_GB2312" w:hAnsi="仿宋_GB2312" w:eastAsia="仿宋_GB2312" w:cs="仿宋_GB2312"/>
          <w:b w:val="0"/>
          <w:bCs w:val="0"/>
          <w:color w:val="000000"/>
          <w:sz w:val="32"/>
          <w:szCs w:val="32"/>
          <w:lang w:val="en-US" w:eastAsia="zh-CN"/>
        </w:rPr>
        <w:t>地表水在线监测设备质控服务项目</w:t>
      </w:r>
      <w:r>
        <w:rPr>
          <w:rFonts w:hint="eastAsia" w:ascii="仿宋_GB2312" w:hAnsi="仿宋_GB2312" w:eastAsia="仿宋_GB2312" w:cs="仿宋_GB2312"/>
          <w:bCs/>
          <w:sz w:val="32"/>
          <w:szCs w:val="32"/>
          <w:lang w:val="en-US" w:eastAsia="zh-CN"/>
        </w:rPr>
        <w:t>（预算金额：</w:t>
      </w:r>
      <w:r>
        <w:rPr>
          <w:rFonts w:hint="eastAsia" w:ascii="仿宋_GB2312" w:hAnsi="仿宋_GB2312" w:eastAsia="仿宋_GB2312" w:cs="仿宋_GB2312"/>
          <w:bCs/>
          <w:sz w:val="32"/>
          <w:szCs w:val="32"/>
          <w:u w:val="single"/>
          <w:lang w:val="en-US" w:eastAsia="zh-CN"/>
        </w:rPr>
        <w:t>91.19</w:t>
      </w:r>
      <w:r>
        <w:rPr>
          <w:rFonts w:hint="eastAsia" w:ascii="仿宋_GB2312" w:hAnsi="仿宋_GB2312" w:eastAsia="仿宋_GB2312" w:cs="仿宋_GB2312"/>
          <w:bCs/>
          <w:sz w:val="32"/>
          <w:szCs w:val="32"/>
          <w:lang w:val="en-US" w:eastAsia="zh-CN"/>
        </w:rPr>
        <w:t>万）</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w:t>
      </w:r>
      <w:r>
        <w:rPr>
          <w:rFonts w:hint="eastAsia" w:ascii="仿宋_GB2312" w:hAnsi="仿宋_GB2312" w:eastAsia="仿宋_GB2312" w:cs="仿宋_GB2312"/>
          <w:bCs/>
          <w:sz w:val="32"/>
          <w:szCs w:val="32"/>
          <w:highlight w:val="none"/>
        </w:rPr>
        <w:t>好准备工作。</w:t>
      </w:r>
    </w:p>
    <w:p w14:paraId="4FF1D614">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u w:val="none"/>
          <w:lang w:val="en-US" w:eastAsia="zh-CN"/>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bCs w:val="0"/>
          <w:color w:val="auto"/>
          <w:sz w:val="32"/>
          <w:szCs w:val="32"/>
          <w:highlight w:val="none"/>
          <w:u w:val="single"/>
        </w:rPr>
        <w:t>20</w:t>
      </w:r>
      <w:r>
        <w:rPr>
          <w:rFonts w:hint="eastAsia" w:ascii="仿宋_GB2312" w:hAnsi="仿宋_GB2312" w:eastAsia="仿宋_GB2312" w:cs="仿宋_GB2312"/>
          <w:b/>
          <w:bCs w:val="0"/>
          <w:color w:val="auto"/>
          <w:sz w:val="32"/>
          <w:szCs w:val="32"/>
          <w:highlight w:val="none"/>
          <w:u w:val="single"/>
          <w:lang w:val="en-US" w:eastAsia="zh-CN"/>
        </w:rPr>
        <w:t>26</w:t>
      </w:r>
      <w:r>
        <w:rPr>
          <w:rFonts w:hint="eastAsia" w:ascii="仿宋_GB2312" w:hAnsi="仿宋_GB2312" w:eastAsia="仿宋_GB2312" w:cs="仿宋_GB2312"/>
          <w:b/>
          <w:bCs w:val="0"/>
          <w:color w:val="auto"/>
          <w:sz w:val="32"/>
          <w:szCs w:val="32"/>
          <w:highlight w:val="none"/>
          <w:u w:val="single"/>
        </w:rPr>
        <w:t>年</w:t>
      </w:r>
      <w:r>
        <w:rPr>
          <w:rFonts w:hint="eastAsia" w:ascii="仿宋_GB2312" w:hAnsi="仿宋_GB2312" w:eastAsia="仿宋_GB2312" w:cs="仿宋_GB2312"/>
          <w:b/>
          <w:bCs w:val="0"/>
          <w:color w:val="auto"/>
          <w:sz w:val="32"/>
          <w:szCs w:val="32"/>
          <w:highlight w:val="none"/>
          <w:u w:val="single"/>
          <w:lang w:val="en-US" w:eastAsia="zh-CN"/>
        </w:rPr>
        <w:t>7</w:t>
      </w:r>
      <w:r>
        <w:rPr>
          <w:rFonts w:hint="eastAsia" w:ascii="仿宋_GB2312" w:hAnsi="仿宋_GB2312" w:eastAsia="仿宋_GB2312" w:cs="仿宋_GB2312"/>
          <w:b/>
          <w:bCs w:val="0"/>
          <w:color w:val="auto"/>
          <w:sz w:val="32"/>
          <w:szCs w:val="32"/>
          <w:highlight w:val="none"/>
          <w:u w:val="single"/>
        </w:rPr>
        <w:t>月</w:t>
      </w:r>
      <w:r>
        <w:rPr>
          <w:rFonts w:hint="eastAsia" w:ascii="仿宋_GB2312" w:hAnsi="仿宋_GB2312" w:eastAsia="仿宋_GB2312" w:cs="仿宋_GB2312"/>
          <w:b/>
          <w:bCs w:val="0"/>
          <w:color w:val="auto"/>
          <w:sz w:val="32"/>
          <w:szCs w:val="32"/>
          <w:highlight w:val="none"/>
          <w:u w:val="single"/>
          <w:lang w:val="en-US" w:eastAsia="zh-CN"/>
        </w:rPr>
        <w:t>2</w:t>
      </w:r>
      <w:r>
        <w:rPr>
          <w:rFonts w:hint="eastAsia" w:ascii="仿宋_GB2312" w:hAnsi="仿宋_GB2312" w:eastAsia="仿宋_GB2312" w:cs="仿宋_GB2312"/>
          <w:b/>
          <w:bCs w:val="0"/>
          <w:color w:val="auto"/>
          <w:sz w:val="32"/>
          <w:szCs w:val="32"/>
          <w:highlight w:val="none"/>
          <w:u w:val="single"/>
        </w:rPr>
        <w:t>日（星期</w:t>
      </w:r>
      <w:r>
        <w:rPr>
          <w:rFonts w:hint="eastAsia" w:ascii="仿宋_GB2312" w:hAnsi="仿宋_GB2312" w:eastAsia="仿宋_GB2312" w:cs="仿宋_GB2312"/>
          <w:b/>
          <w:bCs w:val="0"/>
          <w:color w:val="auto"/>
          <w:sz w:val="32"/>
          <w:szCs w:val="32"/>
          <w:highlight w:val="none"/>
          <w:u w:val="single"/>
          <w:lang w:val="en-US" w:eastAsia="zh-CN"/>
        </w:rPr>
        <w:t>四</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val="en-US" w:eastAsia="zh-CN"/>
        </w:rPr>
        <w:t>下</w:t>
      </w:r>
      <w:r>
        <w:rPr>
          <w:rFonts w:hint="eastAsia" w:ascii="仿宋_GB2312" w:hAnsi="仿宋_GB2312" w:eastAsia="仿宋_GB2312" w:cs="仿宋_GB2312"/>
          <w:b/>
          <w:bCs w:val="0"/>
          <w:color w:val="auto"/>
          <w:sz w:val="32"/>
          <w:szCs w:val="32"/>
          <w:highlight w:val="none"/>
          <w:u w:val="single"/>
          <w:lang w:eastAsia="zh-CN"/>
        </w:rPr>
        <w:t>午</w:t>
      </w:r>
      <w:r>
        <w:rPr>
          <w:rFonts w:hint="eastAsia" w:ascii="仿宋_GB2312" w:hAnsi="仿宋_GB2312" w:eastAsia="仿宋_GB2312" w:cs="仿宋_GB2312"/>
          <w:b/>
          <w:bCs w:val="0"/>
          <w:color w:val="auto"/>
          <w:sz w:val="32"/>
          <w:szCs w:val="32"/>
          <w:highlight w:val="none"/>
          <w:u w:val="single"/>
          <w:lang w:val="en-US" w:eastAsia="zh-CN"/>
        </w:rPr>
        <w:t>2</w:t>
      </w:r>
      <w:bookmarkStart w:id="2" w:name="_GoBack"/>
      <w:bookmarkEnd w:id="2"/>
      <w:r>
        <w:rPr>
          <w:rFonts w:hint="eastAsia" w:ascii="仿宋_GB2312" w:hAnsi="仿宋_GB2312" w:eastAsia="仿宋_GB2312" w:cs="仿宋_GB2312"/>
          <w:b/>
          <w:bCs w:val="0"/>
          <w:color w:val="auto"/>
          <w:sz w:val="32"/>
          <w:szCs w:val="32"/>
          <w:highlight w:val="none"/>
          <w:u w:val="single"/>
          <w:lang w:val="en-US" w:eastAsia="zh-CN"/>
        </w:rPr>
        <w:t>:50</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bCs w:val="0"/>
          <w:color w:val="auto"/>
          <w:sz w:val="32"/>
          <w:szCs w:val="32"/>
          <w:highlight w:val="none"/>
        </w:rPr>
        <w:t>。</w:t>
      </w:r>
    </w:p>
    <w:p w14:paraId="4B8D505B">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 w:val="0"/>
          <w:bCs/>
          <w:sz w:val="32"/>
          <w:szCs w:val="32"/>
          <w:lang w:val="en-US" w:eastAsia="zh-CN"/>
        </w:rPr>
        <w:t>赵若楠</w:t>
      </w:r>
      <w:r>
        <w:rPr>
          <w:rFonts w:hint="eastAsia" w:ascii="仿宋_GB2312" w:hAnsi="仿宋_GB2312" w:eastAsia="仿宋_GB2312" w:cs="仿宋_GB2312"/>
          <w:b w:val="0"/>
          <w:bCs/>
          <w:sz w:val="32"/>
          <w:szCs w:val="32"/>
        </w:rPr>
        <w:t>，联系电话：</w:t>
      </w:r>
      <w:r>
        <w:rPr>
          <w:rFonts w:hint="eastAsia" w:ascii="仿宋_GB2312" w:hAnsi="仿宋_GB2312" w:eastAsia="仿宋_GB2312" w:cs="仿宋_GB2312"/>
          <w:b w:val="0"/>
          <w:bCs/>
          <w:sz w:val="32"/>
          <w:szCs w:val="32"/>
          <w:lang w:val="en-US" w:eastAsia="zh-CN"/>
        </w:rPr>
        <w:t>85259899</w:t>
      </w:r>
    </w:p>
    <w:p w14:paraId="4B4057DE">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rPr>
      </w:pPr>
      <w:r>
        <w:rPr>
          <w:rFonts w:hint="eastAsia" w:ascii="仿宋_GB2312" w:hAnsi="仿宋_GB2312" w:eastAsia="仿宋_GB2312" w:cs="仿宋_GB2312"/>
          <w:b w:val="0"/>
          <w:bCs/>
          <w:sz w:val="32"/>
          <w:szCs w:val="32"/>
          <w:lang w:val="en-US" w:eastAsia="zh-CN"/>
        </w:rPr>
        <w:t>师晓威，联系电话：85880697</w:t>
      </w:r>
    </w:p>
    <w:p w14:paraId="3B2BD36D">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7DA7112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6B412EE3">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20752FC3">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628AD24F">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0BB6F339">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4300A9F0">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4211C669">
      <w:pPr>
        <w:pStyle w:val="3"/>
        <w:jc w:val="both"/>
        <w:rPr>
          <w:rFonts w:hint="eastAsia"/>
          <w:sz w:val="32"/>
          <w:szCs w:val="32"/>
        </w:rPr>
      </w:pPr>
    </w:p>
    <w:p w14:paraId="1BDF4D55">
      <w:pPr>
        <w:wordWrap w:val="0"/>
        <w:spacing w:line="560" w:lineRule="exact"/>
        <w:ind w:firstLine="640"/>
        <w:jc w:val="right"/>
        <w:rPr>
          <w:rFonts w:ascii="仿宋_GB2312" w:hAnsi="仿宋_GB2312" w:eastAsia="仿宋_GB2312" w:cs="仿宋_GB2312"/>
          <w:bCs/>
          <w:sz w:val="32"/>
          <w:szCs w:val="32"/>
        </w:rPr>
      </w:pPr>
      <w:r>
        <w:rPr>
          <w:rFonts w:hint="eastAsia" w:ascii="仿宋_GB2312" w:hAnsi="仿宋_GB2312" w:eastAsia="仿宋_GB2312" w:cs="仿宋_GB2312"/>
          <w:sz w:val="32"/>
          <w:szCs w:val="32"/>
        </w:rPr>
        <w:t xml:space="preserve">石家庄市环境监控中心     </w:t>
      </w:r>
    </w:p>
    <w:p w14:paraId="6F25CD0B">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26</w:t>
      </w:r>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color w:val="auto"/>
          <w:sz w:val="32"/>
          <w:szCs w:val="32"/>
          <w:highlight w:val="none"/>
          <w:lang w:val="en-US" w:eastAsia="zh-CN"/>
        </w:rPr>
        <w:t xml:space="preserve">       </w:t>
      </w:r>
    </w:p>
    <w:p w14:paraId="37745B30">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p>
    <w:p w14:paraId="65F6DAF3">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14:paraId="7C21F25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0266D46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石家庄市环境监控中心</w:t>
      </w:r>
    </w:p>
    <w:p w14:paraId="2D745AA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地表水在线监测设备质控服务项目</w:t>
      </w:r>
    </w:p>
    <w:p w14:paraId="3586334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14:paraId="71B0F7F0">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45AD457F">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w:t>
      </w:r>
      <w:r>
        <w:rPr>
          <w:rFonts w:hint="eastAsia" w:ascii="仿宋_GB2312" w:hAnsi="仿宋_GB2312" w:eastAsia="仿宋_GB2312" w:cs="仿宋_GB2312"/>
          <w:b/>
          <w:bCs w:val="0"/>
          <w:sz w:val="32"/>
          <w:szCs w:val="32"/>
        </w:rPr>
        <w:t>装订成册一式叁份（一份正本贰份副本）</w:t>
      </w:r>
      <w:r>
        <w:rPr>
          <w:rFonts w:hint="eastAsia" w:ascii="仿宋_GB2312" w:hAnsi="仿宋_GB2312" w:eastAsia="仿宋_GB2312" w:cs="仿宋_GB2312"/>
          <w:bCs/>
          <w:sz w:val="32"/>
          <w:szCs w:val="32"/>
        </w:rPr>
        <w:t>，并于询价会提交我单位询价小组。</w:t>
      </w:r>
    </w:p>
    <w:p w14:paraId="47450F1C">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4E53CE29">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6BF8D75E">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0D77608C">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12E6C5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0C8D00CA">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14:paraId="6F46DEEB">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14:paraId="379F3B9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石家庄市环境监控中心</w:t>
      </w:r>
    </w:p>
    <w:p w14:paraId="16EF292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地表水在线监测设备质控服务项目</w:t>
      </w:r>
    </w:p>
    <w:p w14:paraId="3DC798D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工作方案</w:t>
      </w:r>
    </w:p>
    <w:p w14:paraId="3355718F">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rPr>
      </w:pPr>
    </w:p>
    <w:p w14:paraId="1927CC81">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黑体" w:hAnsi="黑体" w:eastAsia="黑体" w:cs="楷体_GB2312"/>
          <w:sz w:val="32"/>
          <w:szCs w:val="32"/>
          <w:lang w:val="en-US" w:eastAsia="zh-CN"/>
        </w:rPr>
        <w:t>一、</w:t>
      </w:r>
      <w:r>
        <w:rPr>
          <w:rFonts w:hint="eastAsia" w:ascii="黑体" w:hAnsi="黑体" w:eastAsia="黑体" w:cs="楷体_GB2312"/>
          <w:sz w:val="32"/>
          <w:szCs w:val="32"/>
        </w:rPr>
        <w:t>采购项目最高限价</w:t>
      </w:r>
    </w:p>
    <w:p w14:paraId="5D11308E">
      <w:pPr>
        <w:spacing w:line="560" w:lineRule="exact"/>
        <w:ind w:firstLine="640" w:firstLineChars="200"/>
        <w:jc w:val="left"/>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预算：</w:t>
      </w:r>
      <w:r>
        <w:rPr>
          <w:rFonts w:hint="eastAsia" w:ascii="楷体_GB2312" w:hAnsi="楷体_GB2312" w:eastAsia="楷体_GB2312" w:cs="楷体_GB2312"/>
          <w:color w:val="auto"/>
          <w:sz w:val="32"/>
          <w:szCs w:val="32"/>
          <w:highlight w:val="none"/>
          <w:u w:val="single"/>
          <w:lang w:val="en-US" w:eastAsia="zh-CN"/>
        </w:rPr>
        <w:t>91.19</w:t>
      </w:r>
      <w:r>
        <w:rPr>
          <w:rFonts w:hint="eastAsia" w:ascii="楷体_GB2312" w:hAnsi="楷体_GB2312" w:eastAsia="楷体_GB2312" w:cs="楷体_GB2312"/>
          <w:color w:val="auto"/>
          <w:sz w:val="32"/>
          <w:szCs w:val="32"/>
          <w:highlight w:val="none"/>
          <w:u w:val="single"/>
        </w:rPr>
        <w:t>万元</w:t>
      </w:r>
    </w:p>
    <w:p w14:paraId="42CCB8EE">
      <w:pPr>
        <w:spacing w:line="560" w:lineRule="exact"/>
        <w:ind w:firstLine="640" w:firstLineChars="200"/>
        <w:jc w:val="left"/>
        <w:rPr>
          <w:rFonts w:ascii="黑体" w:hAnsi="黑体" w:eastAsia="黑体" w:cs="楷体_GB2312"/>
          <w:sz w:val="32"/>
          <w:szCs w:val="32"/>
        </w:rPr>
      </w:pPr>
      <w:r>
        <w:rPr>
          <w:rFonts w:hint="eastAsia" w:ascii="黑体" w:hAnsi="黑体" w:eastAsia="黑体" w:cs="楷体_GB2312"/>
          <w:sz w:val="32"/>
          <w:szCs w:val="32"/>
          <w:lang w:val="en-US" w:eastAsia="zh-CN"/>
        </w:rPr>
        <w:t>二</w:t>
      </w:r>
      <w:r>
        <w:rPr>
          <w:rFonts w:hint="eastAsia" w:ascii="黑体" w:hAnsi="黑体" w:eastAsia="黑体" w:cs="楷体_GB2312"/>
          <w:sz w:val="32"/>
          <w:szCs w:val="32"/>
        </w:rPr>
        <w:t>、采购方式</w:t>
      </w:r>
    </w:p>
    <w:p w14:paraId="1A20878D">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iCs/>
          <w:sz w:val="32"/>
          <w:szCs w:val="32"/>
          <w:highlight w:val="none"/>
          <w:lang w:eastAsia="zh-CN"/>
        </w:rPr>
        <w:t>公开招标，</w:t>
      </w:r>
      <w:r>
        <w:rPr>
          <w:rFonts w:hint="eastAsia" w:ascii="仿宋_GB2312" w:hAnsi="仿宋_GB2312" w:eastAsia="仿宋_GB2312" w:cs="仿宋_GB2312"/>
          <w:iCs/>
          <w:sz w:val="32"/>
          <w:szCs w:val="32"/>
          <w:highlight w:val="none"/>
          <w:lang w:val="en-US" w:eastAsia="zh-CN"/>
        </w:rPr>
        <w:t>不涉及单一来源采购</w:t>
      </w:r>
      <w:r>
        <w:rPr>
          <w:rFonts w:hint="eastAsia" w:ascii="仿宋_GB2312" w:hAnsi="仿宋_GB2312" w:eastAsia="仿宋_GB2312" w:cs="仿宋_GB2312"/>
          <w:sz w:val="32"/>
          <w:szCs w:val="32"/>
        </w:rPr>
        <w:t>。</w:t>
      </w:r>
    </w:p>
    <w:p w14:paraId="3A3437B8">
      <w:pPr>
        <w:pStyle w:val="3"/>
        <w:keepNext w:val="0"/>
        <w:keepLines w:val="0"/>
        <w:pageBreakBefore w:val="0"/>
        <w:numPr>
          <w:ilvl w:val="0"/>
          <w:numId w:val="0"/>
        </w:numPr>
        <w:kinsoku/>
        <w:wordWrap/>
        <w:overflowPunct/>
        <w:topLinePunct w:val="0"/>
        <w:autoSpaceDE/>
        <w:autoSpaceDN/>
        <w:bidi w:val="0"/>
        <w:adjustRightInd w:val="0"/>
        <w:spacing w:line="560" w:lineRule="exact"/>
        <w:ind w:right="0" w:rightChars="0" w:firstLine="643"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黑体" w:hAnsi="黑体" w:eastAsia="黑体" w:cs="楷体_GB2312"/>
          <w:sz w:val="32"/>
          <w:szCs w:val="32"/>
          <w:lang w:val="en-US" w:eastAsia="zh-CN"/>
        </w:rPr>
        <w:t>三</w:t>
      </w:r>
      <w:r>
        <w:rPr>
          <w:rFonts w:hint="eastAsia" w:ascii="黑体" w:hAnsi="黑体" w:eastAsia="黑体" w:cs="楷体_GB2312"/>
          <w:sz w:val="32"/>
          <w:szCs w:val="32"/>
        </w:rPr>
        <w:t>、</w:t>
      </w:r>
      <w:r>
        <w:rPr>
          <w:rFonts w:hint="eastAsia" w:ascii="黑体" w:hAnsi="黑体" w:eastAsia="黑体" w:cs="楷体_GB2312"/>
          <w:b w:val="0"/>
          <w:kern w:val="2"/>
          <w:sz w:val="32"/>
          <w:szCs w:val="32"/>
          <w:lang w:val="en-US" w:eastAsia="zh-CN" w:bidi="ar-SA"/>
        </w:rPr>
        <w:t>技术要求</w:t>
      </w:r>
    </w:p>
    <w:p w14:paraId="5237C16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为保障我市水质自动监测数据真实、准确，</w:t>
      </w:r>
      <w:r>
        <w:rPr>
          <w:rFonts w:hint="eastAsia" w:ascii="仿宋_GB2312" w:hAnsi="仿宋_GB2312" w:eastAsia="仿宋_GB2312" w:cs="仿宋_GB2312"/>
          <w:color w:val="auto"/>
          <w:sz w:val="32"/>
          <w:szCs w:val="32"/>
          <w:highlight w:val="none"/>
          <w:lang w:val="en-US" w:eastAsia="zh-CN"/>
        </w:rPr>
        <w:t>我市已在地表水水质自动监测站建设了22套水环境质量自动监测远程质控系统，自系统安装运行以来，对于提高自动监测质控的时效性，保证在线监测数据的准确性方面发挥了重要作用。在线监测数据远程质控系统独立于在线监测仪器之外，可以随机时间、随机浓度对在线监测设备进行标样核查，对在线监测数据的真实性进行提醒，</w:t>
      </w:r>
      <w:r>
        <w:rPr>
          <w:rFonts w:hint="eastAsia" w:ascii="仿宋_GB2312" w:hAnsi="仿宋_GB2312" w:eastAsia="仿宋_GB2312" w:cs="仿宋_GB2312"/>
          <w:color w:val="auto"/>
          <w:sz w:val="32"/>
          <w:szCs w:val="32"/>
          <w:highlight w:val="none"/>
          <w:lang w:val="en-GB" w:eastAsia="zh-CN"/>
        </w:rPr>
        <w:t>为环境监管提供有效支撑。</w:t>
      </w:r>
    </w:p>
    <w:p w14:paraId="0C9C7F5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项目主要依据如下：</w:t>
      </w:r>
    </w:p>
    <w:p w14:paraId="38E38E4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2017年5月23日中央深改组审议通过《关于深化环境监测改革提高环境监测数据质量的意见》，明确“依法监测、科学监测、诚信监测”的重要位置，要求“采取最规范的科学方法、最严格的质控手段，确保环境监测数据全面、准确、客观、真实。”</w:t>
      </w:r>
    </w:p>
    <w:p w14:paraId="34EC61E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zh-CN" w:eastAsia="zh-CN"/>
        </w:rPr>
      </w:pPr>
      <w:bookmarkStart w:id="0" w:name="_Toc22237_WPSOffice_Level2"/>
      <w:r>
        <w:rPr>
          <w:rFonts w:hint="eastAsia" w:ascii="仿宋_GB2312" w:hAnsi="仿宋_GB2312" w:eastAsia="仿宋_GB2312" w:cs="仿宋_GB2312"/>
          <w:color w:val="auto"/>
          <w:sz w:val="32"/>
          <w:szCs w:val="32"/>
          <w:highlight w:val="none"/>
          <w:lang w:val="zh-CN" w:eastAsia="zh-CN"/>
        </w:rPr>
        <w:t>中共河北省委办公厅、河</w:t>
      </w:r>
      <w:bookmarkEnd w:id="0"/>
      <w:r>
        <w:rPr>
          <w:rFonts w:hint="eastAsia" w:ascii="仿宋_GB2312" w:hAnsi="仿宋_GB2312" w:eastAsia="仿宋_GB2312" w:cs="仿宋_GB2312"/>
          <w:color w:val="auto"/>
          <w:sz w:val="32"/>
          <w:szCs w:val="32"/>
          <w:highlight w:val="none"/>
          <w:lang w:val="zh-CN" w:eastAsia="zh-CN"/>
        </w:rPr>
        <w:t>北省人民政府办公厅印发《河北省深化环境监测改革提高环境监测数据质量实施方案》，方案第24</w:t>
      </w:r>
      <w:bookmarkStart w:id="1" w:name="_Toc28715_WPSOffice_Level2"/>
      <w:r>
        <w:rPr>
          <w:rFonts w:hint="eastAsia" w:ascii="仿宋_GB2312" w:hAnsi="仿宋_GB2312" w:eastAsia="仿宋_GB2312" w:cs="仿宋_GB2312"/>
          <w:color w:val="auto"/>
          <w:sz w:val="32"/>
          <w:szCs w:val="32"/>
          <w:highlight w:val="none"/>
          <w:lang w:val="zh-CN" w:eastAsia="zh-CN"/>
        </w:rPr>
        <w:t>条指出：强化高新技术应用，</w:t>
      </w:r>
      <w:bookmarkEnd w:id="1"/>
      <w:r>
        <w:rPr>
          <w:rFonts w:hint="eastAsia" w:ascii="仿宋_GB2312" w:hAnsi="仿宋_GB2312" w:eastAsia="仿宋_GB2312" w:cs="仿宋_GB2312"/>
          <w:color w:val="auto"/>
          <w:sz w:val="32"/>
          <w:szCs w:val="32"/>
          <w:highlight w:val="none"/>
          <w:lang w:val="zh-CN" w:eastAsia="zh-CN"/>
        </w:rPr>
        <w:t>加强大数据、人工智能、在线监测远程质控系统等高新技术在环境监测和质量管理中的应用。</w:t>
      </w:r>
    </w:p>
    <w:p w14:paraId="61453EF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zh-CN" w:eastAsia="zh-CN"/>
        </w:rPr>
      </w:pPr>
      <w:r>
        <w:rPr>
          <w:rFonts w:hint="eastAsia" w:ascii="仿宋_GB2312" w:hAnsi="仿宋_GB2312" w:eastAsia="仿宋_GB2312" w:cs="仿宋_GB2312"/>
          <w:color w:val="auto"/>
          <w:sz w:val="32"/>
          <w:szCs w:val="32"/>
          <w:highlight w:val="none"/>
          <w:lang w:val="en-GB" w:eastAsia="zh-CN"/>
        </w:rPr>
        <w:t>石家庄市人民政府印发石政函〔2016〕23号文《关于印发石家庄市滹沱河下游污染综合治理实施方案和石家庄市洨河水质提升实施方案的通知》，提出“建设滹沱河下游、洨河沿线污水处理厂水质自动监测设备和水质自动监测站远程质控系统”。</w:t>
      </w:r>
    </w:p>
    <w:p w14:paraId="05F8863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zh-CN" w:eastAsia="zh-CN"/>
        </w:rPr>
        <w:t>地表水</w:t>
      </w:r>
      <w:r>
        <w:rPr>
          <w:rFonts w:hint="eastAsia" w:ascii="仿宋_GB2312" w:hAnsi="仿宋_GB2312" w:eastAsia="仿宋_GB2312" w:cs="仿宋_GB2312"/>
          <w:color w:val="auto"/>
          <w:sz w:val="32"/>
          <w:szCs w:val="32"/>
          <w:highlight w:val="none"/>
          <w:lang w:val="en-US" w:eastAsia="zh-CN"/>
        </w:rPr>
        <w:t>在线</w:t>
      </w:r>
      <w:r>
        <w:rPr>
          <w:rFonts w:hint="eastAsia" w:ascii="仿宋_GB2312" w:hAnsi="仿宋_GB2312" w:eastAsia="仿宋_GB2312" w:cs="仿宋_GB2312"/>
          <w:color w:val="auto"/>
          <w:sz w:val="32"/>
          <w:szCs w:val="32"/>
          <w:highlight w:val="none"/>
          <w:lang w:val="zh-CN" w:eastAsia="zh-CN"/>
        </w:rPr>
        <w:t>监测</w:t>
      </w:r>
      <w:r>
        <w:rPr>
          <w:rFonts w:hint="eastAsia" w:ascii="仿宋_GB2312" w:hAnsi="仿宋_GB2312" w:eastAsia="仿宋_GB2312" w:cs="仿宋_GB2312"/>
          <w:color w:val="auto"/>
          <w:sz w:val="32"/>
          <w:szCs w:val="32"/>
          <w:highlight w:val="none"/>
          <w:lang w:val="en-US" w:eastAsia="zh-CN"/>
        </w:rPr>
        <w:t>设备质控服务包括：保证辖区内22套在线设备远程质控系统（包含19套质控参数为COD、氨氮、总磷；3套质控参数为高锰酸盐指数、氨氮、总磷）的正常运行；提供专业的质控过程分析、质控结果汇总、统计、分析，形成报告；对远程质控平台软件进行定期更新和升级等技术服务；按照采购人要求，配合开展水站自动监测设备现场核查、比对等工作。</w:t>
      </w:r>
    </w:p>
    <w:p w14:paraId="2B6196AF">
      <w:pPr>
        <w:pStyle w:val="21"/>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000000"/>
          <w:sz w:val="32"/>
          <w:szCs w:val="32"/>
          <w:highlight w:val="none"/>
          <w:lang w:val="en-GB" w:eastAsia="zh-CN"/>
        </w:rPr>
      </w:pPr>
      <w:r>
        <w:rPr>
          <w:rFonts w:hint="eastAsia" w:ascii="仿宋_GB2312" w:hAnsi="仿宋_GB2312" w:eastAsia="仿宋_GB2312" w:cs="仿宋_GB2312"/>
          <w:b w:val="0"/>
          <w:kern w:val="2"/>
          <w:sz w:val="32"/>
          <w:szCs w:val="32"/>
          <w:highlight w:val="none"/>
          <w:lang w:val="en-US" w:eastAsia="zh-CN"/>
        </w:rPr>
        <w:t>服务期内计划质控点位如下：</w:t>
      </w:r>
    </w:p>
    <w:p w14:paraId="4C3C168B">
      <w:pPr>
        <w:spacing w:line="150" w:lineRule="exact"/>
        <w:rPr>
          <w:highlight w:val="none"/>
        </w:rPr>
      </w:pPr>
    </w:p>
    <w:tbl>
      <w:tblPr>
        <w:tblStyle w:val="50"/>
        <w:tblW w:w="857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2"/>
        <w:gridCol w:w="1214"/>
        <w:gridCol w:w="1799"/>
        <w:gridCol w:w="1424"/>
        <w:gridCol w:w="3288"/>
      </w:tblGrid>
      <w:tr w14:paraId="41A327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jc w:val="center"/>
        </w:trPr>
        <w:tc>
          <w:tcPr>
            <w:tcW w:w="852" w:type="dxa"/>
            <w:noWrap w:val="0"/>
            <w:vAlign w:val="top"/>
          </w:tcPr>
          <w:p w14:paraId="6BCD3EE2">
            <w:pPr>
              <w:spacing w:before="56" w:line="185" w:lineRule="auto"/>
              <w:ind w:firstLine="192"/>
              <w:rPr>
                <w:rFonts w:hint="eastAsia" w:ascii="仿宋" w:hAnsi="仿宋" w:eastAsia="仿宋" w:cs="仿宋"/>
                <w:sz w:val="24"/>
                <w:szCs w:val="24"/>
                <w:highlight w:val="none"/>
              </w:rPr>
            </w:pPr>
            <w:r>
              <w:rPr>
                <w:rFonts w:hint="eastAsia" w:ascii="仿宋" w:hAnsi="仿宋" w:eastAsia="仿宋" w:cs="仿宋"/>
                <w:spacing w:val="-5"/>
                <w:sz w:val="24"/>
                <w:szCs w:val="24"/>
                <w:highlight w:val="none"/>
              </w:rPr>
              <w:t>序号</w:t>
            </w:r>
          </w:p>
        </w:tc>
        <w:tc>
          <w:tcPr>
            <w:tcW w:w="1214" w:type="dxa"/>
            <w:noWrap w:val="0"/>
            <w:vAlign w:val="top"/>
          </w:tcPr>
          <w:p w14:paraId="4D7FB3D2">
            <w:pPr>
              <w:spacing w:before="56" w:line="185" w:lineRule="auto"/>
              <w:ind w:firstLine="388"/>
              <w:rPr>
                <w:rFonts w:hint="eastAsia" w:ascii="仿宋" w:hAnsi="仿宋" w:eastAsia="仿宋" w:cs="仿宋"/>
                <w:sz w:val="24"/>
                <w:szCs w:val="24"/>
                <w:highlight w:val="none"/>
              </w:rPr>
            </w:pPr>
            <w:r>
              <w:rPr>
                <w:rFonts w:hint="eastAsia" w:ascii="仿宋" w:hAnsi="仿宋" w:eastAsia="仿宋" w:cs="仿宋"/>
                <w:spacing w:val="-14"/>
                <w:sz w:val="24"/>
                <w:szCs w:val="24"/>
                <w:highlight w:val="none"/>
              </w:rPr>
              <w:t>区域</w:t>
            </w:r>
          </w:p>
        </w:tc>
        <w:tc>
          <w:tcPr>
            <w:tcW w:w="1799" w:type="dxa"/>
            <w:noWrap w:val="0"/>
            <w:vAlign w:val="top"/>
          </w:tcPr>
          <w:p w14:paraId="3C0BCA09">
            <w:pPr>
              <w:spacing w:before="56" w:line="185" w:lineRule="auto"/>
              <w:ind w:firstLine="675"/>
              <w:rPr>
                <w:rFonts w:hint="eastAsia" w:ascii="仿宋" w:hAnsi="仿宋" w:eastAsia="仿宋" w:cs="仿宋"/>
                <w:sz w:val="24"/>
                <w:szCs w:val="24"/>
                <w:highlight w:val="none"/>
              </w:rPr>
            </w:pPr>
            <w:r>
              <w:rPr>
                <w:rFonts w:hint="eastAsia" w:ascii="仿宋" w:hAnsi="仿宋" w:eastAsia="仿宋" w:cs="仿宋"/>
                <w:spacing w:val="-9"/>
                <w:sz w:val="24"/>
                <w:szCs w:val="24"/>
                <w:highlight w:val="none"/>
              </w:rPr>
              <w:t>点位</w:t>
            </w:r>
          </w:p>
        </w:tc>
        <w:tc>
          <w:tcPr>
            <w:tcW w:w="1424" w:type="dxa"/>
            <w:noWrap w:val="0"/>
            <w:vAlign w:val="top"/>
          </w:tcPr>
          <w:p w14:paraId="45582882">
            <w:pPr>
              <w:spacing w:before="56" w:line="185" w:lineRule="auto"/>
              <w:ind w:firstLine="478"/>
              <w:rPr>
                <w:rFonts w:hint="eastAsia" w:ascii="仿宋" w:hAnsi="仿宋" w:eastAsia="仿宋" w:cs="仿宋"/>
                <w:sz w:val="24"/>
                <w:szCs w:val="24"/>
                <w:highlight w:val="none"/>
              </w:rPr>
            </w:pPr>
            <w:r>
              <w:rPr>
                <w:rFonts w:hint="eastAsia" w:ascii="仿宋" w:hAnsi="仿宋" w:eastAsia="仿宋" w:cs="仿宋"/>
                <w:spacing w:val="-5"/>
                <w:sz w:val="24"/>
                <w:szCs w:val="24"/>
                <w:highlight w:val="none"/>
              </w:rPr>
              <w:t>类别</w:t>
            </w:r>
          </w:p>
        </w:tc>
        <w:tc>
          <w:tcPr>
            <w:tcW w:w="3288" w:type="dxa"/>
            <w:noWrap w:val="0"/>
            <w:vAlign w:val="top"/>
          </w:tcPr>
          <w:p w14:paraId="66B2636C">
            <w:pPr>
              <w:spacing w:before="56" w:line="185" w:lineRule="auto"/>
              <w:ind w:firstLine="1412"/>
              <w:rPr>
                <w:rFonts w:hint="eastAsia" w:ascii="仿宋" w:hAnsi="仿宋" w:eastAsia="仿宋" w:cs="仿宋"/>
                <w:sz w:val="24"/>
                <w:szCs w:val="24"/>
                <w:highlight w:val="none"/>
              </w:rPr>
            </w:pPr>
            <w:r>
              <w:rPr>
                <w:rFonts w:hint="eastAsia" w:ascii="仿宋" w:hAnsi="仿宋" w:eastAsia="仿宋" w:cs="仿宋"/>
                <w:spacing w:val="-6"/>
                <w:sz w:val="24"/>
                <w:szCs w:val="24"/>
                <w:highlight w:val="none"/>
              </w:rPr>
              <w:t>参数</w:t>
            </w:r>
          </w:p>
        </w:tc>
      </w:tr>
      <w:tr w14:paraId="601AB1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852" w:type="dxa"/>
            <w:noWrap w:val="0"/>
            <w:vAlign w:val="top"/>
          </w:tcPr>
          <w:p w14:paraId="0094914E">
            <w:pPr>
              <w:spacing w:before="89" w:line="193" w:lineRule="exact"/>
              <w:ind w:firstLine="391"/>
              <w:rPr>
                <w:rFonts w:hint="eastAsia" w:ascii="仿宋" w:hAnsi="仿宋" w:eastAsia="仿宋" w:cs="仿宋"/>
                <w:sz w:val="24"/>
                <w:szCs w:val="24"/>
                <w:highlight w:val="none"/>
              </w:rPr>
            </w:pPr>
            <w:r>
              <w:rPr>
                <w:rFonts w:hint="eastAsia" w:ascii="仿宋" w:hAnsi="仿宋" w:eastAsia="仿宋" w:cs="仿宋"/>
                <w:position w:val="-1"/>
                <w:sz w:val="24"/>
                <w:szCs w:val="24"/>
                <w:highlight w:val="none"/>
              </w:rPr>
              <w:t>1</w:t>
            </w:r>
          </w:p>
        </w:tc>
        <w:tc>
          <w:tcPr>
            <w:tcW w:w="1214" w:type="dxa"/>
            <w:noWrap w:val="0"/>
            <w:vAlign w:val="top"/>
          </w:tcPr>
          <w:p w14:paraId="0288C5B1">
            <w:pPr>
              <w:spacing w:before="52" w:line="185" w:lineRule="auto"/>
              <w:ind w:firstLine="252"/>
              <w:rPr>
                <w:rFonts w:hint="eastAsia" w:ascii="仿宋" w:hAnsi="仿宋" w:eastAsia="仿宋" w:cs="仿宋"/>
                <w:sz w:val="23"/>
                <w:szCs w:val="23"/>
                <w:highlight w:val="none"/>
              </w:rPr>
            </w:pPr>
            <w:r>
              <w:rPr>
                <w:rFonts w:hint="eastAsia" w:ascii="仿宋" w:hAnsi="仿宋" w:eastAsia="仿宋" w:cs="仿宋"/>
                <w:spacing w:val="6"/>
                <w:sz w:val="23"/>
                <w:szCs w:val="23"/>
                <w:highlight w:val="none"/>
              </w:rPr>
              <w:t>石家庄</w:t>
            </w:r>
          </w:p>
        </w:tc>
        <w:tc>
          <w:tcPr>
            <w:tcW w:w="1799" w:type="dxa"/>
            <w:noWrap w:val="0"/>
            <w:vAlign w:val="top"/>
          </w:tcPr>
          <w:p w14:paraId="36F95CCD">
            <w:pPr>
              <w:spacing w:before="52" w:line="185" w:lineRule="auto"/>
              <w:ind w:firstLine="545"/>
              <w:rPr>
                <w:rFonts w:hint="eastAsia" w:ascii="仿宋" w:hAnsi="仿宋" w:eastAsia="仿宋" w:cs="仿宋"/>
                <w:sz w:val="23"/>
                <w:szCs w:val="23"/>
                <w:highlight w:val="none"/>
              </w:rPr>
            </w:pPr>
            <w:r>
              <w:rPr>
                <w:rFonts w:hint="eastAsia" w:ascii="仿宋" w:hAnsi="仿宋" w:eastAsia="仿宋" w:cs="仿宋"/>
                <w:spacing w:val="7"/>
                <w:sz w:val="23"/>
                <w:szCs w:val="23"/>
                <w:highlight w:val="none"/>
              </w:rPr>
              <w:t>河西头</w:t>
            </w:r>
          </w:p>
        </w:tc>
        <w:tc>
          <w:tcPr>
            <w:tcW w:w="1424" w:type="dxa"/>
            <w:noWrap w:val="0"/>
            <w:vAlign w:val="top"/>
          </w:tcPr>
          <w:p w14:paraId="4F04BFE0">
            <w:pPr>
              <w:spacing w:before="52" w:line="185" w:lineRule="auto"/>
              <w:ind w:firstLine="481"/>
              <w:rPr>
                <w:rFonts w:hint="eastAsia" w:ascii="仿宋" w:hAnsi="仿宋" w:eastAsia="仿宋" w:cs="仿宋"/>
                <w:sz w:val="23"/>
                <w:szCs w:val="23"/>
                <w:highlight w:val="none"/>
              </w:rPr>
            </w:pPr>
            <w:r>
              <w:rPr>
                <w:rFonts w:hint="eastAsia" w:ascii="仿宋" w:hAnsi="仿宋" w:eastAsia="仿宋" w:cs="仿宋"/>
                <w:spacing w:val="3"/>
                <w:sz w:val="23"/>
                <w:szCs w:val="23"/>
                <w:highlight w:val="none"/>
              </w:rPr>
              <w:t>水质</w:t>
            </w:r>
          </w:p>
        </w:tc>
        <w:tc>
          <w:tcPr>
            <w:tcW w:w="3288" w:type="dxa"/>
            <w:noWrap w:val="0"/>
            <w:vAlign w:val="top"/>
          </w:tcPr>
          <w:p w14:paraId="5462F2F8">
            <w:pPr>
              <w:spacing w:before="52" w:line="185" w:lineRule="auto"/>
              <w:ind w:firstLine="629"/>
              <w:rPr>
                <w:rFonts w:hint="eastAsia" w:ascii="仿宋" w:hAnsi="仿宋" w:eastAsia="仿宋" w:cs="仿宋"/>
                <w:sz w:val="23"/>
                <w:szCs w:val="23"/>
                <w:highlight w:val="none"/>
              </w:rPr>
            </w:pPr>
            <w:r>
              <w:rPr>
                <w:rFonts w:hint="eastAsia" w:ascii="仿宋" w:hAnsi="仿宋" w:eastAsia="仿宋" w:cs="仿宋"/>
                <w:spacing w:val="7"/>
                <w:sz w:val="23"/>
                <w:szCs w:val="23"/>
                <w:highlight w:val="none"/>
              </w:rPr>
              <w:t>CODmn、氨氮、总磷</w:t>
            </w:r>
          </w:p>
        </w:tc>
      </w:tr>
      <w:tr w14:paraId="22B1E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34BF284A">
            <w:pPr>
              <w:spacing w:before="90" w:line="174" w:lineRule="auto"/>
              <w:ind w:firstLine="376"/>
              <w:rPr>
                <w:rFonts w:hint="eastAsia" w:ascii="仿宋" w:hAnsi="仿宋" w:eastAsia="仿宋" w:cs="仿宋"/>
                <w:sz w:val="24"/>
                <w:szCs w:val="24"/>
                <w:highlight w:val="none"/>
              </w:rPr>
            </w:pPr>
            <w:r>
              <w:rPr>
                <w:rFonts w:hint="eastAsia" w:ascii="仿宋" w:hAnsi="仿宋" w:eastAsia="仿宋" w:cs="仿宋"/>
                <w:sz w:val="24"/>
                <w:szCs w:val="24"/>
                <w:highlight w:val="none"/>
              </w:rPr>
              <w:t>2</w:t>
            </w:r>
          </w:p>
        </w:tc>
        <w:tc>
          <w:tcPr>
            <w:tcW w:w="1214" w:type="dxa"/>
            <w:noWrap w:val="0"/>
            <w:vAlign w:val="top"/>
          </w:tcPr>
          <w:p w14:paraId="61F8D095">
            <w:pPr>
              <w:spacing w:before="53" w:line="185" w:lineRule="auto"/>
              <w:ind w:firstLine="252"/>
              <w:rPr>
                <w:rFonts w:hint="eastAsia" w:ascii="仿宋" w:hAnsi="仿宋" w:eastAsia="仿宋" w:cs="仿宋"/>
                <w:sz w:val="24"/>
                <w:szCs w:val="24"/>
                <w:highlight w:val="none"/>
              </w:rPr>
            </w:pPr>
            <w:r>
              <w:rPr>
                <w:rFonts w:hint="eastAsia" w:ascii="仿宋" w:hAnsi="仿宋" w:eastAsia="仿宋" w:cs="仿宋"/>
                <w:spacing w:val="-4"/>
                <w:sz w:val="24"/>
                <w:szCs w:val="24"/>
                <w:highlight w:val="none"/>
              </w:rPr>
              <w:t>石家庄</w:t>
            </w:r>
          </w:p>
        </w:tc>
        <w:tc>
          <w:tcPr>
            <w:tcW w:w="1799" w:type="dxa"/>
            <w:noWrap w:val="0"/>
            <w:vAlign w:val="top"/>
          </w:tcPr>
          <w:p w14:paraId="62BCDE12">
            <w:pPr>
              <w:spacing w:before="53" w:line="185" w:lineRule="auto"/>
              <w:ind w:firstLine="666"/>
              <w:rPr>
                <w:rFonts w:hint="eastAsia" w:ascii="仿宋" w:hAnsi="仿宋" w:eastAsia="仿宋" w:cs="仿宋"/>
                <w:sz w:val="24"/>
                <w:szCs w:val="24"/>
                <w:highlight w:val="none"/>
              </w:rPr>
            </w:pPr>
            <w:r>
              <w:rPr>
                <w:rFonts w:hint="eastAsia" w:ascii="仿宋" w:hAnsi="仿宋" w:eastAsia="仿宋" w:cs="仿宋"/>
                <w:spacing w:val="-5"/>
                <w:sz w:val="24"/>
                <w:szCs w:val="24"/>
                <w:highlight w:val="none"/>
              </w:rPr>
              <w:t>地都</w:t>
            </w:r>
          </w:p>
        </w:tc>
        <w:tc>
          <w:tcPr>
            <w:tcW w:w="1424" w:type="dxa"/>
            <w:noWrap w:val="0"/>
            <w:vAlign w:val="top"/>
          </w:tcPr>
          <w:p w14:paraId="18A865CD">
            <w:pPr>
              <w:spacing w:before="53" w:line="185" w:lineRule="auto"/>
              <w:ind w:firstLine="481"/>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水质</w:t>
            </w:r>
          </w:p>
        </w:tc>
        <w:tc>
          <w:tcPr>
            <w:tcW w:w="3288" w:type="dxa"/>
            <w:noWrap w:val="0"/>
            <w:vAlign w:val="top"/>
          </w:tcPr>
          <w:p w14:paraId="68D7070D">
            <w:pPr>
              <w:spacing w:before="53" w:line="185" w:lineRule="auto"/>
              <w:ind w:firstLine="629"/>
              <w:rPr>
                <w:rFonts w:hint="eastAsia" w:ascii="仿宋" w:hAnsi="仿宋" w:eastAsia="仿宋" w:cs="仿宋"/>
                <w:sz w:val="24"/>
                <w:szCs w:val="24"/>
                <w:highlight w:val="none"/>
              </w:rPr>
            </w:pPr>
            <w:r>
              <w:rPr>
                <w:rFonts w:hint="eastAsia" w:ascii="仿宋" w:hAnsi="仿宋" w:eastAsia="仿宋" w:cs="仿宋"/>
                <w:spacing w:val="-1"/>
                <w:sz w:val="24"/>
                <w:szCs w:val="24"/>
                <w:highlight w:val="none"/>
              </w:rPr>
              <w:t>CODmn、氨氮、总磷</w:t>
            </w:r>
          </w:p>
        </w:tc>
      </w:tr>
      <w:tr w14:paraId="71ED74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4B36EF40">
            <w:pPr>
              <w:spacing w:before="93" w:line="172" w:lineRule="auto"/>
              <w:ind w:firstLine="378"/>
              <w:rPr>
                <w:rFonts w:hint="eastAsia" w:ascii="仿宋" w:hAnsi="仿宋" w:eastAsia="仿宋" w:cs="仿宋"/>
                <w:sz w:val="24"/>
                <w:szCs w:val="24"/>
                <w:highlight w:val="none"/>
              </w:rPr>
            </w:pPr>
            <w:r>
              <w:rPr>
                <w:rFonts w:hint="eastAsia" w:ascii="仿宋" w:hAnsi="仿宋" w:eastAsia="仿宋" w:cs="仿宋"/>
                <w:sz w:val="24"/>
                <w:szCs w:val="24"/>
                <w:highlight w:val="none"/>
              </w:rPr>
              <w:t>3</w:t>
            </w:r>
          </w:p>
        </w:tc>
        <w:tc>
          <w:tcPr>
            <w:tcW w:w="1214" w:type="dxa"/>
            <w:noWrap w:val="0"/>
            <w:vAlign w:val="top"/>
          </w:tcPr>
          <w:p w14:paraId="7A1D0711">
            <w:pPr>
              <w:spacing w:before="55" w:line="185" w:lineRule="auto"/>
              <w:ind w:firstLine="252"/>
              <w:rPr>
                <w:rFonts w:hint="eastAsia" w:ascii="仿宋" w:hAnsi="仿宋" w:eastAsia="仿宋" w:cs="仿宋"/>
                <w:sz w:val="24"/>
                <w:szCs w:val="24"/>
                <w:highlight w:val="none"/>
              </w:rPr>
            </w:pPr>
            <w:r>
              <w:rPr>
                <w:rFonts w:hint="eastAsia" w:ascii="仿宋" w:hAnsi="仿宋" w:eastAsia="仿宋" w:cs="仿宋"/>
                <w:spacing w:val="-4"/>
                <w:sz w:val="24"/>
                <w:szCs w:val="24"/>
                <w:highlight w:val="none"/>
              </w:rPr>
              <w:t>石家庄</w:t>
            </w:r>
          </w:p>
        </w:tc>
        <w:tc>
          <w:tcPr>
            <w:tcW w:w="1799" w:type="dxa"/>
            <w:noWrap w:val="0"/>
            <w:vAlign w:val="top"/>
          </w:tcPr>
          <w:p w14:paraId="4363CCC9">
            <w:pPr>
              <w:spacing w:before="55" w:line="185" w:lineRule="auto"/>
              <w:ind w:firstLine="545"/>
              <w:rPr>
                <w:rFonts w:hint="eastAsia" w:ascii="仿宋" w:hAnsi="仿宋" w:eastAsia="仿宋" w:cs="仿宋"/>
                <w:sz w:val="24"/>
                <w:szCs w:val="24"/>
                <w:highlight w:val="none"/>
              </w:rPr>
            </w:pPr>
            <w:r>
              <w:rPr>
                <w:rFonts w:hint="eastAsia" w:ascii="仿宋" w:hAnsi="仿宋" w:eastAsia="仿宋" w:cs="仿宋"/>
                <w:spacing w:val="-3"/>
                <w:sz w:val="24"/>
                <w:szCs w:val="24"/>
                <w:highlight w:val="none"/>
              </w:rPr>
              <w:t>黄壁庄</w:t>
            </w:r>
          </w:p>
        </w:tc>
        <w:tc>
          <w:tcPr>
            <w:tcW w:w="1424" w:type="dxa"/>
            <w:noWrap w:val="0"/>
            <w:vAlign w:val="top"/>
          </w:tcPr>
          <w:p w14:paraId="29858635">
            <w:pPr>
              <w:spacing w:before="55" w:line="185" w:lineRule="auto"/>
              <w:ind w:firstLine="481"/>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水质</w:t>
            </w:r>
          </w:p>
        </w:tc>
        <w:tc>
          <w:tcPr>
            <w:tcW w:w="3288" w:type="dxa"/>
            <w:noWrap w:val="0"/>
            <w:vAlign w:val="top"/>
          </w:tcPr>
          <w:p w14:paraId="216A9F8E">
            <w:pPr>
              <w:spacing w:before="55" w:line="185" w:lineRule="auto"/>
              <w:ind w:firstLine="629"/>
              <w:rPr>
                <w:rFonts w:hint="eastAsia" w:ascii="仿宋" w:hAnsi="仿宋" w:eastAsia="仿宋" w:cs="仿宋"/>
                <w:sz w:val="24"/>
                <w:szCs w:val="24"/>
                <w:highlight w:val="none"/>
              </w:rPr>
            </w:pPr>
            <w:r>
              <w:rPr>
                <w:rFonts w:hint="eastAsia" w:ascii="仿宋" w:hAnsi="仿宋" w:eastAsia="仿宋" w:cs="仿宋"/>
                <w:spacing w:val="-1"/>
                <w:sz w:val="24"/>
                <w:szCs w:val="24"/>
                <w:highlight w:val="none"/>
              </w:rPr>
              <w:t>CODmn、氨氮、总磷</w:t>
            </w:r>
          </w:p>
        </w:tc>
      </w:tr>
      <w:tr w14:paraId="29E16B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12CB7CC6">
            <w:pPr>
              <w:spacing w:before="92" w:line="173" w:lineRule="auto"/>
              <w:ind w:firstLine="372"/>
              <w:rPr>
                <w:rFonts w:hint="eastAsia" w:ascii="仿宋" w:hAnsi="仿宋" w:eastAsia="仿宋" w:cs="仿宋"/>
                <w:sz w:val="24"/>
                <w:szCs w:val="24"/>
                <w:highlight w:val="none"/>
              </w:rPr>
            </w:pPr>
            <w:r>
              <w:rPr>
                <w:rFonts w:hint="eastAsia" w:ascii="仿宋" w:hAnsi="仿宋" w:eastAsia="仿宋" w:cs="仿宋"/>
                <w:sz w:val="24"/>
                <w:szCs w:val="24"/>
                <w:highlight w:val="none"/>
              </w:rPr>
              <w:t>4</w:t>
            </w:r>
          </w:p>
        </w:tc>
        <w:tc>
          <w:tcPr>
            <w:tcW w:w="1214" w:type="dxa"/>
            <w:noWrap w:val="0"/>
            <w:vAlign w:val="top"/>
          </w:tcPr>
          <w:p w14:paraId="1116448F">
            <w:pPr>
              <w:spacing w:before="54" w:line="185" w:lineRule="auto"/>
              <w:ind w:firstLine="252"/>
              <w:rPr>
                <w:rFonts w:hint="eastAsia" w:ascii="仿宋" w:hAnsi="仿宋" w:eastAsia="仿宋" w:cs="仿宋"/>
                <w:sz w:val="24"/>
                <w:szCs w:val="24"/>
                <w:highlight w:val="none"/>
              </w:rPr>
            </w:pPr>
            <w:r>
              <w:rPr>
                <w:rFonts w:hint="eastAsia" w:ascii="仿宋" w:hAnsi="仿宋" w:eastAsia="仿宋" w:cs="仿宋"/>
                <w:spacing w:val="-4"/>
                <w:sz w:val="24"/>
                <w:szCs w:val="24"/>
                <w:highlight w:val="none"/>
              </w:rPr>
              <w:t>石家庄</w:t>
            </w:r>
          </w:p>
        </w:tc>
        <w:tc>
          <w:tcPr>
            <w:tcW w:w="1799" w:type="dxa"/>
            <w:noWrap w:val="0"/>
            <w:vAlign w:val="top"/>
          </w:tcPr>
          <w:p w14:paraId="585E3BA4">
            <w:pPr>
              <w:spacing w:before="54" w:line="185" w:lineRule="auto"/>
              <w:ind w:firstLine="665"/>
              <w:rPr>
                <w:rFonts w:hint="eastAsia" w:ascii="仿宋" w:hAnsi="仿宋" w:eastAsia="仿宋" w:cs="仿宋"/>
                <w:sz w:val="24"/>
                <w:szCs w:val="24"/>
                <w:highlight w:val="none"/>
              </w:rPr>
            </w:pPr>
            <w:r>
              <w:rPr>
                <w:rFonts w:hint="eastAsia" w:ascii="仿宋" w:hAnsi="仿宋" w:eastAsia="仿宋" w:cs="仿宋"/>
                <w:spacing w:val="-5"/>
                <w:sz w:val="24"/>
                <w:szCs w:val="24"/>
                <w:highlight w:val="none"/>
              </w:rPr>
              <w:t>黄庄</w:t>
            </w:r>
          </w:p>
        </w:tc>
        <w:tc>
          <w:tcPr>
            <w:tcW w:w="1424" w:type="dxa"/>
            <w:noWrap w:val="0"/>
            <w:vAlign w:val="top"/>
          </w:tcPr>
          <w:p w14:paraId="78991A1A">
            <w:pPr>
              <w:spacing w:before="54" w:line="185" w:lineRule="auto"/>
              <w:ind w:firstLine="481"/>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水质</w:t>
            </w:r>
          </w:p>
        </w:tc>
        <w:tc>
          <w:tcPr>
            <w:tcW w:w="3288" w:type="dxa"/>
            <w:noWrap w:val="0"/>
            <w:vAlign w:val="top"/>
          </w:tcPr>
          <w:p w14:paraId="6775918C">
            <w:pPr>
              <w:spacing w:before="54" w:line="185" w:lineRule="auto"/>
              <w:ind w:firstLine="749"/>
              <w:rPr>
                <w:rFonts w:hint="eastAsia" w:ascii="仿宋" w:hAnsi="仿宋" w:eastAsia="仿宋" w:cs="仿宋"/>
                <w:sz w:val="24"/>
                <w:szCs w:val="24"/>
                <w:highlight w:val="none"/>
              </w:rPr>
            </w:pPr>
            <w:r>
              <w:rPr>
                <w:rFonts w:hint="eastAsia" w:ascii="仿宋" w:hAnsi="仿宋" w:eastAsia="仿宋" w:cs="仿宋"/>
                <w:spacing w:val="-1"/>
                <w:sz w:val="24"/>
                <w:szCs w:val="24"/>
                <w:highlight w:val="none"/>
              </w:rPr>
              <w:t>COD、氨氮、总磷</w:t>
            </w:r>
          </w:p>
        </w:tc>
      </w:tr>
      <w:tr w14:paraId="0FDD2A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jc w:val="center"/>
        </w:trPr>
        <w:tc>
          <w:tcPr>
            <w:tcW w:w="852" w:type="dxa"/>
            <w:noWrap w:val="0"/>
            <w:vAlign w:val="top"/>
          </w:tcPr>
          <w:p w14:paraId="79819215">
            <w:pPr>
              <w:spacing w:before="96" w:line="172" w:lineRule="auto"/>
              <w:ind w:firstLine="378"/>
              <w:rPr>
                <w:rFonts w:hint="eastAsia" w:ascii="仿宋" w:hAnsi="仿宋" w:eastAsia="仿宋" w:cs="仿宋"/>
                <w:sz w:val="24"/>
                <w:szCs w:val="24"/>
                <w:highlight w:val="none"/>
              </w:rPr>
            </w:pPr>
            <w:r>
              <w:rPr>
                <w:rFonts w:hint="eastAsia" w:ascii="仿宋" w:hAnsi="仿宋" w:eastAsia="仿宋" w:cs="仿宋"/>
                <w:sz w:val="24"/>
                <w:szCs w:val="24"/>
                <w:highlight w:val="none"/>
              </w:rPr>
              <w:t>5</w:t>
            </w:r>
          </w:p>
        </w:tc>
        <w:tc>
          <w:tcPr>
            <w:tcW w:w="1214" w:type="dxa"/>
            <w:noWrap w:val="0"/>
            <w:vAlign w:val="top"/>
          </w:tcPr>
          <w:p w14:paraId="4E070116">
            <w:pPr>
              <w:spacing w:before="56" w:line="185" w:lineRule="auto"/>
              <w:ind w:firstLine="252"/>
              <w:rPr>
                <w:rFonts w:hint="eastAsia" w:ascii="仿宋" w:hAnsi="仿宋" w:eastAsia="仿宋" w:cs="仿宋"/>
                <w:sz w:val="24"/>
                <w:szCs w:val="24"/>
                <w:highlight w:val="none"/>
              </w:rPr>
            </w:pPr>
            <w:r>
              <w:rPr>
                <w:rFonts w:hint="eastAsia" w:ascii="仿宋" w:hAnsi="仿宋" w:eastAsia="仿宋" w:cs="仿宋"/>
                <w:spacing w:val="-4"/>
                <w:sz w:val="24"/>
                <w:szCs w:val="24"/>
                <w:highlight w:val="none"/>
              </w:rPr>
              <w:t>石家庄</w:t>
            </w:r>
          </w:p>
        </w:tc>
        <w:tc>
          <w:tcPr>
            <w:tcW w:w="1799" w:type="dxa"/>
            <w:noWrap w:val="0"/>
            <w:vAlign w:val="top"/>
          </w:tcPr>
          <w:p w14:paraId="1289E943">
            <w:pPr>
              <w:spacing w:before="56" w:line="185" w:lineRule="auto"/>
              <w:ind w:firstLine="548"/>
              <w:rPr>
                <w:rFonts w:hint="eastAsia" w:ascii="仿宋" w:hAnsi="仿宋" w:eastAsia="仿宋" w:cs="仿宋"/>
                <w:sz w:val="24"/>
                <w:szCs w:val="24"/>
                <w:highlight w:val="none"/>
              </w:rPr>
            </w:pPr>
            <w:r>
              <w:rPr>
                <w:rFonts w:hint="eastAsia" w:ascii="仿宋" w:hAnsi="仿宋" w:eastAsia="仿宋" w:cs="仿宋"/>
                <w:spacing w:val="-4"/>
                <w:sz w:val="24"/>
                <w:szCs w:val="24"/>
                <w:highlight w:val="none"/>
              </w:rPr>
              <w:t>金河湾</w:t>
            </w:r>
          </w:p>
        </w:tc>
        <w:tc>
          <w:tcPr>
            <w:tcW w:w="1424" w:type="dxa"/>
            <w:noWrap w:val="0"/>
            <w:vAlign w:val="top"/>
          </w:tcPr>
          <w:p w14:paraId="43C320BD">
            <w:pPr>
              <w:spacing w:before="56" w:line="185" w:lineRule="auto"/>
              <w:ind w:firstLine="481"/>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水质</w:t>
            </w:r>
          </w:p>
        </w:tc>
        <w:tc>
          <w:tcPr>
            <w:tcW w:w="3288" w:type="dxa"/>
            <w:noWrap w:val="0"/>
            <w:vAlign w:val="top"/>
          </w:tcPr>
          <w:p w14:paraId="105DF5E1">
            <w:pPr>
              <w:spacing w:before="56" w:line="185" w:lineRule="auto"/>
              <w:ind w:firstLine="749"/>
              <w:rPr>
                <w:rFonts w:hint="eastAsia" w:ascii="仿宋" w:hAnsi="仿宋" w:eastAsia="仿宋" w:cs="仿宋"/>
                <w:sz w:val="24"/>
                <w:szCs w:val="24"/>
                <w:highlight w:val="none"/>
              </w:rPr>
            </w:pPr>
            <w:r>
              <w:rPr>
                <w:rFonts w:hint="eastAsia" w:ascii="仿宋" w:hAnsi="仿宋" w:eastAsia="仿宋" w:cs="仿宋"/>
                <w:spacing w:val="-1"/>
                <w:sz w:val="24"/>
                <w:szCs w:val="24"/>
                <w:highlight w:val="none"/>
              </w:rPr>
              <w:t>COD、氨氮、总磷</w:t>
            </w:r>
          </w:p>
        </w:tc>
      </w:tr>
      <w:tr w14:paraId="1BADA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jc w:val="center"/>
        </w:trPr>
        <w:tc>
          <w:tcPr>
            <w:tcW w:w="852" w:type="dxa"/>
            <w:noWrap w:val="0"/>
            <w:vAlign w:val="top"/>
          </w:tcPr>
          <w:p w14:paraId="4579A32A">
            <w:pPr>
              <w:spacing w:before="95" w:line="174" w:lineRule="auto"/>
              <w:ind w:firstLine="375"/>
              <w:rPr>
                <w:rFonts w:hint="eastAsia" w:ascii="仿宋" w:hAnsi="仿宋" w:eastAsia="仿宋" w:cs="仿宋"/>
                <w:sz w:val="24"/>
                <w:szCs w:val="24"/>
                <w:highlight w:val="none"/>
              </w:rPr>
            </w:pPr>
            <w:r>
              <w:rPr>
                <w:rFonts w:hint="eastAsia" w:ascii="仿宋" w:hAnsi="仿宋" w:eastAsia="仿宋" w:cs="仿宋"/>
                <w:sz w:val="24"/>
                <w:szCs w:val="24"/>
                <w:highlight w:val="none"/>
              </w:rPr>
              <w:t>6</w:t>
            </w:r>
          </w:p>
        </w:tc>
        <w:tc>
          <w:tcPr>
            <w:tcW w:w="1214" w:type="dxa"/>
            <w:noWrap w:val="0"/>
            <w:vAlign w:val="top"/>
          </w:tcPr>
          <w:p w14:paraId="1707785B">
            <w:pPr>
              <w:spacing w:before="53"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1EEE7EC6">
            <w:pPr>
              <w:spacing w:before="53" w:line="185" w:lineRule="auto"/>
              <w:ind w:firstLine="549" w:firstLineChars="0"/>
              <w:rPr>
                <w:rFonts w:hint="default"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五支渠</w:t>
            </w:r>
          </w:p>
        </w:tc>
        <w:tc>
          <w:tcPr>
            <w:tcW w:w="1424" w:type="dxa"/>
            <w:noWrap w:val="0"/>
            <w:vAlign w:val="top"/>
          </w:tcPr>
          <w:p w14:paraId="469113BB">
            <w:pPr>
              <w:spacing w:before="53"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038CD2F8">
            <w:pPr>
              <w:spacing w:before="53"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4AFE1B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62874A45">
            <w:pPr>
              <w:spacing w:before="91" w:line="174" w:lineRule="auto"/>
              <w:ind w:firstLine="379"/>
              <w:rPr>
                <w:rFonts w:hint="eastAsia" w:ascii="仿宋" w:hAnsi="仿宋" w:eastAsia="仿宋" w:cs="仿宋"/>
                <w:sz w:val="24"/>
                <w:szCs w:val="24"/>
                <w:highlight w:val="none"/>
              </w:rPr>
            </w:pPr>
            <w:r>
              <w:rPr>
                <w:rFonts w:hint="eastAsia" w:ascii="仿宋" w:hAnsi="仿宋" w:eastAsia="仿宋" w:cs="仿宋"/>
                <w:sz w:val="24"/>
                <w:szCs w:val="24"/>
                <w:highlight w:val="none"/>
              </w:rPr>
              <w:t>7</w:t>
            </w:r>
          </w:p>
        </w:tc>
        <w:tc>
          <w:tcPr>
            <w:tcW w:w="1214" w:type="dxa"/>
            <w:noWrap w:val="0"/>
            <w:vAlign w:val="top"/>
          </w:tcPr>
          <w:p w14:paraId="329EA722">
            <w:pPr>
              <w:spacing w:before="53"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6441E953">
            <w:pPr>
              <w:spacing w:before="53" w:line="185" w:lineRule="auto"/>
              <w:jc w:val="center"/>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5"/>
                <w:sz w:val="24"/>
                <w:szCs w:val="24"/>
                <w:highlight w:val="none"/>
              </w:rPr>
              <w:t>南席村</w:t>
            </w:r>
            <w:r>
              <w:rPr>
                <w:rFonts w:hint="eastAsia" w:ascii="仿宋" w:hAnsi="仿宋" w:eastAsia="仿宋" w:cs="仿宋"/>
                <w:spacing w:val="-5"/>
                <w:sz w:val="24"/>
                <w:szCs w:val="24"/>
                <w:highlight w:val="none"/>
                <w:lang w:val="en-US" w:eastAsia="zh-CN"/>
              </w:rPr>
              <w:t>东桥</w:t>
            </w:r>
          </w:p>
        </w:tc>
        <w:tc>
          <w:tcPr>
            <w:tcW w:w="1424" w:type="dxa"/>
            <w:noWrap w:val="0"/>
            <w:vAlign w:val="top"/>
          </w:tcPr>
          <w:p w14:paraId="376C89C9">
            <w:pPr>
              <w:spacing w:before="53"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9A6085B">
            <w:pPr>
              <w:spacing w:before="53"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0F6C97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05A10254">
            <w:pPr>
              <w:spacing w:before="91" w:line="174" w:lineRule="auto"/>
              <w:ind w:firstLine="374"/>
              <w:rPr>
                <w:rFonts w:hint="eastAsia" w:ascii="仿宋" w:hAnsi="仿宋" w:eastAsia="仿宋" w:cs="仿宋"/>
                <w:sz w:val="24"/>
                <w:szCs w:val="24"/>
                <w:highlight w:val="none"/>
              </w:rPr>
            </w:pPr>
            <w:r>
              <w:rPr>
                <w:rFonts w:hint="eastAsia" w:ascii="仿宋" w:hAnsi="仿宋" w:eastAsia="仿宋" w:cs="仿宋"/>
                <w:sz w:val="24"/>
                <w:szCs w:val="24"/>
                <w:highlight w:val="none"/>
              </w:rPr>
              <w:t>8</w:t>
            </w:r>
          </w:p>
        </w:tc>
        <w:tc>
          <w:tcPr>
            <w:tcW w:w="1214" w:type="dxa"/>
            <w:noWrap w:val="0"/>
            <w:vAlign w:val="top"/>
          </w:tcPr>
          <w:p w14:paraId="3B50DA4C">
            <w:pPr>
              <w:spacing w:before="52"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6DFD6555">
            <w:pPr>
              <w:spacing w:before="52" w:line="185" w:lineRule="auto"/>
              <w:jc w:val="center"/>
              <w:rPr>
                <w:rFonts w:hint="default" w:ascii="仿宋" w:hAnsi="仿宋" w:eastAsia="仿宋" w:cs="仿宋"/>
                <w:kern w:val="2"/>
                <w:sz w:val="24"/>
                <w:szCs w:val="24"/>
                <w:highlight w:val="none"/>
                <w:lang w:val="en-US" w:eastAsia="zh-CN" w:bidi="ar-SA"/>
              </w:rPr>
            </w:pPr>
            <w:r>
              <w:rPr>
                <w:rFonts w:hint="eastAsia" w:ascii="仿宋" w:hAnsi="仿宋" w:eastAsia="仿宋" w:cs="仿宋"/>
                <w:spacing w:val="-6"/>
                <w:sz w:val="24"/>
                <w:szCs w:val="24"/>
                <w:highlight w:val="none"/>
              </w:rPr>
              <w:t>土山</w:t>
            </w:r>
            <w:r>
              <w:rPr>
                <w:rFonts w:hint="eastAsia" w:ascii="仿宋" w:hAnsi="仿宋" w:eastAsia="仿宋" w:cs="仿宋"/>
                <w:spacing w:val="-6"/>
                <w:sz w:val="24"/>
                <w:szCs w:val="24"/>
                <w:highlight w:val="none"/>
                <w:lang w:val="en-US" w:eastAsia="zh-CN"/>
              </w:rPr>
              <w:t>村桥</w:t>
            </w:r>
          </w:p>
        </w:tc>
        <w:tc>
          <w:tcPr>
            <w:tcW w:w="1424" w:type="dxa"/>
            <w:noWrap w:val="0"/>
            <w:vAlign w:val="top"/>
          </w:tcPr>
          <w:p w14:paraId="2D06215C">
            <w:pPr>
              <w:spacing w:before="52"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7C38E08">
            <w:pPr>
              <w:spacing w:before="52"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3EDAD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68D2D451">
            <w:pPr>
              <w:spacing w:before="89" w:line="175" w:lineRule="auto"/>
              <w:ind w:firstLine="374"/>
              <w:rPr>
                <w:rFonts w:hint="eastAsia" w:ascii="仿宋" w:hAnsi="仿宋" w:eastAsia="仿宋" w:cs="仿宋"/>
                <w:sz w:val="24"/>
                <w:szCs w:val="24"/>
                <w:highlight w:val="none"/>
              </w:rPr>
            </w:pPr>
            <w:r>
              <w:rPr>
                <w:rFonts w:hint="eastAsia" w:ascii="仿宋" w:hAnsi="仿宋" w:eastAsia="仿宋" w:cs="仿宋"/>
                <w:sz w:val="24"/>
                <w:szCs w:val="24"/>
                <w:highlight w:val="none"/>
              </w:rPr>
              <w:t>9</w:t>
            </w:r>
          </w:p>
        </w:tc>
        <w:tc>
          <w:tcPr>
            <w:tcW w:w="1214" w:type="dxa"/>
            <w:noWrap w:val="0"/>
            <w:vAlign w:val="top"/>
          </w:tcPr>
          <w:p w14:paraId="1AD844B4">
            <w:pPr>
              <w:spacing w:before="54"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619AEE11">
            <w:pPr>
              <w:spacing w:before="54" w:line="185" w:lineRule="auto"/>
              <w:ind w:firstLine="665"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5"/>
                <w:sz w:val="24"/>
                <w:szCs w:val="24"/>
                <w:highlight w:val="none"/>
              </w:rPr>
              <w:t>赵村</w:t>
            </w:r>
          </w:p>
        </w:tc>
        <w:tc>
          <w:tcPr>
            <w:tcW w:w="1424" w:type="dxa"/>
            <w:noWrap w:val="0"/>
            <w:vAlign w:val="top"/>
          </w:tcPr>
          <w:p w14:paraId="602BBBBA">
            <w:pPr>
              <w:spacing w:before="54"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018F44F1">
            <w:pPr>
              <w:spacing w:before="54"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62FF55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3E176FA7">
            <w:pPr>
              <w:spacing w:before="90" w:line="174"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10</w:t>
            </w:r>
          </w:p>
        </w:tc>
        <w:tc>
          <w:tcPr>
            <w:tcW w:w="1214" w:type="dxa"/>
            <w:noWrap w:val="0"/>
            <w:vAlign w:val="top"/>
          </w:tcPr>
          <w:p w14:paraId="7352E574">
            <w:pPr>
              <w:spacing w:before="56"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007C5E29">
            <w:pPr>
              <w:spacing w:before="56" w:line="185" w:lineRule="auto"/>
              <w:ind w:firstLine="550"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5"/>
                <w:sz w:val="24"/>
                <w:szCs w:val="24"/>
                <w:highlight w:val="none"/>
              </w:rPr>
              <w:t>北岩村</w:t>
            </w:r>
          </w:p>
        </w:tc>
        <w:tc>
          <w:tcPr>
            <w:tcW w:w="1424" w:type="dxa"/>
            <w:noWrap w:val="0"/>
            <w:vAlign w:val="top"/>
          </w:tcPr>
          <w:p w14:paraId="712C9ED7">
            <w:pPr>
              <w:spacing w:before="56"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BCEBD20">
            <w:pPr>
              <w:spacing w:before="56"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31AF4C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133C76DC">
            <w:pPr>
              <w:spacing w:before="93" w:line="173"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11</w:t>
            </w:r>
          </w:p>
        </w:tc>
        <w:tc>
          <w:tcPr>
            <w:tcW w:w="1214" w:type="dxa"/>
            <w:noWrap w:val="0"/>
            <w:vAlign w:val="top"/>
          </w:tcPr>
          <w:p w14:paraId="0F7D6E81">
            <w:pPr>
              <w:spacing w:before="54"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192A950A">
            <w:pPr>
              <w:spacing w:before="54" w:line="185" w:lineRule="auto"/>
              <w:ind w:firstLine="547"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花林村</w:t>
            </w:r>
          </w:p>
        </w:tc>
        <w:tc>
          <w:tcPr>
            <w:tcW w:w="1424" w:type="dxa"/>
            <w:noWrap w:val="0"/>
            <w:vAlign w:val="top"/>
          </w:tcPr>
          <w:p w14:paraId="7D7340C5">
            <w:pPr>
              <w:spacing w:before="54"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4BBCD36">
            <w:pPr>
              <w:spacing w:before="54"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68FD84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19405301">
            <w:pPr>
              <w:spacing w:before="91" w:line="174"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12</w:t>
            </w:r>
          </w:p>
        </w:tc>
        <w:tc>
          <w:tcPr>
            <w:tcW w:w="1214" w:type="dxa"/>
            <w:noWrap w:val="0"/>
            <w:vAlign w:val="top"/>
          </w:tcPr>
          <w:p w14:paraId="4C38E5B9">
            <w:pPr>
              <w:spacing w:before="55"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11872487">
            <w:pPr>
              <w:spacing w:before="55" w:line="185" w:lineRule="auto"/>
              <w:ind w:firstLine="550"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5"/>
                <w:sz w:val="24"/>
                <w:szCs w:val="24"/>
                <w:highlight w:val="none"/>
              </w:rPr>
              <w:t>坚固村</w:t>
            </w:r>
          </w:p>
        </w:tc>
        <w:tc>
          <w:tcPr>
            <w:tcW w:w="1424" w:type="dxa"/>
            <w:noWrap w:val="0"/>
            <w:vAlign w:val="top"/>
          </w:tcPr>
          <w:p w14:paraId="14C7EFB8">
            <w:pPr>
              <w:spacing w:before="55"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BCA47B9">
            <w:pPr>
              <w:spacing w:before="55"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18FA9D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34C54F8F">
            <w:pPr>
              <w:spacing w:before="91" w:line="174"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13</w:t>
            </w:r>
          </w:p>
        </w:tc>
        <w:tc>
          <w:tcPr>
            <w:tcW w:w="1214" w:type="dxa"/>
            <w:noWrap w:val="0"/>
            <w:vAlign w:val="top"/>
          </w:tcPr>
          <w:p w14:paraId="15FEE049">
            <w:pPr>
              <w:spacing w:before="54"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475A8C2E">
            <w:pPr>
              <w:spacing w:before="54" w:line="185" w:lineRule="auto"/>
              <w:ind w:firstLine="546"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执阳村</w:t>
            </w:r>
          </w:p>
        </w:tc>
        <w:tc>
          <w:tcPr>
            <w:tcW w:w="1424" w:type="dxa"/>
            <w:noWrap w:val="0"/>
            <w:vAlign w:val="top"/>
          </w:tcPr>
          <w:p w14:paraId="6F6A83A9">
            <w:pPr>
              <w:spacing w:before="54"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78D9D345">
            <w:pPr>
              <w:spacing w:before="54"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7F3250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4C5A4A6B">
            <w:pPr>
              <w:spacing w:before="90" w:line="174"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14</w:t>
            </w:r>
          </w:p>
        </w:tc>
        <w:tc>
          <w:tcPr>
            <w:tcW w:w="1214" w:type="dxa"/>
            <w:noWrap w:val="0"/>
            <w:vAlign w:val="top"/>
          </w:tcPr>
          <w:p w14:paraId="63DDB2DC">
            <w:pPr>
              <w:spacing w:before="56"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16BF0F9E">
            <w:pPr>
              <w:spacing w:before="56" w:line="185" w:lineRule="auto"/>
              <w:jc w:val="center"/>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9"/>
                <w:sz w:val="24"/>
                <w:szCs w:val="24"/>
                <w:highlight w:val="none"/>
                <w:lang w:val="en-US" w:eastAsia="zh-CN"/>
              </w:rPr>
              <w:t>同下村</w:t>
            </w:r>
          </w:p>
        </w:tc>
        <w:tc>
          <w:tcPr>
            <w:tcW w:w="1424" w:type="dxa"/>
            <w:noWrap w:val="0"/>
            <w:vAlign w:val="top"/>
          </w:tcPr>
          <w:p w14:paraId="37B3B015">
            <w:pPr>
              <w:spacing w:before="56"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BBDB877">
            <w:pPr>
              <w:spacing w:before="56"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5D283B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78EF826C">
            <w:pPr>
              <w:spacing w:before="93" w:line="173"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15</w:t>
            </w:r>
          </w:p>
        </w:tc>
        <w:tc>
          <w:tcPr>
            <w:tcW w:w="1214" w:type="dxa"/>
            <w:noWrap w:val="0"/>
            <w:vAlign w:val="top"/>
          </w:tcPr>
          <w:p w14:paraId="2D7A8B04">
            <w:pPr>
              <w:spacing w:before="55"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2CEF7E0B">
            <w:pPr>
              <w:spacing w:before="55" w:line="185" w:lineRule="auto"/>
              <w:ind w:firstLine="555"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6"/>
                <w:sz w:val="24"/>
                <w:szCs w:val="24"/>
                <w:highlight w:val="none"/>
              </w:rPr>
              <w:t>东元村</w:t>
            </w:r>
          </w:p>
        </w:tc>
        <w:tc>
          <w:tcPr>
            <w:tcW w:w="1424" w:type="dxa"/>
            <w:noWrap w:val="0"/>
            <w:vAlign w:val="top"/>
          </w:tcPr>
          <w:p w14:paraId="45AA9E5C">
            <w:pPr>
              <w:spacing w:before="55"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78BD6BF0">
            <w:pPr>
              <w:spacing w:before="55"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7C154B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19EE3AAB">
            <w:pPr>
              <w:spacing w:before="91" w:line="174"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16</w:t>
            </w:r>
          </w:p>
        </w:tc>
        <w:tc>
          <w:tcPr>
            <w:tcW w:w="1214" w:type="dxa"/>
            <w:noWrap w:val="0"/>
            <w:vAlign w:val="top"/>
          </w:tcPr>
          <w:p w14:paraId="60ADFAB9">
            <w:pPr>
              <w:spacing w:before="56"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4950B11F">
            <w:pPr>
              <w:spacing w:before="56" w:line="185" w:lineRule="auto"/>
              <w:ind w:firstLine="425"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3"/>
                <w:sz w:val="24"/>
                <w:szCs w:val="24"/>
                <w:highlight w:val="none"/>
              </w:rPr>
              <w:t>横南道口</w:t>
            </w:r>
          </w:p>
        </w:tc>
        <w:tc>
          <w:tcPr>
            <w:tcW w:w="1424" w:type="dxa"/>
            <w:noWrap w:val="0"/>
            <w:vAlign w:val="top"/>
          </w:tcPr>
          <w:p w14:paraId="0CA62F21">
            <w:pPr>
              <w:spacing w:before="56"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4C84D33E">
            <w:pPr>
              <w:spacing w:before="56"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0E8C8E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4E0DD4BD">
            <w:pPr>
              <w:spacing w:before="93" w:line="173"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17</w:t>
            </w:r>
          </w:p>
        </w:tc>
        <w:tc>
          <w:tcPr>
            <w:tcW w:w="1214" w:type="dxa"/>
            <w:noWrap w:val="0"/>
            <w:vAlign w:val="top"/>
          </w:tcPr>
          <w:p w14:paraId="145C0B9B">
            <w:pPr>
              <w:spacing w:before="55"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59E6C8F4">
            <w:pPr>
              <w:spacing w:before="55" w:line="185" w:lineRule="auto"/>
              <w:ind w:firstLine="67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8"/>
                <w:sz w:val="24"/>
                <w:szCs w:val="24"/>
                <w:highlight w:val="none"/>
              </w:rPr>
              <w:t>西庄</w:t>
            </w:r>
          </w:p>
        </w:tc>
        <w:tc>
          <w:tcPr>
            <w:tcW w:w="1424" w:type="dxa"/>
            <w:noWrap w:val="0"/>
            <w:vAlign w:val="top"/>
          </w:tcPr>
          <w:p w14:paraId="68A33822">
            <w:pPr>
              <w:spacing w:before="55"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3C8A2FE">
            <w:pPr>
              <w:spacing w:before="55"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5FD96F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7E5B7833">
            <w:pPr>
              <w:spacing w:before="93" w:line="173"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18</w:t>
            </w:r>
          </w:p>
        </w:tc>
        <w:tc>
          <w:tcPr>
            <w:tcW w:w="1214" w:type="dxa"/>
            <w:noWrap w:val="0"/>
            <w:vAlign w:val="top"/>
          </w:tcPr>
          <w:p w14:paraId="6200E329">
            <w:pPr>
              <w:spacing w:before="57"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70333200">
            <w:pPr>
              <w:spacing w:before="57" w:line="185" w:lineRule="auto"/>
              <w:ind w:firstLine="548"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龙泉固</w:t>
            </w:r>
          </w:p>
        </w:tc>
        <w:tc>
          <w:tcPr>
            <w:tcW w:w="1424" w:type="dxa"/>
            <w:noWrap w:val="0"/>
            <w:vAlign w:val="top"/>
          </w:tcPr>
          <w:p w14:paraId="72E98C14">
            <w:pPr>
              <w:spacing w:before="57"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0F1360B5">
            <w:pPr>
              <w:spacing w:before="57"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7000CE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852" w:type="dxa"/>
            <w:noWrap w:val="0"/>
            <w:vAlign w:val="top"/>
          </w:tcPr>
          <w:p w14:paraId="5BC5DF02">
            <w:pPr>
              <w:spacing w:before="92" w:line="173" w:lineRule="auto"/>
              <w:ind w:firstLine="331"/>
              <w:rPr>
                <w:rFonts w:hint="eastAsia" w:ascii="仿宋" w:hAnsi="仿宋" w:eastAsia="仿宋" w:cs="仿宋"/>
                <w:sz w:val="24"/>
                <w:szCs w:val="24"/>
                <w:highlight w:val="none"/>
              </w:rPr>
            </w:pPr>
            <w:r>
              <w:rPr>
                <w:rFonts w:hint="eastAsia" w:ascii="仿宋" w:hAnsi="仿宋" w:eastAsia="仿宋" w:cs="仿宋"/>
                <w:spacing w:val="-11"/>
                <w:w w:val="97"/>
                <w:sz w:val="24"/>
                <w:szCs w:val="24"/>
                <w:highlight w:val="none"/>
              </w:rPr>
              <w:t>19</w:t>
            </w:r>
          </w:p>
        </w:tc>
        <w:tc>
          <w:tcPr>
            <w:tcW w:w="1214" w:type="dxa"/>
            <w:noWrap w:val="0"/>
            <w:vAlign w:val="top"/>
          </w:tcPr>
          <w:p w14:paraId="7CC50060">
            <w:pPr>
              <w:spacing w:before="56"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515E09A8">
            <w:pPr>
              <w:spacing w:before="56" w:line="185" w:lineRule="auto"/>
              <w:ind w:firstLine="426"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3"/>
                <w:sz w:val="24"/>
                <w:szCs w:val="24"/>
                <w:highlight w:val="none"/>
              </w:rPr>
              <w:t>衡井大桥</w:t>
            </w:r>
          </w:p>
        </w:tc>
        <w:tc>
          <w:tcPr>
            <w:tcW w:w="1424" w:type="dxa"/>
            <w:noWrap w:val="0"/>
            <w:vAlign w:val="top"/>
          </w:tcPr>
          <w:p w14:paraId="1FD46B9F">
            <w:pPr>
              <w:spacing w:before="56"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7721D09F">
            <w:pPr>
              <w:spacing w:before="56"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6C5A42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453955A4">
            <w:pPr>
              <w:spacing w:before="95" w:line="171" w:lineRule="auto"/>
              <w:ind w:firstLine="316"/>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20</w:t>
            </w:r>
          </w:p>
        </w:tc>
        <w:tc>
          <w:tcPr>
            <w:tcW w:w="1214" w:type="dxa"/>
            <w:noWrap w:val="0"/>
            <w:vAlign w:val="top"/>
          </w:tcPr>
          <w:p w14:paraId="401FC585">
            <w:pPr>
              <w:spacing w:before="57"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3FFAAE5A">
            <w:pPr>
              <w:spacing w:before="57" w:line="185" w:lineRule="auto"/>
              <w:jc w:val="center"/>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6"/>
                <w:sz w:val="24"/>
                <w:szCs w:val="24"/>
                <w:highlight w:val="none"/>
              </w:rPr>
              <w:t>龙门</w:t>
            </w:r>
            <w:r>
              <w:rPr>
                <w:rFonts w:hint="eastAsia" w:ascii="仿宋" w:hAnsi="仿宋" w:eastAsia="仿宋" w:cs="仿宋"/>
                <w:spacing w:val="-6"/>
                <w:sz w:val="24"/>
                <w:szCs w:val="24"/>
                <w:highlight w:val="none"/>
                <w:lang w:val="en-US" w:eastAsia="zh-CN"/>
              </w:rPr>
              <w:t>桥</w:t>
            </w:r>
          </w:p>
        </w:tc>
        <w:tc>
          <w:tcPr>
            <w:tcW w:w="1424" w:type="dxa"/>
            <w:noWrap w:val="0"/>
            <w:vAlign w:val="top"/>
          </w:tcPr>
          <w:p w14:paraId="13D08E96">
            <w:pPr>
              <w:spacing w:before="57"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11DA8BD5">
            <w:pPr>
              <w:spacing w:before="57"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5F5DAF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7642822F">
            <w:pPr>
              <w:spacing w:before="93" w:line="173" w:lineRule="auto"/>
              <w:ind w:firstLine="316"/>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21</w:t>
            </w:r>
          </w:p>
        </w:tc>
        <w:tc>
          <w:tcPr>
            <w:tcW w:w="1214" w:type="dxa"/>
            <w:noWrap w:val="0"/>
            <w:vAlign w:val="top"/>
          </w:tcPr>
          <w:p w14:paraId="07889D8C">
            <w:pPr>
              <w:spacing w:before="58"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368AC204">
            <w:pPr>
              <w:spacing w:before="58" w:line="185" w:lineRule="auto"/>
              <w:ind w:firstLine="4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8"/>
                <w:sz w:val="24"/>
                <w:szCs w:val="24"/>
                <w:highlight w:val="none"/>
              </w:rPr>
              <w:t>四方通信</w:t>
            </w:r>
          </w:p>
        </w:tc>
        <w:tc>
          <w:tcPr>
            <w:tcW w:w="1424" w:type="dxa"/>
            <w:noWrap w:val="0"/>
            <w:vAlign w:val="top"/>
          </w:tcPr>
          <w:p w14:paraId="2C744E33">
            <w:pPr>
              <w:spacing w:before="58"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24E5A7B1">
            <w:pPr>
              <w:spacing w:before="58"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r w14:paraId="339009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852" w:type="dxa"/>
            <w:noWrap w:val="0"/>
            <w:vAlign w:val="top"/>
          </w:tcPr>
          <w:p w14:paraId="44355A2A">
            <w:pPr>
              <w:spacing w:before="94" w:line="172" w:lineRule="auto"/>
              <w:ind w:firstLine="316"/>
              <w:rPr>
                <w:rFonts w:hint="eastAsia" w:ascii="仿宋" w:hAnsi="仿宋" w:eastAsia="仿宋" w:cs="仿宋"/>
                <w:sz w:val="24"/>
                <w:szCs w:val="24"/>
                <w:highlight w:val="none"/>
              </w:rPr>
            </w:pPr>
            <w:r>
              <w:rPr>
                <w:rFonts w:hint="eastAsia" w:ascii="仿宋" w:hAnsi="仿宋" w:eastAsia="仿宋" w:cs="仿宋"/>
                <w:spacing w:val="-7"/>
                <w:sz w:val="24"/>
                <w:szCs w:val="24"/>
                <w:highlight w:val="none"/>
              </w:rPr>
              <w:t>22</w:t>
            </w:r>
          </w:p>
        </w:tc>
        <w:tc>
          <w:tcPr>
            <w:tcW w:w="1214" w:type="dxa"/>
            <w:noWrap w:val="0"/>
            <w:vAlign w:val="top"/>
          </w:tcPr>
          <w:p w14:paraId="266F9975">
            <w:pPr>
              <w:spacing w:before="56" w:line="185" w:lineRule="auto"/>
              <w:ind w:firstLine="252"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4"/>
                <w:sz w:val="24"/>
                <w:szCs w:val="24"/>
                <w:highlight w:val="none"/>
              </w:rPr>
              <w:t>石家庄</w:t>
            </w:r>
          </w:p>
        </w:tc>
        <w:tc>
          <w:tcPr>
            <w:tcW w:w="1799" w:type="dxa"/>
            <w:noWrap w:val="0"/>
            <w:vAlign w:val="top"/>
          </w:tcPr>
          <w:p w14:paraId="75F705E9">
            <w:pPr>
              <w:spacing w:before="56" w:line="185" w:lineRule="auto"/>
              <w:ind w:firstLine="550"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5"/>
                <w:sz w:val="24"/>
                <w:szCs w:val="24"/>
                <w:highlight w:val="none"/>
              </w:rPr>
              <w:t>北龙化</w:t>
            </w:r>
          </w:p>
        </w:tc>
        <w:tc>
          <w:tcPr>
            <w:tcW w:w="1424" w:type="dxa"/>
            <w:noWrap w:val="0"/>
            <w:vAlign w:val="top"/>
          </w:tcPr>
          <w:p w14:paraId="49CE4846">
            <w:pPr>
              <w:spacing w:before="56" w:line="185" w:lineRule="auto"/>
              <w:ind w:firstLine="481"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7"/>
                <w:sz w:val="24"/>
                <w:szCs w:val="24"/>
                <w:highlight w:val="none"/>
              </w:rPr>
              <w:t>水质</w:t>
            </w:r>
          </w:p>
        </w:tc>
        <w:tc>
          <w:tcPr>
            <w:tcW w:w="3288" w:type="dxa"/>
            <w:noWrap w:val="0"/>
            <w:vAlign w:val="top"/>
          </w:tcPr>
          <w:p w14:paraId="3A030C53">
            <w:pPr>
              <w:spacing w:before="56" w:line="185" w:lineRule="auto"/>
              <w:ind w:firstLine="749" w:firstLineChars="0"/>
              <w:rPr>
                <w:rFonts w:hint="eastAsia" w:ascii="仿宋" w:hAnsi="仿宋" w:eastAsia="仿宋" w:cs="仿宋"/>
                <w:kern w:val="2"/>
                <w:sz w:val="24"/>
                <w:szCs w:val="24"/>
                <w:highlight w:val="none"/>
                <w:lang w:val="en-US" w:eastAsia="zh-CN" w:bidi="ar-SA"/>
              </w:rPr>
            </w:pPr>
            <w:r>
              <w:rPr>
                <w:rFonts w:hint="eastAsia" w:ascii="仿宋" w:hAnsi="仿宋" w:eastAsia="仿宋" w:cs="仿宋"/>
                <w:spacing w:val="-1"/>
                <w:sz w:val="24"/>
                <w:szCs w:val="24"/>
                <w:highlight w:val="none"/>
              </w:rPr>
              <w:t>COD、氨氮、总磷</w:t>
            </w:r>
          </w:p>
        </w:tc>
      </w:tr>
    </w:tbl>
    <w:p w14:paraId="17419EA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outlineLvl w:val="2"/>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val="en-US" w:eastAsia="zh-CN"/>
        </w:rPr>
        <w:t>1.技术</w:t>
      </w:r>
      <w:r>
        <w:rPr>
          <w:rFonts w:hint="eastAsia" w:ascii="仿宋_GB2312" w:hAnsi="仿宋_GB2312" w:eastAsia="仿宋_GB2312" w:cs="仿宋_GB2312"/>
          <w:b/>
          <w:bCs/>
          <w:sz w:val="32"/>
          <w:szCs w:val="32"/>
          <w:highlight w:val="none"/>
        </w:rPr>
        <w:t>要求</w:t>
      </w:r>
    </w:p>
    <w:p w14:paraId="2B38079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当采购人依据国家、省、市有关规定和技术要求出台新的运维要求时，以新要求为准。运维期间根据上级部门管理要求，如遇水站搬迁，投标人应配合完成搬迁工作。搬迁所产生费用由投标人承担。</w:t>
      </w:r>
    </w:p>
    <w:p w14:paraId="01708C4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3"/>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1.1投标人技术服务内容包含：</w:t>
      </w:r>
    </w:p>
    <w:p w14:paraId="69B62F6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val="en-GB" w:eastAsia="zh-CN"/>
        </w:rPr>
        <w:t>运维服务期间发生的水、电、废液处理费用、水站安全保障等费用由投标人支付</w:t>
      </w:r>
      <w:r>
        <w:rPr>
          <w:rFonts w:hint="eastAsia" w:ascii="仿宋_GB2312" w:hAnsi="仿宋_GB2312" w:eastAsia="仿宋_GB2312" w:cs="仿宋_GB2312"/>
          <w:color w:val="auto"/>
          <w:sz w:val="32"/>
          <w:szCs w:val="32"/>
          <w:highlight w:val="none"/>
          <w:lang w:val="en-US" w:eastAsia="zh-CN"/>
        </w:rPr>
        <w:t>。</w:t>
      </w:r>
    </w:p>
    <w:p w14:paraId="76BA7A3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运维期间，每站测算实际产生费用，由投标人支付给该项目设备所在水站三方运维公司；支付方式以每季度转账支付。支付内容包括但不限于：水站现场产生水、电、水站安全保障、开展远程质控产生废液处理等费用。</w:t>
      </w:r>
    </w:p>
    <w:p w14:paraId="1B1724A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（2）投标人须配合采购人完成质控检查及考核工作；投标人须制定突发事件应急预案，对突发事件迅速、及时处置。</w:t>
      </w:r>
    </w:p>
    <w:p w14:paraId="37875C5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（3）运维期间，投标人须保证本项目涉及的全部资产完整、安全并处于良好状态。</w:t>
      </w:r>
    </w:p>
    <w:p w14:paraId="5DA9E50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（4）投标人对水站的监测数据负有保密的责任，不得以任何方式和渠道向外界提供或用于商业用途。</w:t>
      </w:r>
    </w:p>
    <w:p w14:paraId="4A39210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（5）投标人须按照项目相关要求开展水站运维工作，进行标准样品的准备；投标文件中必须列出提供的标准样品明细。投标人须承诺中标后按照投标文件中所列标准样品进行供货。</w:t>
      </w:r>
    </w:p>
    <w:p w14:paraId="57C1FD5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投标人应按照采购人要求，对本项目涉及的水站自动监测设备每周2次远程质控。因管理需求，可增加质控频次。投标人对质控结果进行数据统计、数据分析，并按照约定质控频次提交相应份数的质控报告，以及月总结、年总结等报告。质控未合格（通过）及时通知相应运维公司，第一时间前往现场查明原因，进行故障处理，并将情况填写到运维记录中。</w:t>
      </w:r>
    </w:p>
    <w:p w14:paraId="2F09E70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（7）投标人全面负责质控设施的技术服务工作，确保</w:t>
      </w:r>
      <w:r>
        <w:rPr>
          <w:rFonts w:hint="eastAsia" w:ascii="仿宋_GB2312" w:hAnsi="仿宋_GB2312" w:eastAsia="仿宋_GB2312" w:cs="仿宋_GB2312"/>
          <w:color w:val="auto"/>
          <w:sz w:val="32"/>
          <w:szCs w:val="32"/>
          <w:highlight w:val="none"/>
          <w:lang w:val="en-GB" w:eastAsia="zh-CN"/>
        </w:rPr>
        <w:t>辖区内</w:t>
      </w:r>
      <w:r>
        <w:rPr>
          <w:rFonts w:hint="eastAsia" w:ascii="仿宋_GB2312" w:hAnsi="仿宋_GB2312" w:eastAsia="仿宋_GB2312" w:cs="仿宋_GB2312"/>
          <w:color w:val="auto"/>
          <w:sz w:val="32"/>
          <w:szCs w:val="32"/>
          <w:highlight w:val="none"/>
          <w:lang w:val="en-US" w:eastAsia="zh-CN"/>
        </w:rPr>
        <w:t>自动监测设备</w:t>
      </w:r>
      <w:r>
        <w:rPr>
          <w:rFonts w:hint="eastAsia" w:ascii="仿宋_GB2312" w:hAnsi="仿宋_GB2312" w:eastAsia="仿宋_GB2312" w:cs="仿宋_GB2312"/>
          <w:color w:val="auto"/>
          <w:sz w:val="32"/>
          <w:szCs w:val="32"/>
          <w:highlight w:val="none"/>
          <w:lang w:val="en-GB" w:eastAsia="zh-CN"/>
        </w:rPr>
        <w:t>远程质控</w:t>
      </w:r>
      <w:r>
        <w:rPr>
          <w:rFonts w:hint="eastAsia" w:ascii="仿宋_GB2312" w:hAnsi="仿宋_GB2312" w:eastAsia="仿宋_GB2312" w:cs="仿宋_GB2312"/>
          <w:color w:val="auto"/>
          <w:sz w:val="32"/>
          <w:szCs w:val="32"/>
          <w:highlight w:val="none"/>
          <w:lang w:val="en-US" w:eastAsia="zh-CN"/>
        </w:rPr>
        <w:t>系统正常运行，包含质控设备的巡检、调试、维修等。应建立备品备件和备机库，配备必要的备品备件和备机（备机按10比1数量准备）；投标人应按要求或根据备件、耗材使用期限，更换所需备件、耗材。投标人须承诺中标后1个月内配齐本项目运维服务中所涉及设备的备机、耗材、备件；投标文件中必须列出提供备机、耗材、备件明细。备机、备件、耗材质量应不低于原设备，并保证运行。</w:t>
      </w:r>
    </w:p>
    <w:p w14:paraId="0FD245B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（8）按照相关运维技术要求，投标人应根据水站情况制定运维方案、质控方案和突发情况应急预案。</w:t>
      </w:r>
    </w:p>
    <w:p w14:paraId="36153E6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US" w:eastAsia="zh-CN"/>
        </w:rPr>
        <w:t>（9）投标人定期对已建成的远程质控平台进行更新、升级，保证数据库的正常运行，保障网络传输安全。对具备数据传输功能的站点和与互联网连接的平台开展网络安全检查工作。投标人</w:t>
      </w:r>
      <w:r>
        <w:rPr>
          <w:rFonts w:hint="eastAsia" w:ascii="仿宋_GB2312" w:hAnsi="仿宋_GB2312" w:eastAsia="仿宋_GB2312" w:cs="仿宋_GB2312"/>
          <w:color w:val="auto"/>
          <w:sz w:val="32"/>
          <w:szCs w:val="32"/>
          <w:highlight w:val="none"/>
          <w:lang w:val="en-GB" w:eastAsia="zh-CN"/>
        </w:rPr>
        <w:t>应当履行网络安全的义务，由于</w:t>
      </w:r>
      <w:r>
        <w:rPr>
          <w:rFonts w:hint="eastAsia" w:ascii="仿宋_GB2312" w:hAnsi="仿宋_GB2312" w:eastAsia="仿宋_GB2312" w:cs="仿宋_GB2312"/>
          <w:color w:val="auto"/>
          <w:sz w:val="32"/>
          <w:szCs w:val="32"/>
          <w:highlight w:val="none"/>
          <w:lang w:val="en-US" w:eastAsia="zh-CN"/>
        </w:rPr>
        <w:t>投标方</w:t>
      </w:r>
      <w:r>
        <w:rPr>
          <w:rFonts w:hint="eastAsia" w:ascii="仿宋_GB2312" w:hAnsi="仿宋_GB2312" w:eastAsia="仿宋_GB2312" w:cs="仿宋_GB2312"/>
          <w:color w:val="auto"/>
          <w:sz w:val="32"/>
          <w:szCs w:val="32"/>
          <w:highlight w:val="none"/>
          <w:lang w:val="en-GB" w:eastAsia="zh-CN"/>
        </w:rPr>
        <w:t>运维服务不力，导致网络安全事故的发生，给</w:t>
      </w:r>
      <w:r>
        <w:rPr>
          <w:rFonts w:hint="eastAsia" w:ascii="仿宋_GB2312" w:hAnsi="仿宋_GB2312" w:eastAsia="仿宋_GB2312" w:cs="仿宋_GB2312"/>
          <w:color w:val="auto"/>
          <w:sz w:val="32"/>
          <w:szCs w:val="32"/>
          <w:highlight w:val="none"/>
          <w:lang w:val="en-US" w:eastAsia="zh-CN"/>
        </w:rPr>
        <w:t>采购</w:t>
      </w:r>
      <w:r>
        <w:rPr>
          <w:rFonts w:hint="eastAsia" w:ascii="仿宋_GB2312" w:hAnsi="仿宋_GB2312" w:eastAsia="仿宋_GB2312" w:cs="仿宋_GB2312"/>
          <w:color w:val="auto"/>
          <w:sz w:val="32"/>
          <w:szCs w:val="32"/>
          <w:highlight w:val="none"/>
          <w:lang w:val="en-GB" w:eastAsia="zh-CN"/>
        </w:rPr>
        <w:t>方造成不良影响及后果，由</w:t>
      </w:r>
      <w:r>
        <w:rPr>
          <w:rFonts w:hint="eastAsia" w:ascii="仿宋_GB2312" w:hAnsi="仿宋_GB2312" w:eastAsia="仿宋_GB2312" w:cs="仿宋_GB2312"/>
          <w:color w:val="auto"/>
          <w:sz w:val="32"/>
          <w:szCs w:val="32"/>
          <w:highlight w:val="none"/>
          <w:lang w:val="en-US" w:eastAsia="zh-CN"/>
        </w:rPr>
        <w:t>投标人</w:t>
      </w:r>
      <w:r>
        <w:rPr>
          <w:rFonts w:hint="eastAsia" w:ascii="仿宋_GB2312" w:hAnsi="仿宋_GB2312" w:eastAsia="仿宋_GB2312" w:cs="仿宋_GB2312"/>
          <w:color w:val="auto"/>
          <w:sz w:val="32"/>
          <w:szCs w:val="32"/>
          <w:highlight w:val="none"/>
          <w:lang w:val="en-GB" w:eastAsia="zh-CN"/>
        </w:rPr>
        <w:t>承担相应损失。</w:t>
      </w:r>
    </w:p>
    <w:p w14:paraId="020BB1F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（10）投标人按照采购人要求，开展全部水站（如有增加，一并开展）设备盲样考核工作，比对频次每月不少于一次，用于盲样考核的标准物质由投标人负责采购，其中标样应不少于总量的30%。</w:t>
      </w:r>
    </w:p>
    <w:p w14:paraId="1E3DB4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用于盲样考核的标准物质应使用有证标准物质，购置来源、使用过程应记录全面可追溯。标液配制应严格按照规范要求进行稀释，须填写《溶液配置与稀释记录》，每批次浓度送具有CMA资质的第三方实验室检测并出具报告。现场远程质控所用标准物质要求同上。</w:t>
      </w:r>
    </w:p>
    <w:p w14:paraId="0FCCC9D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开展盲样考核时，盲样浓度应根据站点最近一个月的自动监测数据均值，选择浓度接近的考核盲样。并按要求记录测定结果，开展统计分析。</w:t>
      </w:r>
    </w:p>
    <w:p w14:paraId="28D6716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如因国家政策或法规变化、项目财政预算调整或未获批复、其他不可抗力等原因造成采购人采购需求发生变化，采购人有权根据实际情况变更采购范围及采购金额，直至合同取消，采购人对此变更不承担任何责任。</w:t>
      </w:r>
    </w:p>
    <w:p w14:paraId="14AFC43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3"/>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1.2具体服务要求如下：</w:t>
      </w:r>
    </w:p>
    <w:p w14:paraId="6F57BF4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1.2.1地表水在线监测设备质控服务要求</w:t>
      </w:r>
    </w:p>
    <w:p w14:paraId="597ECD9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（1）传输保障要求</w:t>
      </w:r>
    </w:p>
    <w:p w14:paraId="5055C75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保证网络传输畅通。</w:t>
      </w:r>
    </w:p>
    <w:p w14:paraId="3683276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（2）应急保障要求</w:t>
      </w:r>
    </w:p>
    <w:p w14:paraId="6D0FEF5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发现设备异常或巡检发现异常情况后，启动应急预案，及时到达现场并检修维护质控设备，48小时内不能及时修复马上启用备机。</w:t>
      </w:r>
    </w:p>
    <w:p w14:paraId="53404E6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（3）质量控制要求</w:t>
      </w:r>
    </w:p>
    <w:p w14:paraId="04927F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投标人每周不少于一次开展现场巡检工作，确保全部质控设备正常运行；定期更换标准溶液（标准溶液必须为有证标准溶液）。</w:t>
      </w:r>
    </w:p>
    <w:p w14:paraId="39619F0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（4）日常工作要求</w:t>
      </w:r>
    </w:p>
    <w:p w14:paraId="3F107D8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每日对仪器状态进行监控，及时发现并处理应急情况。</w:t>
      </w:r>
    </w:p>
    <w:p w14:paraId="4E86FDA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（5）运营档案要求</w:t>
      </w:r>
    </w:p>
    <w:p w14:paraId="4800124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定期整理数据质控档案，按照约定质控频次及时提交相应份数的质控报告，以及月总结、年总结等报告。</w:t>
      </w:r>
    </w:p>
    <w:p w14:paraId="4BB958E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（6）其它</w:t>
      </w:r>
    </w:p>
    <w:p w14:paraId="10B771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每月对质控数据进行一次备份，备份数据单独存储。</w:t>
      </w:r>
    </w:p>
    <w:p w14:paraId="076134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1.2.2远程质控平台技术要求</w:t>
      </w:r>
    </w:p>
    <w:p w14:paraId="269BBA8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（1）确保远程质控平台安全、正常运行，在约定的服务期内采购人拥有本项目涉及的远程质控平台免费使用权；</w:t>
      </w:r>
    </w:p>
    <w:p w14:paraId="2B0C199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（2）根据实际要求，维护质控站点信息，可在平台上进行实时更新站点信息；</w:t>
      </w:r>
    </w:p>
    <w:p w14:paraId="4292A1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（3）投标人安排专人负责每日从质控平台上查看质控设备运行状况等信息。设备如遇故障或异常情况，及时向采购人书面报告；</w:t>
      </w:r>
    </w:p>
    <w:p w14:paraId="65D6CC7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（4）定期检查平台完整性、适配性，并根据实际需求，升级远程质控系统应用软件。</w:t>
      </w:r>
    </w:p>
    <w:p w14:paraId="14BCDE7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1.2.3数据分析服务要求</w:t>
      </w:r>
    </w:p>
    <w:p w14:paraId="166DB1D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配置本项目专业数据服务团队，负责约定频次的质控命令下发、质控平台数据分析、质控过程分析等，并对质控结果进行汇总、统计、分析，形成约定频次的质控总结报告。</w:t>
      </w:r>
    </w:p>
    <w:p w14:paraId="44A939C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1.2.4质控指标要求</w:t>
      </w:r>
    </w:p>
    <w:p w14:paraId="56EB63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每月进行全面维护并检查仪器的内部参数，确保全部质控设备运行正常，定期更换标准溶液（试剂纯度应在优级纯GR以上，质控、核查工作应使用有证标准物质）。</w:t>
      </w:r>
    </w:p>
    <w:p w14:paraId="2EF55FF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1.2.5运营故障排除要求</w:t>
      </w:r>
    </w:p>
    <w:p w14:paraId="4D5862C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（1）简易故障能及时发现、诊断并排除，故障维修响应时间不得超过24小时。</w:t>
      </w:r>
    </w:p>
    <w:p w14:paraId="1533E5D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（2）因停用、拆除等原因将影响质控设施正常运行超过48小时的，投标人应将现场处理情况和处理结果形成报告，报送采购人；因维修无法在48小时内恢复正常运行的，要及时更换备机。</w:t>
      </w:r>
    </w:p>
    <w:p w14:paraId="5F4DC16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1.2.6项目团队配置要求</w:t>
      </w:r>
    </w:p>
    <w:p w14:paraId="37F138B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投标人应根据招标文件中的工作内容要求，在投标文件中详细列出参加本项目的人员及人员分工说明。</w:t>
      </w:r>
    </w:p>
    <w:p w14:paraId="7E8ACC9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人员要求：</w:t>
      </w:r>
    </w:p>
    <w:p w14:paraId="0F1A1F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（1）项目负责人须具备本科以上学历、5年以上水站运维工作经验，是投标人在该项目上法定授权的第一负责人，全面负责水站的运维工作，对运维过程中的所有工作和问题具有最终审批权和解释权。</w:t>
      </w:r>
    </w:p>
    <w:p w14:paraId="04F62CD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（2）技术服务人员不少于4人（本项目投入运维人员中骨干人员比例不得少于50%，骨干人员指从事地表水水站运维工作满2年以上），并配备保证技术服务工作正常开展所需的技术服务车辆2辆。</w:t>
      </w:r>
    </w:p>
    <w:p w14:paraId="1E9D438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（3）必须派遣1人（本科以上学历，1年以上水站运维或管理工作经验）1车辆驻石家庄市环境监控中心工作，办公用品由运维公司提供。</w:t>
      </w:r>
    </w:p>
    <w:p w14:paraId="5977D59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以上人员须全部取得省级及以上相关部门颁发的水质自动监测领域上岗（培训）证方可开展运维工作。运维期间人员相对固定，如需更换须经采购人同意。</w:t>
      </w:r>
    </w:p>
    <w:p w14:paraId="11E4477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1.2.7系统运行指标要求</w:t>
      </w:r>
    </w:p>
    <w:p w14:paraId="24CD09D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（1）远程质控设备数量不少于22套；</w:t>
      </w:r>
    </w:p>
    <w:p w14:paraId="7E7E01A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（2）质控参数包含但不限于：19套质控参数为COD、氨氮、总磷；3套质控参数为高锰酸盐指数、氨氮、总磷；</w:t>
      </w:r>
    </w:p>
    <w:p w14:paraId="7880653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（3）保证系统正常运转。</w:t>
      </w:r>
    </w:p>
    <w:p w14:paraId="009E127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1.2.8服务考核要求</w:t>
      </w:r>
    </w:p>
    <w:p w14:paraId="3CC223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（1）项目运维符合招投标文件及本方案中各项指标参数要求。</w:t>
      </w:r>
    </w:p>
    <w:p w14:paraId="3174475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运维期满，本项目投标人向采购人递交服务总结报告和履约验收申请，采购人参照《石家庄市环境监控中心石家庄市市控水质自动监测站运维服务考核细则（试行）》进行考核，根据履约完成情况据实核算运维费用。</w:t>
      </w:r>
    </w:p>
    <w:p w14:paraId="19E1320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履约验收内容包括招标文件、投标文件、合同约定。</w:t>
      </w:r>
    </w:p>
    <w:p w14:paraId="1CFFFB3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4"/>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1.2.9项目验收方案及要求</w:t>
      </w:r>
    </w:p>
    <w:p w14:paraId="116BC82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投标人应按照本工作方案、招标文件、投标文件、合同约定、石家庄市环境监控中心石家庄市市控水质自动监测站运维服务考核细则（试行）文件的相关要求提供运维服务，保证运维质量。运维合同到期后，由石家庄市环境监控中心向石家庄市生态环境局采购办报《履约验收申请表》，并组织石家庄市生态环境局采购领导小组成员单位及相关专家对本项目进行验收。</w:t>
      </w:r>
    </w:p>
    <w:p w14:paraId="51F34B6B">
      <w:pPr>
        <w:numPr>
          <w:ilvl w:val="0"/>
          <w:numId w:val="0"/>
        </w:numPr>
        <w:spacing w:line="560" w:lineRule="exact"/>
        <w:ind w:firstLine="643" w:firstLineChars="200"/>
        <w:jc w:val="left"/>
        <w:outlineLvl w:val="2"/>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商务要求</w:t>
      </w:r>
    </w:p>
    <w:p w14:paraId="56D3120E">
      <w:pPr>
        <w:pStyle w:val="20"/>
        <w:keepNext w:val="0"/>
        <w:keepLines w:val="0"/>
        <w:pageBreakBefore w:val="0"/>
        <w:numPr>
          <w:ilvl w:val="0"/>
          <w:numId w:val="0"/>
        </w:numPr>
        <w:kinsoku/>
        <w:wordWrap/>
        <w:overflowPunct/>
        <w:topLinePunct w:val="0"/>
        <w:autoSpaceDE/>
        <w:autoSpaceDN/>
        <w:bidi w:val="0"/>
        <w:snapToGrid/>
        <w:spacing w:beforeAutospacing="0" w:afterAutospacing="0" w:line="240" w:lineRule="auto"/>
        <w:ind w:right="0" w:rightChars="0" w:firstLine="640" w:firstLineChars="200"/>
        <w:jc w:val="both"/>
        <w:textAlignment w:val="auto"/>
        <w:outlineLvl w:val="3"/>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2.1时间安排</w:t>
      </w:r>
    </w:p>
    <w:p w14:paraId="1491FE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本次服务期限为2026年10月15日-2027年10月14日。</w:t>
      </w:r>
    </w:p>
    <w:p w14:paraId="02ED33ED">
      <w:pPr>
        <w:pStyle w:val="20"/>
        <w:keepNext w:val="0"/>
        <w:keepLines w:val="0"/>
        <w:pageBreakBefore w:val="0"/>
        <w:numPr>
          <w:ilvl w:val="0"/>
          <w:numId w:val="0"/>
        </w:numPr>
        <w:kinsoku/>
        <w:wordWrap/>
        <w:overflowPunct/>
        <w:topLinePunct w:val="0"/>
        <w:autoSpaceDE/>
        <w:autoSpaceDN/>
        <w:bidi w:val="0"/>
        <w:snapToGrid/>
        <w:spacing w:beforeAutospacing="0" w:afterAutospacing="0" w:line="240" w:lineRule="auto"/>
        <w:ind w:right="0" w:rightChars="0" w:firstLine="640" w:firstLineChars="200"/>
        <w:jc w:val="both"/>
        <w:textAlignment w:val="auto"/>
        <w:outlineLvl w:val="3"/>
        <w:rPr>
          <w:rFonts w:hint="eastAsia" w:ascii="仿宋_GB2312" w:hAnsi="仿宋_GB2312" w:eastAsia="仿宋_GB2312" w:cs="仿宋_GB2312"/>
          <w:b w:val="0"/>
          <w:bCs/>
          <w:sz w:val="32"/>
          <w:szCs w:val="32"/>
          <w:highlight w:val="none"/>
          <w:lang w:eastAsia="zh-CN"/>
        </w:rPr>
      </w:pPr>
      <w:r>
        <w:rPr>
          <w:rFonts w:hint="eastAsia" w:ascii="仿宋_GB2312" w:hAnsi="仿宋_GB2312" w:eastAsia="仿宋_GB2312" w:cs="仿宋_GB2312"/>
          <w:b w:val="0"/>
          <w:bCs/>
          <w:sz w:val="32"/>
          <w:szCs w:val="32"/>
          <w:highlight w:val="none"/>
          <w:lang w:val="en-US" w:eastAsia="zh-CN"/>
        </w:rPr>
        <w:t>2.2</w:t>
      </w:r>
      <w:r>
        <w:rPr>
          <w:rFonts w:hint="eastAsia" w:ascii="仿宋_GB2312" w:hAnsi="仿宋_GB2312" w:eastAsia="仿宋_GB2312" w:cs="仿宋_GB2312"/>
          <w:b w:val="0"/>
          <w:bCs/>
          <w:sz w:val="32"/>
          <w:szCs w:val="32"/>
          <w:highlight w:val="none"/>
          <w:lang w:eastAsia="zh-CN"/>
        </w:rPr>
        <w:t>经费预算及资金支付要求</w:t>
      </w:r>
    </w:p>
    <w:p w14:paraId="7F89FF74">
      <w:pPr>
        <w:pStyle w:val="3"/>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right="0" w:rightChars="0" w:firstLine="640" w:firstLineChars="200"/>
        <w:jc w:val="both"/>
        <w:textAlignment w:val="auto"/>
        <w:outlineLvl w:val="9"/>
        <w:rPr>
          <w:rFonts w:hint="eastAsia" w:ascii="楷体" w:hAnsi="楷体" w:eastAsia="楷体" w:cs="楷体"/>
          <w:b w:val="0"/>
          <w:bCs/>
          <w:sz w:val="32"/>
          <w:szCs w:val="32"/>
          <w:highlight w:val="none"/>
          <w:lang w:val="en-US" w:eastAsia="zh-CN"/>
        </w:rPr>
      </w:pPr>
      <w:r>
        <w:rPr>
          <w:rFonts w:hint="eastAsia" w:ascii="楷体" w:hAnsi="楷体" w:eastAsia="楷体" w:cs="楷体"/>
          <w:b w:val="0"/>
          <w:bCs/>
          <w:sz w:val="32"/>
          <w:szCs w:val="32"/>
          <w:highlight w:val="none"/>
          <w:lang w:val="en-US" w:eastAsia="zh-CN"/>
        </w:rPr>
        <w:t>（1）项目预算情况</w:t>
      </w:r>
    </w:p>
    <w:p w14:paraId="7119F9D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本项目预算费用91.19万元。此次采购运维服务期限为12个月。</w:t>
      </w:r>
    </w:p>
    <w:p w14:paraId="46E35168">
      <w:pPr>
        <w:pStyle w:val="3"/>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right="0" w:rightChars="0" w:firstLine="640" w:firstLineChars="200"/>
        <w:jc w:val="both"/>
        <w:textAlignment w:val="auto"/>
        <w:outlineLvl w:val="9"/>
        <w:rPr>
          <w:rFonts w:hint="eastAsia" w:ascii="楷体" w:hAnsi="楷体" w:eastAsia="楷体" w:cs="楷体"/>
          <w:b w:val="0"/>
          <w:bCs/>
          <w:sz w:val="32"/>
          <w:szCs w:val="32"/>
          <w:highlight w:val="none"/>
          <w:lang w:val="en-US" w:eastAsia="zh-CN"/>
        </w:rPr>
      </w:pPr>
      <w:r>
        <w:rPr>
          <w:rFonts w:hint="eastAsia" w:ascii="楷体" w:hAnsi="楷体" w:eastAsia="楷体" w:cs="楷体"/>
          <w:b w:val="0"/>
          <w:bCs/>
          <w:sz w:val="32"/>
          <w:szCs w:val="32"/>
          <w:highlight w:val="none"/>
          <w:lang w:val="en-US" w:eastAsia="zh-CN"/>
        </w:rPr>
        <w:t>（2）资金支付要求</w:t>
      </w:r>
    </w:p>
    <w:p w14:paraId="5521AB5D">
      <w:pPr>
        <w:widowControl/>
        <w:spacing w:line="560" w:lineRule="exact"/>
        <w:ind w:firstLine="640" w:firstLineChars="200"/>
        <w:outlineLvl w:val="9"/>
        <w:rPr>
          <w:rStyle w:val="29"/>
          <w:b w:val="0"/>
          <w:bCs/>
          <w:highlight w:val="none"/>
        </w:rPr>
      </w:pPr>
      <w:r>
        <w:rPr>
          <w:rFonts w:hint="eastAsia" w:ascii="仿宋_GB2312" w:hAnsi="仿宋_GB2312" w:eastAsia="仿宋_GB2312" w:cs="仿宋_GB2312"/>
          <w:b w:val="0"/>
          <w:bCs/>
          <w:color w:val="000000"/>
          <w:sz w:val="32"/>
          <w:szCs w:val="32"/>
          <w:highlight w:val="none"/>
        </w:rPr>
        <w:t>支付方式：分期支付</w:t>
      </w:r>
    </w:p>
    <w:p w14:paraId="5059BC8E">
      <w:pPr>
        <w:pStyle w:val="3"/>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b w:val="0"/>
          <w:bCs/>
          <w:color w:val="auto"/>
          <w:kern w:val="2"/>
          <w:sz w:val="32"/>
          <w:szCs w:val="32"/>
          <w:highlight w:val="none"/>
          <w:lang w:val="en-US" w:eastAsia="zh-CN" w:bidi="ar-SA"/>
        </w:rPr>
      </w:pPr>
      <w:r>
        <w:rPr>
          <w:rFonts w:hint="eastAsia" w:ascii="仿宋_GB2312" w:hAnsi="仿宋_GB2312" w:eastAsia="仿宋_GB2312" w:cs="仿宋_GB2312"/>
          <w:b w:val="0"/>
          <w:bCs/>
          <w:color w:val="auto"/>
          <w:kern w:val="2"/>
          <w:sz w:val="32"/>
          <w:szCs w:val="32"/>
          <w:highlight w:val="none"/>
          <w:lang w:val="en-US" w:eastAsia="zh-CN" w:bidi="ar-SA"/>
        </w:rPr>
        <w:t>合同签订生效并具备实施条件后7个工作日内，乙方向甲方提交符合财务规定的合法发票后，甲方向乙方支付预付款9.2万元；运维5个月后，乙方向甲方提交符合财务规定的合法发票后，甲方向乙方支付中标金额的40%；运维8个月以后，乙方向甲方提交符合财务规定的合法发票后，甲方向乙方支付中标金额的20%；运维11个月以后，乙方向甲方提交符合财务规定的合法发票后，甲方向乙方支付中标金额的20%；乙方履行合同完毕，向甲方递交服务总结报告和履约验收申请，按照合同约定进行履约验收并开展考核工作。项目通过履约验收且乙方无违反合同规定，并向甲方提交符合财务规定的合法发票后，甲方向乙方支付剩余金额；如乙方不能达到或违反合同相关条款之情形，甲方按照相关约定据实核算从项目尾款中扣减相应金额，不足部分由乙方在10个日历内补足。</w:t>
      </w:r>
    </w:p>
    <w:p w14:paraId="1427A2AF">
      <w:pPr>
        <w:pStyle w:val="3"/>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right="0" w:rightChars="0" w:firstLine="640" w:firstLineChars="200"/>
        <w:jc w:val="both"/>
        <w:textAlignment w:val="auto"/>
        <w:outlineLvl w:val="3"/>
        <w:rPr>
          <w:rFonts w:hint="eastAsia" w:ascii="楷体" w:hAnsi="楷体" w:eastAsia="楷体" w:cs="楷体"/>
          <w:b w:val="0"/>
          <w:bCs/>
          <w:sz w:val="32"/>
          <w:szCs w:val="32"/>
          <w:highlight w:val="none"/>
          <w:lang w:val="en-US" w:eastAsia="zh-CN"/>
        </w:rPr>
      </w:pPr>
      <w:r>
        <w:rPr>
          <w:rFonts w:hint="eastAsia" w:ascii="楷体" w:hAnsi="楷体" w:eastAsia="楷体" w:cs="楷体"/>
          <w:b w:val="0"/>
          <w:bCs/>
          <w:sz w:val="32"/>
          <w:szCs w:val="32"/>
          <w:highlight w:val="none"/>
          <w:lang w:val="en-US" w:eastAsia="zh-CN"/>
        </w:rPr>
        <w:t>2.3资金支付风险</w:t>
      </w:r>
    </w:p>
    <w:p w14:paraId="152526B0">
      <w:pPr>
        <w:pStyle w:val="3"/>
        <w:keepNext w:val="0"/>
        <w:keepLines w:val="0"/>
        <w:pageBreakBefore w:val="0"/>
        <w:numPr>
          <w:ilvl w:val="0"/>
          <w:numId w:val="0"/>
        </w:numPr>
        <w:kinsoku/>
        <w:wordWrap/>
        <w:overflowPunct/>
        <w:topLinePunct w:val="0"/>
        <w:autoSpaceDE/>
        <w:autoSpaceDN/>
        <w:bidi w:val="0"/>
        <w:adjustRightInd w:val="0"/>
        <w:snapToGrid/>
        <w:spacing w:beforeAutospacing="0" w:afterAutospacing="0" w:line="540" w:lineRule="exact"/>
        <w:ind w:left="0" w:leftChars="0" w:right="0" w:rightChars="0" w:firstLine="640" w:firstLineChars="200"/>
        <w:jc w:val="both"/>
        <w:textAlignment w:val="auto"/>
        <w:outlineLvl w:val="9"/>
        <w:rPr>
          <w:rFonts w:hint="eastAsia" w:ascii="仿宋_GB2312" w:hAnsi="仿宋_GB2312" w:eastAsia="仿宋_GB2312" w:cs="仿宋_GB2312"/>
          <w:b w:val="0"/>
          <w:bCs/>
          <w:color w:val="auto"/>
          <w:kern w:val="2"/>
          <w:sz w:val="32"/>
          <w:szCs w:val="32"/>
          <w:highlight w:val="none"/>
          <w:lang w:val="en-US" w:eastAsia="zh-CN" w:bidi="ar-SA"/>
        </w:rPr>
      </w:pPr>
      <w:r>
        <w:rPr>
          <w:rFonts w:hint="eastAsia" w:ascii="仿宋_GB2312" w:hAnsi="仿宋_GB2312" w:eastAsia="仿宋_GB2312" w:cs="仿宋_GB2312"/>
          <w:b w:val="0"/>
          <w:bCs/>
          <w:color w:val="auto"/>
          <w:kern w:val="2"/>
          <w:sz w:val="32"/>
          <w:szCs w:val="32"/>
          <w:highlight w:val="none"/>
          <w:lang w:val="en-US" w:eastAsia="zh-CN" w:bidi="ar-SA"/>
        </w:rPr>
        <w:t>（1）当国家、省、市及地方管理部门相关文件和技术要求发生变化时，须增加新的远程质控设备（如：总氮设备质控仪或增加站点等），运维费用不变。</w:t>
      </w:r>
    </w:p>
    <w:p w14:paraId="6511CBD5">
      <w:pPr>
        <w:pStyle w:val="3"/>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b w:val="0"/>
          <w:bCs/>
          <w:color w:val="auto"/>
          <w:kern w:val="2"/>
          <w:sz w:val="32"/>
          <w:szCs w:val="32"/>
          <w:highlight w:val="none"/>
          <w:lang w:val="en-US" w:eastAsia="zh-CN" w:bidi="ar-SA"/>
        </w:rPr>
      </w:pPr>
      <w:r>
        <w:rPr>
          <w:rFonts w:hint="eastAsia" w:ascii="仿宋_GB2312" w:hAnsi="仿宋_GB2312" w:eastAsia="仿宋_GB2312" w:cs="仿宋_GB2312"/>
          <w:b w:val="0"/>
          <w:bCs/>
          <w:color w:val="auto"/>
          <w:kern w:val="2"/>
          <w:sz w:val="32"/>
          <w:szCs w:val="32"/>
          <w:highlight w:val="none"/>
          <w:lang w:val="en-US" w:eastAsia="zh-CN" w:bidi="ar-SA"/>
        </w:rPr>
        <w:t>（2）当运维水站数量减少或运维设备数量减少时，运维费用对应减少。</w:t>
      </w:r>
    </w:p>
    <w:p w14:paraId="7116F7B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0"/>
        <w:rPr>
          <w:rFonts w:hint="eastAsia" w:ascii="仿宋_GB2312" w:hAnsi="仿宋_GB2312" w:eastAsia="仿宋_GB2312" w:cs="仿宋_GB2312"/>
          <w:color w:val="auto"/>
          <w:sz w:val="32"/>
          <w:szCs w:val="32"/>
          <w:highlight w:val="none"/>
          <w:lang w:val="en-US" w:eastAsia="zh-CN"/>
        </w:rPr>
        <w:sectPr>
          <w:footerReference r:id="rId3" w:type="default"/>
          <w:pgSz w:w="11906" w:h="16838"/>
          <w:pgMar w:top="1440" w:right="1800" w:bottom="1440" w:left="1800" w:header="851" w:footer="992" w:gutter="0"/>
          <w:pgNumType w:fmt="decimal" w:start="1"/>
          <w:cols w:space="720" w:num="1"/>
          <w:docGrid w:type="lines" w:linePitch="312" w:charSpace="0"/>
        </w:sectPr>
      </w:pPr>
    </w:p>
    <w:p w14:paraId="1F4EBF10">
      <w:pPr>
        <w:pStyle w:val="3"/>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14:paraId="4D136BE7">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w:t>
      </w:r>
      <w:r>
        <w:rPr>
          <w:rFonts w:hint="eastAsia" w:ascii="仿宋_GB2312" w:hAnsi="仿宋_GB2312" w:eastAsia="仿宋_GB2312" w:cs="仿宋_GB2312"/>
          <w:b/>
          <w:sz w:val="36"/>
          <w:lang w:eastAsia="zh-CN"/>
        </w:rPr>
        <w:t>（</w:t>
      </w:r>
      <w:r>
        <w:rPr>
          <w:rFonts w:hint="eastAsia" w:ascii="仿宋_GB2312" w:hAnsi="仿宋_GB2312" w:eastAsia="仿宋_GB2312" w:cs="仿宋_GB2312"/>
          <w:b/>
          <w:sz w:val="36"/>
        </w:rPr>
        <w:t>副本</w:t>
      </w:r>
      <w:r>
        <w:rPr>
          <w:rFonts w:hint="eastAsia" w:ascii="仿宋_GB2312" w:hAnsi="仿宋_GB2312" w:eastAsia="仿宋_GB2312" w:cs="仿宋_GB2312"/>
          <w:b/>
          <w:sz w:val="36"/>
          <w:lang w:eastAsia="zh-CN"/>
        </w:rPr>
        <w:t>）</w:t>
      </w:r>
    </w:p>
    <w:p w14:paraId="7027AEFA">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15007699">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269739CD">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6D17A924">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6814E282">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322D415D">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14:paraId="11BEDF2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08EE2825">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14:paraId="4E7E32B1">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14:paraId="69CB4029">
      <w:pPr>
        <w:pStyle w:val="4"/>
        <w:rPr>
          <w:rFonts w:ascii="仿宋_GB2312" w:hAnsi="仿宋_GB2312" w:eastAsia="仿宋_GB2312" w:cs="仿宋_GB2312"/>
          <w:b/>
          <w:sz w:val="48"/>
        </w:rPr>
      </w:pPr>
    </w:p>
    <w:p w14:paraId="02BA8C39">
      <w:pPr>
        <w:pStyle w:val="5"/>
      </w:pPr>
    </w:p>
    <w:p w14:paraId="45BC9153">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497303DA">
      <w:pPr>
        <w:pStyle w:val="4"/>
      </w:pPr>
    </w:p>
    <w:p w14:paraId="0E435722">
      <w:pPr>
        <w:pStyle w:val="5"/>
      </w:pPr>
    </w:p>
    <w:p w14:paraId="54D67E14">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349E2097">
      <w:pPr>
        <w:pStyle w:val="4"/>
      </w:pPr>
    </w:p>
    <w:p w14:paraId="03EA15AD">
      <w:pPr>
        <w:pStyle w:val="5"/>
      </w:pPr>
    </w:p>
    <w:p w14:paraId="0FF69A62">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45086C15">
      <w:pPr>
        <w:pStyle w:val="4"/>
      </w:pPr>
    </w:p>
    <w:p w14:paraId="410710D5">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3B384D8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14:paraId="35FE96B7">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14:paraId="57B7C7D8">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14:paraId="12654887">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14:paraId="1E99C793">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致</w:t>
      </w:r>
      <w:r>
        <w:rPr>
          <w:rFonts w:hint="eastAsia" w:ascii="仿宋_GB2312" w:hAnsi="仿宋_GB2312" w:eastAsia="仿宋_GB2312" w:cs="仿宋_GB2312"/>
          <w:sz w:val="28"/>
          <w:lang w:eastAsia="zh-CN"/>
        </w:rPr>
        <w:t>：</w:t>
      </w:r>
      <w:r>
        <w:rPr>
          <w:rFonts w:hint="eastAsia" w:ascii="仿宋_GB2312" w:hAnsi="仿宋_GB2312" w:eastAsia="仿宋_GB2312" w:cs="仿宋_GB2312"/>
          <w:sz w:val="28"/>
        </w:rPr>
        <w:t xml:space="preserve"> </w:t>
      </w:r>
      <w:r>
        <w:rPr>
          <w:rFonts w:hint="eastAsia" w:ascii="仿宋_GB2312" w:hAnsi="仿宋_GB2312" w:eastAsia="仿宋_GB2312" w:cs="仿宋_GB2312"/>
          <w:sz w:val="28"/>
          <w:highlight w:val="none"/>
          <w:lang w:eastAsia="zh-CN"/>
        </w:rPr>
        <w:t>XXX（单位）：</w:t>
      </w:r>
    </w:p>
    <w:p w14:paraId="2AC453F6">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w:t>
      </w:r>
      <w:r>
        <w:rPr>
          <w:rFonts w:hint="eastAsia" w:ascii="仿宋_GB2312" w:hAnsi="仿宋_GB2312" w:eastAsia="仿宋_GB2312" w:cs="仿宋_GB2312"/>
          <w:sz w:val="28"/>
          <w:lang w:eastAsia="zh-CN"/>
        </w:rPr>
        <w:t>，</w:t>
      </w:r>
      <w:r>
        <w:rPr>
          <w:rFonts w:hint="eastAsia" w:ascii="仿宋_GB2312" w:hAnsi="仿宋_GB2312" w:eastAsia="仿宋_GB2312" w:cs="仿宋_GB2312"/>
          <w:sz w:val="28"/>
        </w:rPr>
        <w:t>参加贵单位采购项目询价的有关活动并报价。为此，我方郑重声明以下诸点：</w:t>
      </w:r>
    </w:p>
    <w:p w14:paraId="6532F8AB">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14:paraId="63DA917A">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14:paraId="3AA5A640">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475ECF95">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14:paraId="082E9F02">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14:paraId="3968B619">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14:paraId="15FA7EA2">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14:paraId="0939BC80">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14:paraId="6FF9E133">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小写</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大写</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14:paraId="782FFC32">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14:paraId="3AB3F198">
      <w:pPr>
        <w:pStyle w:val="4"/>
        <w:rPr>
          <w:rFonts w:hint="eastAsia"/>
        </w:rPr>
      </w:pPr>
    </w:p>
    <w:p w14:paraId="1A01B72F">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14:paraId="346461FB">
      <w:pPr>
        <w:pStyle w:val="4"/>
        <w:rPr>
          <w:rFonts w:hint="eastAsia"/>
        </w:rPr>
      </w:pPr>
    </w:p>
    <w:p w14:paraId="46C303FE">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14:paraId="2B2EE2D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headerReference r:id="rId4" w:type="default"/>
          <w:footerReference r:id="rId5" w:type="default"/>
          <w:pgSz w:w="11907" w:h="16840"/>
          <w:pgMar w:top="1304" w:right="1418" w:bottom="1418" w:left="1418" w:header="720" w:footer="720" w:gutter="0"/>
          <w:pgNumType w:start="1"/>
          <w:cols w:space="720" w:num="1"/>
          <w:formProt w:val="0"/>
          <w:docGrid w:type="lines" w:linePitch="312" w:charSpace="0"/>
        </w:sectPr>
      </w:pPr>
    </w:p>
    <w:p w14:paraId="0ACE9C5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14:paraId="7D93654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6451051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6D414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2E76242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F8D42D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393C6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4A88F7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78FFCF8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4C81F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5931F8D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14:paraId="3D2913F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06DB111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427CC7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51646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7650174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05E6317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7824C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F45F55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08754E0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5E7A8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73F90A3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4E226CF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54E56C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2D2703E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616232D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3856E32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4FBFDF7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20344CD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4501CB8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463CDBC4">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5C8E73B5">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1342B69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0BCE140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238B277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w:t>
      </w:r>
      <w:r>
        <w:rPr>
          <w:rFonts w:hint="eastAsia" w:ascii="黑体" w:hAnsi="黑体" w:eastAsia="黑体" w:cs="黑体"/>
          <w:i/>
          <w:iCs/>
          <w:sz w:val="44"/>
          <w:szCs w:val="44"/>
          <w:lang w:eastAsia="zh-CN"/>
        </w:rPr>
        <w:t>作</w:t>
      </w:r>
      <w:r>
        <w:rPr>
          <w:rFonts w:hint="eastAsia" w:ascii="黑体" w:hAnsi="黑体" w:eastAsia="黑体" w:cs="黑体"/>
          <w:i/>
          <w:iCs/>
          <w:sz w:val="44"/>
          <w:szCs w:val="44"/>
        </w:rPr>
        <w:t>参考，可依据项目方案预算实际情况编制）</w:t>
      </w:r>
    </w:p>
    <w:p w14:paraId="2A50E6C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r>
        <w:rPr>
          <w:rFonts w:hint="eastAsia" w:ascii="华文仿宋" w:hAnsi="华文仿宋" w:eastAsia="华文仿宋" w:cs="仿宋_GB2312"/>
          <w:sz w:val="28"/>
          <w:lang w:eastAsia="zh-CN"/>
        </w:rPr>
        <w:t>：</w:t>
      </w:r>
    </w:p>
    <w:tbl>
      <w:tblPr>
        <w:tblStyle w:val="24"/>
        <w:tblW w:w="451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4"/>
        <w:gridCol w:w="3242"/>
        <w:gridCol w:w="2764"/>
        <w:gridCol w:w="1661"/>
        <w:gridCol w:w="1425"/>
        <w:gridCol w:w="2295"/>
      </w:tblGrid>
      <w:tr w14:paraId="4A319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549" w:type="pct"/>
            <w:vAlign w:val="center"/>
          </w:tcPr>
          <w:p w14:paraId="03872AF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267" w:type="pct"/>
            <w:vAlign w:val="center"/>
          </w:tcPr>
          <w:p w14:paraId="22EDA98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华文仿宋" w:hAnsi="华文仿宋" w:eastAsia="华文仿宋" w:cs="仿宋_GB2312"/>
                <w:sz w:val="28"/>
                <w:lang w:val="en-US" w:eastAsia="zh-CN"/>
              </w:rPr>
            </w:pPr>
            <w:r>
              <w:rPr>
                <w:rFonts w:hint="eastAsia" w:ascii="华文仿宋" w:hAnsi="华文仿宋" w:eastAsia="华文仿宋" w:cs="仿宋_GB2312"/>
                <w:sz w:val="28"/>
              </w:rPr>
              <w:t>项目</w:t>
            </w:r>
            <w:r>
              <w:rPr>
                <w:rFonts w:hint="eastAsia" w:ascii="华文仿宋" w:hAnsi="华文仿宋" w:eastAsia="华文仿宋" w:cs="仿宋_GB2312"/>
                <w:sz w:val="28"/>
                <w:lang w:val="en-US" w:eastAsia="zh-CN"/>
              </w:rPr>
              <w:t>明细</w:t>
            </w:r>
          </w:p>
        </w:tc>
        <w:tc>
          <w:tcPr>
            <w:tcW w:w="1079" w:type="pct"/>
          </w:tcPr>
          <w:p w14:paraId="571579C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华文仿宋" w:hAnsi="华文仿宋" w:eastAsia="华文仿宋" w:cs="仿宋_GB2312"/>
                <w:sz w:val="28"/>
                <w:lang w:eastAsia="zh-CN"/>
              </w:rPr>
            </w:pPr>
            <w:r>
              <w:rPr>
                <w:rFonts w:hint="eastAsia" w:ascii="华文仿宋" w:hAnsi="华文仿宋" w:eastAsia="华文仿宋" w:cs="仿宋_GB2312"/>
                <w:sz w:val="28"/>
                <w:lang w:val="en-US" w:eastAsia="zh-CN"/>
              </w:rPr>
              <w:t>单价</w:t>
            </w:r>
          </w:p>
        </w:tc>
        <w:tc>
          <w:tcPr>
            <w:tcW w:w="649" w:type="pct"/>
            <w:vAlign w:val="center"/>
          </w:tcPr>
          <w:p w14:paraId="49129BA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华文仿宋" w:hAnsi="华文仿宋" w:eastAsia="华文仿宋" w:cs="仿宋_GB2312"/>
                <w:sz w:val="28"/>
                <w:lang w:val="en-US" w:eastAsia="zh-CN"/>
              </w:rPr>
            </w:pPr>
            <w:r>
              <w:rPr>
                <w:rFonts w:hint="eastAsia" w:ascii="华文仿宋" w:hAnsi="华文仿宋" w:eastAsia="华文仿宋" w:cs="仿宋_GB2312"/>
                <w:sz w:val="28"/>
                <w:lang w:val="en-US" w:eastAsia="zh-CN"/>
              </w:rPr>
              <w:t>数量</w:t>
            </w:r>
          </w:p>
        </w:tc>
        <w:tc>
          <w:tcPr>
            <w:tcW w:w="557" w:type="pct"/>
            <w:vAlign w:val="center"/>
          </w:tcPr>
          <w:p w14:paraId="7D4F4089">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hint="eastAsia" w:ascii="华文仿宋" w:hAnsi="华文仿宋" w:eastAsia="华文仿宋" w:cs="仿宋_GB2312"/>
                <w:sz w:val="28"/>
                <w:lang w:val="en-US" w:eastAsia="zh-CN"/>
              </w:rPr>
            </w:pPr>
            <w:r>
              <w:rPr>
                <w:rFonts w:hint="eastAsia" w:ascii="华文仿宋" w:hAnsi="华文仿宋" w:eastAsia="华文仿宋" w:cs="仿宋_GB2312"/>
                <w:sz w:val="28"/>
                <w:lang w:val="en-US" w:eastAsia="zh-CN"/>
              </w:rPr>
              <w:t>金额</w:t>
            </w:r>
          </w:p>
        </w:tc>
        <w:tc>
          <w:tcPr>
            <w:tcW w:w="897" w:type="pct"/>
            <w:vAlign w:val="center"/>
          </w:tcPr>
          <w:p w14:paraId="7776F10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华文仿宋" w:hAnsi="华文仿宋" w:eastAsia="华文仿宋" w:cs="仿宋_GB2312"/>
                <w:sz w:val="28"/>
                <w:lang w:val="en-US" w:eastAsia="zh-CN"/>
              </w:rPr>
            </w:pPr>
            <w:r>
              <w:rPr>
                <w:rFonts w:hint="eastAsia" w:ascii="华文仿宋" w:hAnsi="华文仿宋" w:eastAsia="华文仿宋" w:cs="仿宋_GB2312"/>
                <w:sz w:val="28"/>
                <w:lang w:val="en-US" w:eastAsia="zh-CN"/>
              </w:rPr>
              <w:t>备注</w:t>
            </w:r>
          </w:p>
        </w:tc>
      </w:tr>
      <w:tr w14:paraId="7BBB1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549" w:type="pct"/>
          </w:tcPr>
          <w:p w14:paraId="08DD3B7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267" w:type="pct"/>
          </w:tcPr>
          <w:p w14:paraId="48B3B91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079" w:type="pct"/>
          </w:tcPr>
          <w:p w14:paraId="6078846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649" w:type="pct"/>
          </w:tcPr>
          <w:p w14:paraId="505E04C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557" w:type="pct"/>
          </w:tcPr>
          <w:p w14:paraId="68A120C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97" w:type="pct"/>
          </w:tcPr>
          <w:p w14:paraId="3CB38EF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5851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549" w:type="pct"/>
          </w:tcPr>
          <w:p w14:paraId="43AE802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267" w:type="pct"/>
          </w:tcPr>
          <w:p w14:paraId="6067FC2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079" w:type="pct"/>
          </w:tcPr>
          <w:p w14:paraId="70C5AB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649" w:type="pct"/>
          </w:tcPr>
          <w:p w14:paraId="7513AB0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557" w:type="pct"/>
          </w:tcPr>
          <w:p w14:paraId="1F24218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97" w:type="pct"/>
          </w:tcPr>
          <w:p w14:paraId="54A4607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0FD11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549" w:type="pct"/>
          </w:tcPr>
          <w:p w14:paraId="5B79398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267" w:type="pct"/>
          </w:tcPr>
          <w:p w14:paraId="361AC2A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079" w:type="pct"/>
          </w:tcPr>
          <w:p w14:paraId="31FCA3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649" w:type="pct"/>
          </w:tcPr>
          <w:p w14:paraId="44ABC2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557" w:type="pct"/>
          </w:tcPr>
          <w:p w14:paraId="7CF3AE4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97" w:type="pct"/>
          </w:tcPr>
          <w:p w14:paraId="593B350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1E214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896" w:type="pct"/>
            <w:gridSpan w:val="3"/>
          </w:tcPr>
          <w:p w14:paraId="65543D0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1206" w:type="pct"/>
            <w:gridSpan w:val="2"/>
          </w:tcPr>
          <w:p w14:paraId="721DFE7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97" w:type="pct"/>
          </w:tcPr>
          <w:p w14:paraId="6736FF2D">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140EA69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0FFDA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____________________</w:t>
      </w:r>
    </w:p>
    <w:p w14:paraId="32C566A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362AAC98">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7C628E8B">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6AF19C8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4B0525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w:t>
      </w:r>
      <w:r>
        <w:rPr>
          <w:rFonts w:hint="eastAsia" w:ascii="华文仿宋" w:hAnsi="华文仿宋" w:eastAsia="华文仿宋" w:cs="仿宋_GB2312"/>
          <w:sz w:val="28"/>
          <w:lang w:eastAsia="zh-CN"/>
        </w:rPr>
        <w:t>：</w:t>
      </w:r>
      <w:r>
        <w:rPr>
          <w:rFonts w:hint="eastAsia" w:ascii="华文仿宋" w:hAnsi="华文仿宋" w:eastAsia="华文仿宋" w:cs="仿宋_GB2312"/>
          <w:sz w:val="28"/>
        </w:rPr>
        <w:t>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004FF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1CE020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238A62F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38565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0A9AD5F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1F2EDE6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11DAA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86D93A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14:paraId="5AC653A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517453B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10D0BA2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1C4E6C4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5A73B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13EA8EA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6270AD9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199A9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39AD497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4C44563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30B91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1A1B4B5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30BCAC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116E0B7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B3B05B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7471E32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38D07CE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0EC22B3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428F34F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3BD222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2522F1EE">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3C36A555">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40FB5316">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77499E79">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14:paraId="6513CA65">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14:paraId="6C277DD1">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35029013">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4F0028E7">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2D927A5D">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14:paraId="055ED18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14:paraId="15AAF794">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14:paraId="2E27AA3F">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2A7C2F4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14:paraId="32006C1C">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59C282A7">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5877F5F5">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14:paraId="34BA5DB6">
      <w:pPr>
        <w:pStyle w:val="4"/>
        <w:rPr>
          <w:rFonts w:hint="eastAsia" w:ascii="仿宋_GB2312" w:hAnsi="仿宋_GB2312" w:eastAsia="仿宋_GB2312" w:cs="仿宋_GB2312"/>
          <w:sz w:val="28"/>
        </w:rPr>
      </w:pPr>
    </w:p>
    <w:p w14:paraId="109137A1">
      <w:pPr>
        <w:pStyle w:val="5"/>
        <w:rPr>
          <w:rFonts w:hint="eastAsia"/>
        </w:rPr>
      </w:pPr>
    </w:p>
    <w:p w14:paraId="7D15BAA6">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41E42750">
      <w:pPr>
        <w:pStyle w:val="4"/>
        <w:rPr>
          <w:rFonts w:hint="eastAsia"/>
        </w:rPr>
      </w:pPr>
    </w:p>
    <w:p w14:paraId="75E9E987">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21DB1674">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42E5212C">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09E2FD7C">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11BEA4A5">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0DE7542A">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175D56D1">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558BDE9C">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石家庄市环境监控中心</w:t>
      </w:r>
    </w:p>
    <w:p w14:paraId="52AF5177">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default"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地表水在线监测设备质控服务项目</w:t>
      </w:r>
    </w:p>
    <w:p w14:paraId="420E87B9">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询价告知卡</w:t>
      </w:r>
    </w:p>
    <w:p w14:paraId="1791777E">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14:paraId="2039AE87">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22753368">
      <w:pPr>
        <w:pStyle w:val="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5A28B9DD">
      <w:pPr>
        <w:pStyle w:val="3"/>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地表水在线监测设备质控服务项目</w:t>
      </w:r>
      <w:r>
        <w:rPr>
          <w:rFonts w:hint="eastAsia" w:ascii="方正小标宋_GBK" w:hAnsi="方正小标宋_GBK" w:eastAsia="方正小标宋_GBK" w:cs="方正小标宋_GBK"/>
          <w:b w:val="0"/>
          <w:bCs/>
          <w:sz w:val="32"/>
          <w:szCs w:val="32"/>
        </w:rPr>
        <w:t>的询价信息公告”是否阅知？</w:t>
      </w:r>
    </w:p>
    <w:p w14:paraId="63823A73">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26D05E8B">
      <w:pPr>
        <w:pStyle w:val="3"/>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地表水在线监测设备质控服务项目询价要求及流程</w:t>
      </w:r>
      <w:r>
        <w:rPr>
          <w:rFonts w:hint="eastAsia" w:ascii="方正小标宋_GBK" w:hAnsi="方正小标宋_GBK" w:eastAsia="方正小标宋_GBK" w:cs="方正小标宋_GBK"/>
          <w:b w:val="0"/>
          <w:bCs/>
          <w:sz w:val="32"/>
          <w:szCs w:val="32"/>
        </w:rPr>
        <w:t>”是否阅知？</w:t>
      </w:r>
    </w:p>
    <w:p w14:paraId="6DAD8BE1">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0B78839D">
      <w:pPr>
        <w:pStyle w:val="3"/>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地表水在线监测设备质控服务项目工作方案</w:t>
      </w:r>
      <w:r>
        <w:rPr>
          <w:rFonts w:hint="eastAsia" w:ascii="方正小标宋_GBK" w:hAnsi="方正小标宋_GBK" w:eastAsia="方正小标宋_GBK" w:cs="方正小标宋_GBK"/>
          <w:b w:val="0"/>
          <w:bCs/>
          <w:sz w:val="32"/>
          <w:szCs w:val="32"/>
        </w:rPr>
        <w:t>”及采购需求是否阅知？</w:t>
      </w:r>
    </w:p>
    <w:p w14:paraId="1F413834">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578C8185">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669D20E6">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732472E8">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746B36D5">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0A0FB5C4">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36BC4423">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58108009">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1F05D162">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Droid Sans Fallback">
    <w:altName w:val="宋体"/>
    <w:panose1 w:val="020B0502000000000001"/>
    <w:charset w:val="86"/>
    <w:family w:val="swiss"/>
    <w:pitch w:val="default"/>
    <w:sig w:usb0="00000000" w:usb1="00000000" w:usb2="00000036" w:usb3="00000000" w:csb0="203F01FF" w:csb1="D7FF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panose1 w:val="02010600040101010101"/>
    <w:charset w:val="86"/>
    <w:family w:val="auto"/>
    <w:pitch w:val="default"/>
    <w:sig w:usb0="00000287" w:usb1="080F0000" w:usb2="00000000" w:usb3="00000000" w:csb0="0004009F" w:csb1="DFD7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C980F">
    <w:pPr>
      <w:pStyle w:val="7"/>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83985A0">
                          <w:pPr>
                            <w:pStyle w:val="7"/>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183985A0">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6F7043">
    <w:pPr>
      <w:pStyle w:val="7"/>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E69F3">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11"/>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hlYTY0ZDFlNzFmZDU0NTFkMmQwMzI0ODBjN2JlZGMifQ=="/>
    <w:docVar w:name="KSO_WPS_MARK_KEY" w:val="0d3ee6cd-f90a-4523-8059-a2697a9001ce"/>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287748"/>
    <w:rsid w:val="01D53C37"/>
    <w:rsid w:val="02785724"/>
    <w:rsid w:val="02B80751"/>
    <w:rsid w:val="02DF2C1C"/>
    <w:rsid w:val="034E7427"/>
    <w:rsid w:val="035B12CD"/>
    <w:rsid w:val="03E5503B"/>
    <w:rsid w:val="03F84D6E"/>
    <w:rsid w:val="054637EC"/>
    <w:rsid w:val="058658C8"/>
    <w:rsid w:val="05AA1AAE"/>
    <w:rsid w:val="05C20325"/>
    <w:rsid w:val="06FF4152"/>
    <w:rsid w:val="072036B4"/>
    <w:rsid w:val="07320557"/>
    <w:rsid w:val="07404C53"/>
    <w:rsid w:val="074D53D1"/>
    <w:rsid w:val="077A3CEC"/>
    <w:rsid w:val="08BC0A60"/>
    <w:rsid w:val="094B0B93"/>
    <w:rsid w:val="09C32425"/>
    <w:rsid w:val="0A3D1D1F"/>
    <w:rsid w:val="0A93380A"/>
    <w:rsid w:val="0AE24082"/>
    <w:rsid w:val="0AEC1CA4"/>
    <w:rsid w:val="0B791CBF"/>
    <w:rsid w:val="0BA31992"/>
    <w:rsid w:val="0C63233E"/>
    <w:rsid w:val="0CD60C9A"/>
    <w:rsid w:val="0E2B3022"/>
    <w:rsid w:val="0E4A4418"/>
    <w:rsid w:val="0E88796A"/>
    <w:rsid w:val="0EC0759D"/>
    <w:rsid w:val="0EDF32A9"/>
    <w:rsid w:val="104F21BA"/>
    <w:rsid w:val="105B6A84"/>
    <w:rsid w:val="10BD0069"/>
    <w:rsid w:val="10DF0025"/>
    <w:rsid w:val="10E34450"/>
    <w:rsid w:val="10F269B3"/>
    <w:rsid w:val="11E76B9F"/>
    <w:rsid w:val="12371157"/>
    <w:rsid w:val="12684593"/>
    <w:rsid w:val="12DC612D"/>
    <w:rsid w:val="1320369B"/>
    <w:rsid w:val="13325751"/>
    <w:rsid w:val="135D040F"/>
    <w:rsid w:val="13621EEC"/>
    <w:rsid w:val="138564F0"/>
    <w:rsid w:val="13AA5E2B"/>
    <w:rsid w:val="13D73627"/>
    <w:rsid w:val="13E41600"/>
    <w:rsid w:val="147E606E"/>
    <w:rsid w:val="15A52F2E"/>
    <w:rsid w:val="171E3417"/>
    <w:rsid w:val="17C821C3"/>
    <w:rsid w:val="18C563ED"/>
    <w:rsid w:val="194A05B4"/>
    <w:rsid w:val="1AC66850"/>
    <w:rsid w:val="1AE300CE"/>
    <w:rsid w:val="1B8D5C41"/>
    <w:rsid w:val="1E486234"/>
    <w:rsid w:val="1E89442B"/>
    <w:rsid w:val="1F012D15"/>
    <w:rsid w:val="1F6623C1"/>
    <w:rsid w:val="1F7312F5"/>
    <w:rsid w:val="20304FD0"/>
    <w:rsid w:val="204E102B"/>
    <w:rsid w:val="213868ED"/>
    <w:rsid w:val="219A57C2"/>
    <w:rsid w:val="222840E4"/>
    <w:rsid w:val="22DF2C0B"/>
    <w:rsid w:val="238D0876"/>
    <w:rsid w:val="23973171"/>
    <w:rsid w:val="2441271F"/>
    <w:rsid w:val="24BB6482"/>
    <w:rsid w:val="26F41519"/>
    <w:rsid w:val="275D3454"/>
    <w:rsid w:val="27D2138F"/>
    <w:rsid w:val="2805730B"/>
    <w:rsid w:val="28112CC9"/>
    <w:rsid w:val="28D94CC5"/>
    <w:rsid w:val="28E145A1"/>
    <w:rsid w:val="2901229F"/>
    <w:rsid w:val="29B570DA"/>
    <w:rsid w:val="29BC1BEA"/>
    <w:rsid w:val="2A962289"/>
    <w:rsid w:val="2B57444A"/>
    <w:rsid w:val="2BB34CA2"/>
    <w:rsid w:val="2BCD7650"/>
    <w:rsid w:val="2C770D7D"/>
    <w:rsid w:val="2C8E40DA"/>
    <w:rsid w:val="2C994A91"/>
    <w:rsid w:val="2D5A65C5"/>
    <w:rsid w:val="2D7F55C2"/>
    <w:rsid w:val="2DEB62CF"/>
    <w:rsid w:val="2E7A4121"/>
    <w:rsid w:val="2E903C71"/>
    <w:rsid w:val="2E922A59"/>
    <w:rsid w:val="2EB57CCE"/>
    <w:rsid w:val="2F811C83"/>
    <w:rsid w:val="2F9013C2"/>
    <w:rsid w:val="303F28A0"/>
    <w:rsid w:val="311A1F18"/>
    <w:rsid w:val="31363B59"/>
    <w:rsid w:val="3143360F"/>
    <w:rsid w:val="3156643E"/>
    <w:rsid w:val="32537F95"/>
    <w:rsid w:val="32BC67A5"/>
    <w:rsid w:val="32D76267"/>
    <w:rsid w:val="32FA3DAF"/>
    <w:rsid w:val="332609ED"/>
    <w:rsid w:val="33433250"/>
    <w:rsid w:val="334E7C57"/>
    <w:rsid w:val="346A24A1"/>
    <w:rsid w:val="348B67C9"/>
    <w:rsid w:val="34DB32E3"/>
    <w:rsid w:val="36336D3C"/>
    <w:rsid w:val="37664A4B"/>
    <w:rsid w:val="376A10BB"/>
    <w:rsid w:val="377408AC"/>
    <w:rsid w:val="37D31B27"/>
    <w:rsid w:val="37E34E12"/>
    <w:rsid w:val="3A3F6D53"/>
    <w:rsid w:val="3A4818A4"/>
    <w:rsid w:val="3A9F725A"/>
    <w:rsid w:val="3ABA56F4"/>
    <w:rsid w:val="3AD42E7F"/>
    <w:rsid w:val="3AF5DAB1"/>
    <w:rsid w:val="3B2535D0"/>
    <w:rsid w:val="3C3314A1"/>
    <w:rsid w:val="3C771D8C"/>
    <w:rsid w:val="3E205535"/>
    <w:rsid w:val="3E2E7003"/>
    <w:rsid w:val="3ED04B63"/>
    <w:rsid w:val="3F345B9D"/>
    <w:rsid w:val="3F477781"/>
    <w:rsid w:val="3FC2791B"/>
    <w:rsid w:val="3FCD703E"/>
    <w:rsid w:val="3FD527BF"/>
    <w:rsid w:val="403959A7"/>
    <w:rsid w:val="41ED15AE"/>
    <w:rsid w:val="42320077"/>
    <w:rsid w:val="42B43088"/>
    <w:rsid w:val="43324E9F"/>
    <w:rsid w:val="44127729"/>
    <w:rsid w:val="45330549"/>
    <w:rsid w:val="45FF73D8"/>
    <w:rsid w:val="462A00B0"/>
    <w:rsid w:val="469A7B8A"/>
    <w:rsid w:val="46B362F7"/>
    <w:rsid w:val="47D64CBF"/>
    <w:rsid w:val="484713ED"/>
    <w:rsid w:val="486D2B74"/>
    <w:rsid w:val="489E4EF2"/>
    <w:rsid w:val="48BA422E"/>
    <w:rsid w:val="48E44E8E"/>
    <w:rsid w:val="48ED0F9F"/>
    <w:rsid w:val="491A440C"/>
    <w:rsid w:val="49862862"/>
    <w:rsid w:val="4A103E4C"/>
    <w:rsid w:val="4A1C0A19"/>
    <w:rsid w:val="4B34396A"/>
    <w:rsid w:val="4B562B1E"/>
    <w:rsid w:val="4BC82845"/>
    <w:rsid w:val="4C564C93"/>
    <w:rsid w:val="4C900CC1"/>
    <w:rsid w:val="4CF136D5"/>
    <w:rsid w:val="4D002DEA"/>
    <w:rsid w:val="4D4964AF"/>
    <w:rsid w:val="4D4E52B1"/>
    <w:rsid w:val="4E0D619E"/>
    <w:rsid w:val="4E276751"/>
    <w:rsid w:val="4E486040"/>
    <w:rsid w:val="4EFF07DF"/>
    <w:rsid w:val="4F5E4BF7"/>
    <w:rsid w:val="50120259"/>
    <w:rsid w:val="507C3BFE"/>
    <w:rsid w:val="5096171E"/>
    <w:rsid w:val="50FD61CC"/>
    <w:rsid w:val="51B273B0"/>
    <w:rsid w:val="52054E85"/>
    <w:rsid w:val="52B30142"/>
    <w:rsid w:val="52B34A6D"/>
    <w:rsid w:val="535165EE"/>
    <w:rsid w:val="53A96706"/>
    <w:rsid w:val="53EA4A51"/>
    <w:rsid w:val="545E3EDB"/>
    <w:rsid w:val="546A57C4"/>
    <w:rsid w:val="54BD7D6C"/>
    <w:rsid w:val="54E16872"/>
    <w:rsid w:val="55223BCA"/>
    <w:rsid w:val="56561DB1"/>
    <w:rsid w:val="569F214B"/>
    <w:rsid w:val="580426D3"/>
    <w:rsid w:val="581C679B"/>
    <w:rsid w:val="59B11BB7"/>
    <w:rsid w:val="59CD4E8E"/>
    <w:rsid w:val="59FF1043"/>
    <w:rsid w:val="5A312564"/>
    <w:rsid w:val="5A431531"/>
    <w:rsid w:val="5A85544D"/>
    <w:rsid w:val="5ACF7FB2"/>
    <w:rsid w:val="5B4A3877"/>
    <w:rsid w:val="5B4D6D61"/>
    <w:rsid w:val="5B5F0B54"/>
    <w:rsid w:val="5B7F49C4"/>
    <w:rsid w:val="5B8649E8"/>
    <w:rsid w:val="5C807BB8"/>
    <w:rsid w:val="5C82434A"/>
    <w:rsid w:val="5CD05D57"/>
    <w:rsid w:val="5D0B2591"/>
    <w:rsid w:val="5DDB01B6"/>
    <w:rsid w:val="5E4C0286"/>
    <w:rsid w:val="5EA23ECB"/>
    <w:rsid w:val="5EAE0D08"/>
    <w:rsid w:val="5F0919A4"/>
    <w:rsid w:val="5F170610"/>
    <w:rsid w:val="5F1F590D"/>
    <w:rsid w:val="5FFEBFFF"/>
    <w:rsid w:val="603911C4"/>
    <w:rsid w:val="60456754"/>
    <w:rsid w:val="617625B0"/>
    <w:rsid w:val="61817A1F"/>
    <w:rsid w:val="620F2B8A"/>
    <w:rsid w:val="62517FC0"/>
    <w:rsid w:val="62720114"/>
    <w:rsid w:val="627853EA"/>
    <w:rsid w:val="62FE2ACC"/>
    <w:rsid w:val="638C03E2"/>
    <w:rsid w:val="64481E81"/>
    <w:rsid w:val="645131D3"/>
    <w:rsid w:val="658C7FE7"/>
    <w:rsid w:val="659C40EE"/>
    <w:rsid w:val="65B23EF2"/>
    <w:rsid w:val="65DC2D1D"/>
    <w:rsid w:val="661E1587"/>
    <w:rsid w:val="66302E0F"/>
    <w:rsid w:val="666F45A0"/>
    <w:rsid w:val="672B0915"/>
    <w:rsid w:val="67635BC1"/>
    <w:rsid w:val="67AB00FD"/>
    <w:rsid w:val="67BE26CC"/>
    <w:rsid w:val="680A67C8"/>
    <w:rsid w:val="68837F16"/>
    <w:rsid w:val="68BC0BE4"/>
    <w:rsid w:val="68E07AEE"/>
    <w:rsid w:val="69006831"/>
    <w:rsid w:val="69342E70"/>
    <w:rsid w:val="69381794"/>
    <w:rsid w:val="6A4A6515"/>
    <w:rsid w:val="6A640F76"/>
    <w:rsid w:val="6AB53B3C"/>
    <w:rsid w:val="6D904050"/>
    <w:rsid w:val="6DD00BA9"/>
    <w:rsid w:val="6DE6FC7D"/>
    <w:rsid w:val="6E2C46FB"/>
    <w:rsid w:val="6F125D61"/>
    <w:rsid w:val="6F1812E0"/>
    <w:rsid w:val="6F93531A"/>
    <w:rsid w:val="6FE71048"/>
    <w:rsid w:val="700E27C0"/>
    <w:rsid w:val="70642025"/>
    <w:rsid w:val="70F652BC"/>
    <w:rsid w:val="71407CFA"/>
    <w:rsid w:val="723B701D"/>
    <w:rsid w:val="726C6ADB"/>
    <w:rsid w:val="7311790D"/>
    <w:rsid w:val="74181EB8"/>
    <w:rsid w:val="74733925"/>
    <w:rsid w:val="748F3650"/>
    <w:rsid w:val="751F4904"/>
    <w:rsid w:val="759706CC"/>
    <w:rsid w:val="762941A2"/>
    <w:rsid w:val="76536B40"/>
    <w:rsid w:val="76943127"/>
    <w:rsid w:val="76D36788"/>
    <w:rsid w:val="778356EE"/>
    <w:rsid w:val="77D53717"/>
    <w:rsid w:val="77FA8D7D"/>
    <w:rsid w:val="784D55E5"/>
    <w:rsid w:val="78864371"/>
    <w:rsid w:val="79463D6B"/>
    <w:rsid w:val="7A0679AF"/>
    <w:rsid w:val="7B007056"/>
    <w:rsid w:val="7B9A6194"/>
    <w:rsid w:val="7C115EE7"/>
    <w:rsid w:val="7D242C86"/>
    <w:rsid w:val="7DB54128"/>
    <w:rsid w:val="7DBE5B9D"/>
    <w:rsid w:val="7DF832F4"/>
    <w:rsid w:val="7E1A6E9E"/>
    <w:rsid w:val="7EDF0129"/>
    <w:rsid w:val="7EDF3964"/>
    <w:rsid w:val="7F50046D"/>
    <w:rsid w:val="7FB23D36"/>
    <w:rsid w:val="7FBE0351"/>
    <w:rsid w:val="7FDEB5CB"/>
    <w:rsid w:val="7FFDCADC"/>
    <w:rsid w:val="BEEFD03C"/>
    <w:rsid w:val="BFCBFBF2"/>
    <w:rsid w:val="D4B6A447"/>
    <w:rsid w:val="D7C7C6A9"/>
    <w:rsid w:val="DDD569AE"/>
    <w:rsid w:val="E7EA4269"/>
    <w:rsid w:val="EC3599D0"/>
    <w:rsid w:val="EEBBCC2C"/>
    <w:rsid w:val="EEC375BE"/>
    <w:rsid w:val="EFBFFC0B"/>
    <w:rsid w:val="F3FFCC42"/>
    <w:rsid w:val="F8FF0AF4"/>
    <w:rsid w:val="FBA318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9">
    <w:name w:val="heading 1"/>
    <w:basedOn w:val="1"/>
    <w:next w:val="1"/>
    <w:qFormat/>
    <w:uiPriority w:val="0"/>
    <w:pPr>
      <w:keepNext/>
      <w:jc w:val="left"/>
      <w:outlineLvl w:val="0"/>
    </w:pPr>
    <w:rPr>
      <w:rFonts w:ascii="宋体" w:hAnsi="宋体"/>
      <w:b/>
      <w:sz w:val="32"/>
      <w:szCs w:val="20"/>
    </w:rPr>
  </w:style>
  <w:style w:type="paragraph" w:styleId="10">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1">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2">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3">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spacing w:line="360" w:lineRule="auto"/>
      <w:ind w:firstLine="420"/>
    </w:pPr>
    <w:rPr>
      <w:szCs w:val="20"/>
    </w:rPr>
  </w:style>
  <w:style w:type="paragraph" w:styleId="3">
    <w:name w:val="Body Text"/>
    <w:basedOn w:val="1"/>
    <w:next w:val="4"/>
    <w:qFormat/>
    <w:uiPriority w:val="0"/>
    <w:pPr>
      <w:jc w:val="center"/>
    </w:pPr>
    <w:rPr>
      <w:rFonts w:ascii="宋体"/>
      <w:b/>
      <w:sz w:val="48"/>
    </w:rPr>
  </w:style>
  <w:style w:type="paragraph" w:styleId="4">
    <w:name w:val="Body Text First Indent"/>
    <w:basedOn w:val="3"/>
    <w:next w:val="5"/>
    <w:unhideWhenUsed/>
    <w:qFormat/>
    <w:uiPriority w:val="99"/>
    <w:pPr>
      <w:ind w:firstLine="420" w:firstLineChars="100"/>
    </w:pPr>
  </w:style>
  <w:style w:type="paragraph" w:styleId="5">
    <w:name w:val="Body Text First Indent 2"/>
    <w:basedOn w:val="6"/>
    <w:next w:val="8"/>
    <w:unhideWhenUsed/>
    <w:qFormat/>
    <w:uiPriority w:val="99"/>
    <w:pPr>
      <w:ind w:firstLine="420" w:firstLineChars="200"/>
    </w:pPr>
  </w:style>
  <w:style w:type="paragraph" w:styleId="6">
    <w:name w:val="Body Text Indent"/>
    <w:basedOn w:val="1"/>
    <w:next w:val="7"/>
    <w:unhideWhenUsed/>
    <w:qFormat/>
    <w:uiPriority w:val="99"/>
    <w:pPr>
      <w:spacing w:after="120"/>
      <w:ind w:left="420" w:leftChars="200"/>
    </w:pPr>
    <w:rPr>
      <w:rFonts w:ascii="Times New Roman" w:hAnsi="Times New Roman" w:eastAsia="宋体" w:cs="Times New Roman"/>
      <w:szCs w:val="24"/>
    </w:rPr>
  </w:style>
  <w:style w:type="paragraph" w:styleId="7">
    <w:name w:val="footer"/>
    <w:basedOn w:val="1"/>
    <w:next w:val="5"/>
    <w:qFormat/>
    <w:uiPriority w:val="0"/>
    <w:pPr>
      <w:tabs>
        <w:tab w:val="center" w:pos="4153"/>
        <w:tab w:val="right" w:pos="8306"/>
      </w:tabs>
      <w:snapToGrid w:val="0"/>
      <w:jc w:val="left"/>
    </w:pPr>
    <w:rPr>
      <w:sz w:val="18"/>
    </w:rPr>
  </w:style>
  <w:style w:type="paragraph" w:styleId="8">
    <w:name w:val="List Continue"/>
    <w:basedOn w:val="1"/>
    <w:next w:val="4"/>
    <w:qFormat/>
    <w:uiPriority w:val="0"/>
    <w:pPr>
      <w:spacing w:after="120"/>
      <w:ind w:left="420" w:firstLine="3584"/>
    </w:pPr>
  </w:style>
  <w:style w:type="paragraph" w:styleId="14">
    <w:name w:val="annotation text"/>
    <w:basedOn w:val="1"/>
    <w:link w:val="40"/>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2"/>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4"/>
    <w:next w:val="14"/>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4"/>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6"/>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正文"/>
    <w:basedOn w:val="1"/>
    <w:qFormat/>
    <w:uiPriority w:val="0"/>
    <w:pPr>
      <w:spacing w:line="560" w:lineRule="exact"/>
      <w:ind w:firstLine="200" w:firstLineChars="200"/>
    </w:pPr>
    <w:rPr>
      <w:rFonts w:ascii="仿宋_GB2312" w:hAnsi="黑体" w:eastAsia="仿宋_GB2312" w:cs="Times New Roman"/>
      <w:sz w:val="32"/>
      <w:szCs w:val="32"/>
    </w:rPr>
  </w:style>
  <w:style w:type="character" w:customStyle="1" w:styleId="48">
    <w:name w:val="font21"/>
    <w:qFormat/>
    <w:uiPriority w:val="0"/>
    <w:rPr>
      <w:rFonts w:hint="default" w:ascii="楷体_GB2312" w:eastAsia="楷体_GB2312" w:cs="楷体_GB2312"/>
      <w:color w:val="000000"/>
      <w:sz w:val="24"/>
      <w:szCs w:val="24"/>
      <w:u w:val="none"/>
      <w:vertAlign w:val="superscript"/>
    </w:rPr>
  </w:style>
  <w:style w:type="paragraph" w:customStyle="1" w:styleId="49">
    <w:name w:val="Table Paragraph"/>
    <w:basedOn w:val="1"/>
    <w:qFormat/>
    <w:uiPriority w:val="0"/>
    <w:pPr>
      <w:autoSpaceDE w:val="0"/>
      <w:autoSpaceDN w:val="0"/>
      <w:jc w:val="left"/>
    </w:pPr>
    <w:rPr>
      <w:rFonts w:ascii="Droid Sans Fallback" w:hAnsi="Droid Sans Fallback" w:eastAsia="Droid Sans Fallback" w:cs="Droid Sans Fallback"/>
      <w:kern w:val="0"/>
      <w:sz w:val="22"/>
      <w:szCs w:val="22"/>
      <w:lang w:val="zh-CN" w:bidi="zh-CN"/>
    </w:rPr>
  </w:style>
  <w:style w:type="table" w:customStyle="1" w:styleId="5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e0123827-49e3-4195-83bf-e6bd827c7acc</errorID>
      <errorWord>准确性方面</errorWord>
      <group>L1_Grammar</group>
      <groupName>语法问题</groupName>
      <ability>L2_Confusion</ability>
      <abilityName>结构混乱</abilityName>
      <candidateList>
        <item>准确性</item>
      </candidateList>
      <explain>句子中可能存在两种以上的句法结构，导致结构混乱。</explain>
      <paraID>5237C165</paraID>
      <start>89</start>
      <end>94</end>
      <status>ignored</status>
      <modifiedWord/>
      <trackRevisions>false</trackRevisions>
    </reviewItem>
    <reviewItem>
      <errorID>fbaceaea-2230-43d4-b1a6-77cf0cb8aa1d</errorID>
      <errorWord>。</errorWord>
      <group>L1_Grammar</group>
      <groupName>语法问题</groupName>
      <ability>L2_Collocation</ability>
      <abilityName>搭配不当</abilityName>
      <candidateList>
        <item>的目标。</item>
      </candidateList>
      <explain>句子中可能存在主谓、动宾、定语中心语、状语中心语、补语中心语、关联词搭配不当等问题。</explain>
      <paraID>61453EF3</paraID>
      <start>110</start>
      <end>111</end>
      <status>ignored</status>
      <modifiedWord/>
      <trackRevisions>false</trackRevisions>
    </reviewItem>
    <reviewItem>
      <errorID>3c6440b7-6832-4c14-87ef-78e074e22da5</errorID>
      <errorWord>CODmn</errorWord>
      <group>L1_English</group>
      <groupName>英文问题</groupName>
      <ability>L2_Spell</ability>
      <abilityName>拼写问题</abilityName>
      <candidateList>
        <item>COD</item>
      </candidateList>
      <explain>疑似单词拼写有误，建议将CODmn修改为COD</explain>
      <paraID>5462F2F8</paraID>
      <start>0</start>
      <end>5</end>
      <status>ignored</status>
      <modifiedWord/>
      <trackRevisions>false</trackRevisions>
    </reviewItem>
    <reviewItem>
      <errorID>3d579dbc-6b38-4344-b723-90f95456dbd8</errorID>
      <errorWord>CODmn</errorWord>
      <group>L1_English</group>
      <groupName>英文问题</groupName>
      <ability>L2_Spell</ability>
      <abilityName>拼写问题</abilityName>
      <candidateList>
        <item>COD</item>
      </candidateList>
      <explain>疑似单词拼写有误，建议将CODmn修改为COD</explain>
      <paraID>68D7070D</paraID>
      <start>0</start>
      <end>5</end>
      <status>unmodified</status>
      <modifiedWord/>
      <trackRevisions>false</trackRevisions>
    </reviewItem>
    <reviewItem>
      <errorID>b1cd95f6-b242-4724-91e5-75e02c2c4a3b</errorID>
      <errorWord>CODmn</errorWord>
      <group>L1_English</group>
      <groupName>英文问题</groupName>
      <ability>L2_Spell</ability>
      <abilityName>拼写问题</abilityName>
      <candidateList>
        <item>COD</item>
      </candidateList>
      <explain>疑似单词拼写有误，建议将CODmn修改为COD</explain>
      <paraID>216A9F8E</paraID>
      <start>0</start>
      <end>5</end>
      <status>unmodified</status>
      <modifiedWord/>
      <trackRevisions>false</trackRevisions>
    </reviewItem>
    <reviewItem>
      <errorID>8c17cbf6-4caa-4e41-9ebb-654d298c0360</errorID>
      <errorWord>保密的</errorWord>
      <group>L1_Word</group>
      <groupName>字词问题</groupName>
      <ability>L2_Typo</ability>
      <abilityName>字词错误</abilityName>
      <candidateList>
        <item>保密</item>
      </candidateList>
      <explain/>
      <paraID>5DA9E504</paraID>
      <start>16</start>
      <end>19</end>
      <status>unmodified</status>
      <modifiedWord/>
      <trackRevisions>false</trackRevisions>
    </reviewItem>
    <reviewItem>
      <errorID>18838ec9-517f-470d-8a04-256d7691a2a7</errorID>
      <errorWord>其它</errorWord>
      <group>L1_Word</group>
      <groupName>字词问题</groupName>
      <ability>L2_Alias</ability>
      <abilityName>也作/曾用词</abilityName>
      <candidateList>
        <item>其他</item>
      </candidateList>
      <explain>词汇[其它]为不规范表述或旧称，其规范书面表述为[其他]。</explain>
      <paraID>4BB958EE</paraID>
      <start>3</start>
      <end>5</end>
      <status>unmodified</status>
      <modifiedWord/>
      <trackRevisions>false</trackRevisions>
    </reviewItem>
    <reviewItem>
      <errorID>17dd60f6-98e6-4096-99d4-3a05cccab14a</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1491FE30</paraID>
      <start>18</start>
      <end>19</end>
      <status>unmodified</status>
      <modifiedWord/>
      <trackRevisions>false</trackRevisions>
    </reviewItem>
    <reviewItem>
      <errorID>9ea2d9a0-b073-4af7-9e33-c9324db4b6fd</errorID>
      <errorWord>,</errorWord>
      <group>L1_Format</group>
      <groupName>格式问题</groupName>
      <ability>L2_HalfPunc_CN</ability>
      <abilityName>全半角问题</abilityName>
      <candidateList>
        <item>，</item>
      </candidateList>
      <explain>文本全半角错误。</explain>
      <paraID>5059BC8E</paraID>
      <start>274</start>
      <end>275</end>
      <status>modified</status>
      <modifiedWord>，</modifiedWord>
      <trackRevisions>false</trackRevisions>
    </reviewItem>
    <reviewItem>
      <errorID>49905531-a535-4953-a7d2-177fda48e49e</errorID>
      <errorWord>须</errorWord>
      <group>L1_Word</group>
      <groupName>字词问题</groupName>
      <ability>L2_Typo</ability>
      <abilityName>字词错误</abilityName>
      <candidateList>
        <item>需</item>
      </candidateList>
      <explain>存在发音相同字词的误用。</explain>
      <paraID>152526B0</paraID>
      <start>32</start>
      <end>33</end>
      <status>unmodified</status>
      <modifiedWord/>
      <trackRevisions>false</trackRevisions>
    </reviewItem>
    <reviewItem>
      <errorID>d8a0dccf-24f6-4fb8-a660-60561f9c0dd9</errorID>
      <errorWord>做</errorWord>
      <group>L1_Word</group>
      <groupName>字词问题</groupName>
      <ability>L2_Typo</ability>
      <abilityName>字词错误</abilityName>
      <candidateList>
        <item>作</item>
      </candidateList>
      <explain>❶起：振～｜日出而～｜一鼓～气｜枪声大～。❷〈动〉从事某种活动：～孽｜～报告｜自～自受。❸〈动〉写作：著～｜～曲｜～书（写信）。❹作品：佳～｜杰～｜成功之～。❺装：～态｜装模～样。❻〈动〉当成；作为：～保｜～废｜认贼～父。❼发作：～呕｜～怪。</explain>
      <paraID>238B277A</paraID>
      <start>2</start>
      <end>3</end>
      <status>modified</status>
      <modifiedWord>作</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a1c4b2d-997b-4e23-88c8-fd7ff397ee9a}">
  <ds:schemaRefs/>
</ds:datastoreItem>
</file>

<file path=docProps/app.xml><?xml version="1.0" encoding="utf-8"?>
<Properties xmlns="http://schemas.openxmlformats.org/officeDocument/2006/extended-properties" xmlns:vt="http://schemas.openxmlformats.org/officeDocument/2006/docPropsVTypes">
  <Template>Normal</Template>
  <Pages>20</Pages>
  <Words>6383</Words>
  <Characters>6613</Characters>
  <Lines>38</Lines>
  <Paragraphs>10</Paragraphs>
  <TotalTime>4</TotalTime>
  <ScaleCrop>false</ScaleCrop>
  <LinksUpToDate>false</LinksUpToDate>
  <CharactersWithSpaces>7444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2019-10-30T16:51:00Z</dcterms:created>
  <dc:creator>Administrator</dc:creator>
  <cp:lastModifiedBy>老方丈</cp:lastModifiedBy>
  <cp:lastPrinted>2020-09-23T13:55:00Z</cp:lastPrinted>
  <dcterms:modified xsi:type="dcterms:W3CDTF">2026-06-26T09:08:59Z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AB73F492C3DA49F9896DA5FA351F3498_13</vt:lpwstr>
  </property>
  <property fmtid="{D5CDD505-2E9C-101B-9397-08002B2CF9AE}" pid="4" name="KSOTemplateDocerSaveRecord">
    <vt:lpwstr>eyJoZGlkIjoiYWE5NzViNDJlZTk1MzNmZWM4Nzc1NGQ0NzAxODJlZjkiLCJ1c2VySWQiOiI0NDc0NDAxMDYifQ==</vt:lpwstr>
  </property>
</Properties>
</file>