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石家庄市机动车排污管理中心</w:t>
      </w:r>
    </w:p>
    <w:p>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关于移动式机动车排放工况检测服务项目的</w:t>
      </w:r>
    </w:p>
    <w:p>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outlineLvl w:val="9"/>
        <w:rPr>
          <w:rFonts w:hint="eastAsia" w:ascii="仿宋" w:hAnsi="仿宋" w:eastAsia="仿宋" w:cs="仿宋"/>
          <w:bCs/>
          <w:sz w:val="44"/>
          <w:szCs w:val="44"/>
        </w:rPr>
      </w:pPr>
      <w:bookmarkStart w:id="14" w:name="_GoBack"/>
      <w:bookmarkEnd w:id="14"/>
      <w:r>
        <w:rPr>
          <w:rFonts w:hint="eastAsia" w:ascii="方正小标宋简体" w:hAnsi="方正小标宋_GBK" w:eastAsia="方正小标宋简体" w:cs="方正小标宋_GBK"/>
          <w:bCs/>
          <w:sz w:val="44"/>
          <w:szCs w:val="44"/>
          <w:lang w:val="en-US" w:eastAsia="zh-CN"/>
        </w:rPr>
        <w:t>询价信息公告</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eastAsia="zh-CN"/>
        </w:rPr>
        <w:t>石家庄市机动车排污管理中心</w:t>
      </w:r>
      <w:r>
        <w:rPr>
          <w:rFonts w:hint="eastAsia" w:ascii="仿宋" w:hAnsi="仿宋" w:eastAsia="仿宋" w:cs="仿宋"/>
          <w:bCs/>
          <w:sz w:val="32"/>
          <w:szCs w:val="32"/>
          <w:lang w:val="en-US" w:eastAsia="zh-CN"/>
        </w:rPr>
        <w:t>石家庄市移动式机动车排放工况检测服务项目（</w:t>
      </w:r>
      <w:r>
        <w:rPr>
          <w:rFonts w:hint="eastAsia" w:ascii="仿宋_GB2312" w:hAnsi="仿宋_GB2312" w:eastAsia="仿宋_GB2312" w:cs="仿宋_GB2312"/>
          <w:bCs/>
          <w:sz w:val="32"/>
          <w:szCs w:val="32"/>
          <w:lang w:val="en-US" w:eastAsia="zh-CN"/>
        </w:rPr>
        <w:t>预算金额</w:t>
      </w:r>
      <w:r>
        <w:rPr>
          <w:rFonts w:hint="eastAsia" w:ascii="仿宋_GB2312" w:hAnsi="仿宋_GB2312" w:eastAsia="仿宋_GB2312" w:cs="仿宋_GB2312"/>
          <w:bCs/>
          <w:sz w:val="32"/>
          <w:szCs w:val="32"/>
          <w:u w:val="single"/>
          <w:lang w:val="en-US" w:eastAsia="zh-CN"/>
        </w:rPr>
        <w:t>：475.1万元</w:t>
      </w:r>
      <w:r>
        <w:rPr>
          <w:rFonts w:hint="eastAsia" w:ascii="仿宋_GB2312" w:hAnsi="仿宋_GB2312" w:eastAsia="仿宋_GB2312" w:cs="仿宋_GB2312"/>
          <w:bCs/>
          <w:sz w:val="32"/>
          <w:szCs w:val="32"/>
          <w:lang w:val="en-US" w:eastAsia="zh-CN"/>
        </w:rPr>
        <w:t>）</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widowControl w:val="0"/>
        <w:kinsoku/>
        <w:overflowPunct/>
        <w:topLinePunct w:val="0"/>
        <w:autoSpaceDE/>
        <w:autoSpaceDN/>
        <w:bidi w:val="0"/>
        <w:adjustRightInd/>
        <w:snapToGrid/>
        <w:spacing w:line="520" w:lineRule="exact"/>
        <w:ind w:firstLine="640"/>
        <w:textAlignment w:val="auto"/>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7</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2</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eastAsia="zh-CN"/>
        </w:rPr>
        <w:t>四</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09</w:t>
      </w:r>
      <w:r>
        <w:rPr>
          <w:rFonts w:hint="eastAsia" w:ascii="仿宋_GB2312" w:hAnsi="仿宋_GB2312" w:eastAsia="仿宋_GB2312" w:cs="仿宋_GB2312"/>
          <w:b/>
          <w:sz w:val="32"/>
          <w:szCs w:val="32"/>
          <w:highlight w:val="none"/>
          <w:u w:val="single"/>
          <w:lang w:eastAsia="zh-CN"/>
        </w:rPr>
        <w:t>：</w:t>
      </w:r>
      <w:r>
        <w:rPr>
          <w:rFonts w:hint="eastAsia" w:ascii="仿宋_GB2312" w:hAnsi="仿宋_GB2312" w:eastAsia="仿宋_GB2312" w:cs="仿宋_GB2312"/>
          <w:b/>
          <w:sz w:val="32"/>
          <w:szCs w:val="32"/>
          <w:highlight w:val="none"/>
          <w:u w:val="single"/>
          <w:lang w:val="en-US" w:eastAsia="zh-CN"/>
        </w:rPr>
        <w:t>30</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pPr>
        <w:keepNext w:val="0"/>
        <w:keepLines w:val="0"/>
        <w:pageBreakBefore w:val="0"/>
        <w:widowControl w:val="0"/>
        <w:kinsoku/>
        <w:overflowPunct/>
        <w:topLinePunct w:val="0"/>
        <w:autoSpaceDE/>
        <w:autoSpaceDN/>
        <w:bidi w:val="0"/>
        <w:adjustRightInd/>
        <w:snapToGrid/>
        <w:spacing w:line="520" w:lineRule="exact"/>
        <w:ind w:firstLine="640"/>
        <w:textAlignment w:val="auto"/>
        <w:rPr>
          <w:rFonts w:ascii="仿宋_GB2312" w:hAnsi="仿宋_GB2312" w:eastAsia="仿宋_GB2312" w:cs="仿宋_GB2312"/>
          <w:b/>
          <w:sz w:val="32"/>
          <w:szCs w:val="32"/>
          <w:highlight w:val="none"/>
        </w:rPr>
      </w:pP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魏宗敏，联系电话：67667082</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1929" w:firstLineChars="603"/>
        <w:textAlignment w:val="auto"/>
        <w:outlineLvl w:val="9"/>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default" w:ascii="仿宋_GB2312" w:hAnsi="仿宋_GB2312" w:eastAsia="仿宋_GB2312" w:cs="仿宋_GB2312"/>
          <w:bCs/>
          <w:sz w:val="32"/>
          <w:szCs w:val="32"/>
          <w:lang w:val="en-US"/>
        </w:rPr>
      </w:pPr>
      <w:r>
        <w:rPr>
          <w:rFonts w:hint="eastAsia" w:ascii="仿宋_GB2312" w:hAnsi="仿宋_GB2312" w:eastAsia="仿宋_GB2312" w:cs="仿宋_GB2312"/>
          <w:bCs/>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1600" w:firstLineChars="5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1600" w:firstLineChars="50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pStyle w:val="11"/>
        <w:keepNext w:val="0"/>
        <w:keepLines w:val="0"/>
        <w:pageBreakBefore w:val="0"/>
        <w:widowControl w:val="0"/>
        <w:kinsoku/>
        <w:wordWrap/>
        <w:overflowPunct/>
        <w:topLinePunct w:val="0"/>
        <w:autoSpaceDE/>
        <w:autoSpaceDN/>
        <w:bidi w:val="0"/>
        <w:adjustRightInd/>
        <w:snapToGrid/>
        <w:spacing w:after="0" w:line="520" w:lineRule="exact"/>
        <w:ind w:right="0" w:rightChars="0"/>
        <w:textAlignment w:val="auto"/>
        <w:outlineLvl w:val="9"/>
        <w:rPr>
          <w:rFonts w:hint="eastAsia"/>
          <w:sz w:val="32"/>
          <w:szCs w:val="32"/>
        </w:rPr>
      </w:pPr>
    </w:p>
    <w:p>
      <w:pPr>
        <w:keepNext w:val="0"/>
        <w:keepLines w:val="0"/>
        <w:pageBreakBefore w:val="0"/>
        <w:widowControl w:val="0"/>
        <w:kinsoku/>
        <w:wordWrap w:val="0"/>
        <w:overflowPunct/>
        <w:topLinePunct w:val="0"/>
        <w:autoSpaceDE/>
        <w:autoSpaceDN/>
        <w:bidi w:val="0"/>
        <w:adjustRightInd/>
        <w:snapToGrid/>
        <w:spacing w:line="520" w:lineRule="exact"/>
        <w:ind w:right="0" w:rightChars="0"/>
        <w:jc w:val="right"/>
        <w:textAlignment w:val="auto"/>
        <w:outlineLvl w:val="9"/>
        <w:rPr>
          <w:rFonts w:hint="eastAsia" w:ascii="仿宋_GB2312" w:hAnsi="仿宋_GB2312" w:eastAsia="仿宋_GB2312" w:cs="仿宋_GB2312"/>
          <w:bCs/>
          <w:color w:val="auto"/>
          <w:sz w:val="32"/>
          <w:szCs w:val="32"/>
        </w:rPr>
      </w:pP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lang w:eastAsia="zh-CN"/>
        </w:rPr>
        <w:t>石家庄市机动车排污管理中心</w:t>
      </w:r>
      <w:r>
        <w:rPr>
          <w:rFonts w:hint="eastAsia" w:ascii="仿宋_GB2312" w:hAnsi="仿宋_GB2312" w:eastAsia="仿宋_GB2312" w:cs="仿宋_GB2312"/>
          <w:color w:val="auto"/>
          <w:sz w:val="32"/>
          <w:szCs w:val="32"/>
          <w:highlight w:val="none"/>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0" w:rightChars="0" w:firstLine="4160" w:firstLineChars="1300"/>
        <w:jc w:val="both"/>
        <w:textAlignment w:val="auto"/>
        <w:outlineLvl w:val="9"/>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6</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Cs/>
          <w:sz w:val="44"/>
          <w:szCs w:val="44"/>
          <w:lang w:eastAsia="zh-CN"/>
        </w:rPr>
      </w:pPr>
      <w:r>
        <w:rPr>
          <w:rFonts w:hint="eastAsia" w:ascii="方正小标宋简体" w:hAnsi="方正小标宋简体" w:eastAsia="方正小标宋简体" w:cs="方正小标宋简体"/>
          <w:bCs/>
          <w:sz w:val="44"/>
          <w:szCs w:val="44"/>
          <w:lang w:eastAsia="zh-CN"/>
        </w:rPr>
        <w:t>石家庄市机动车排污管理中心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lang w:val="en-US" w:eastAsia="zh-CN"/>
        </w:rPr>
        <w:t>移动式机动车排放工况检测服务项目</w:t>
      </w:r>
      <w:r>
        <w:rPr>
          <w:rFonts w:hint="eastAsia" w:ascii="方正小标宋简体" w:hAnsi="方正小标宋简体" w:eastAsia="方正小标宋简体" w:cs="方正小标宋简体"/>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pPr>
        <w:pStyle w:val="9"/>
        <w:rPr>
          <w:rFonts w:hint="eastAsia" w:ascii="宋体" w:hAnsi="宋体" w:eastAsia="宋体"/>
          <w:b/>
          <w:color w:val="000000"/>
          <w:sz w:val="44"/>
          <w:szCs w:val="36"/>
          <w:lang w:eastAsia="zh-CN"/>
        </w:rPr>
      </w:pPr>
    </w:p>
    <w:p>
      <w:pPr>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pacing w:val="-10"/>
          <w:sz w:val="44"/>
          <w:szCs w:val="44"/>
          <w:lang w:eastAsia="zh-CN"/>
        </w:rPr>
      </w:pPr>
      <w:r>
        <w:rPr>
          <w:rFonts w:hint="eastAsia" w:ascii="方正小标宋简体" w:hAnsi="方正小标宋简体" w:eastAsia="方正小标宋简体" w:cs="方正小标宋简体"/>
          <w:b w:val="0"/>
          <w:bCs w:val="0"/>
          <w:color w:val="auto"/>
          <w:spacing w:val="-10"/>
          <w:sz w:val="44"/>
          <w:szCs w:val="44"/>
          <w:lang w:eastAsia="zh-CN"/>
        </w:rPr>
        <w:t>石家庄市机动车排污管理中心</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pacing w:val="-10"/>
          <w:sz w:val="44"/>
          <w:szCs w:val="44"/>
          <w:lang w:eastAsia="zh-CN"/>
        </w:rPr>
      </w:pPr>
      <w:r>
        <w:rPr>
          <w:rFonts w:hint="eastAsia" w:ascii="方正小标宋简体" w:hAnsi="方正小标宋简体" w:eastAsia="方正小标宋简体" w:cs="方正小标宋简体"/>
          <w:b w:val="0"/>
          <w:bCs w:val="0"/>
          <w:color w:val="auto"/>
          <w:spacing w:val="-10"/>
          <w:sz w:val="44"/>
          <w:szCs w:val="44"/>
        </w:rPr>
        <w:t>移动式机动车排放工况检测服务项目</w:t>
      </w:r>
      <w:r>
        <w:rPr>
          <w:rFonts w:hint="eastAsia" w:ascii="方正小标宋简体" w:hAnsi="方正小标宋简体" w:eastAsia="方正小标宋简体" w:cs="方正小标宋简体"/>
          <w:b w:val="0"/>
          <w:bCs w:val="0"/>
          <w:color w:val="auto"/>
          <w:spacing w:val="-10"/>
          <w:sz w:val="44"/>
          <w:szCs w:val="44"/>
          <w:lang w:eastAsia="zh-CN"/>
        </w:rPr>
        <w:t>采购需求</w:t>
      </w:r>
    </w:p>
    <w:p>
      <w:pPr>
        <w:pStyle w:val="9"/>
        <w:rPr>
          <w:rFonts w:hint="eastAsia" w:asciiTheme="majorEastAsia" w:hAnsiTheme="majorEastAsia" w:eastAsiaTheme="majorEastAsia" w:cstheme="majorEastAsia"/>
          <w:b/>
          <w:bCs/>
          <w:color w:val="auto"/>
          <w:spacing w:val="-10"/>
          <w:sz w:val="44"/>
          <w:szCs w:val="44"/>
          <w:lang w:eastAsia="zh-CN"/>
        </w:rPr>
      </w:pPr>
    </w:p>
    <w:p>
      <w:pPr>
        <w:rPr>
          <w:rFonts w:hint="eastAsia" w:asciiTheme="majorEastAsia" w:hAnsiTheme="majorEastAsia" w:eastAsiaTheme="majorEastAsia" w:cstheme="majorEastAsia"/>
          <w:b/>
          <w:bCs/>
          <w:color w:val="auto"/>
          <w:spacing w:val="-10"/>
          <w:sz w:val="44"/>
          <w:szCs w:val="44"/>
          <w:lang w:eastAsia="zh-CN"/>
        </w:rPr>
      </w:pPr>
    </w:p>
    <w:p>
      <w:pPr>
        <w:pStyle w:val="9"/>
        <w:rPr>
          <w:rFonts w:hint="eastAsia" w:asciiTheme="majorEastAsia" w:hAnsiTheme="majorEastAsia" w:eastAsiaTheme="majorEastAsia" w:cstheme="majorEastAsia"/>
          <w:b/>
          <w:bCs/>
          <w:color w:val="auto"/>
          <w:spacing w:val="-10"/>
          <w:sz w:val="44"/>
          <w:szCs w:val="44"/>
          <w:lang w:eastAsia="zh-CN"/>
        </w:rPr>
      </w:pPr>
    </w:p>
    <w:p>
      <w:pPr>
        <w:rPr>
          <w:rFonts w:hint="eastAsia" w:asciiTheme="majorEastAsia" w:hAnsiTheme="majorEastAsia" w:eastAsiaTheme="majorEastAsia" w:cstheme="majorEastAsia"/>
          <w:b/>
          <w:bCs/>
          <w:color w:val="auto"/>
          <w:spacing w:val="-10"/>
          <w:sz w:val="44"/>
          <w:szCs w:val="44"/>
          <w:lang w:eastAsia="zh-CN"/>
        </w:rPr>
      </w:pPr>
    </w:p>
    <w:p>
      <w:pPr>
        <w:pStyle w:val="9"/>
        <w:rPr>
          <w:rFonts w:hint="eastAsia" w:asciiTheme="majorEastAsia" w:hAnsiTheme="majorEastAsia" w:eastAsiaTheme="majorEastAsia" w:cstheme="majorEastAsia"/>
          <w:b/>
          <w:bCs/>
          <w:color w:val="auto"/>
          <w:spacing w:val="-10"/>
          <w:sz w:val="44"/>
          <w:szCs w:val="44"/>
          <w:lang w:eastAsia="zh-CN"/>
        </w:rPr>
      </w:pPr>
    </w:p>
    <w:p>
      <w:pPr>
        <w:rPr>
          <w:rFonts w:hint="eastAsia" w:asciiTheme="majorEastAsia" w:hAnsiTheme="majorEastAsia" w:eastAsiaTheme="majorEastAsia" w:cstheme="majorEastAsia"/>
          <w:b/>
          <w:bCs/>
          <w:color w:val="auto"/>
          <w:spacing w:val="-10"/>
          <w:sz w:val="44"/>
          <w:szCs w:val="44"/>
          <w:lang w:eastAsia="zh-CN"/>
        </w:rPr>
      </w:pPr>
    </w:p>
    <w:p>
      <w:pPr>
        <w:pStyle w:val="9"/>
        <w:rPr>
          <w:rFonts w:hint="eastAsia" w:asciiTheme="majorEastAsia" w:hAnsiTheme="majorEastAsia" w:eastAsiaTheme="majorEastAsia" w:cstheme="majorEastAsia"/>
          <w:b/>
          <w:bCs/>
          <w:color w:val="auto"/>
          <w:spacing w:val="-10"/>
          <w:sz w:val="44"/>
          <w:szCs w:val="44"/>
          <w:lang w:eastAsia="zh-CN"/>
        </w:rPr>
      </w:pPr>
    </w:p>
    <w:p>
      <w:pPr>
        <w:rPr>
          <w:rFonts w:hint="eastAsia" w:asciiTheme="majorEastAsia" w:hAnsiTheme="majorEastAsia" w:eastAsiaTheme="majorEastAsia" w:cstheme="majorEastAsia"/>
          <w:b/>
          <w:bCs/>
          <w:color w:val="auto"/>
          <w:spacing w:val="-10"/>
          <w:sz w:val="44"/>
          <w:szCs w:val="44"/>
          <w:lang w:eastAsia="zh-CN"/>
        </w:rPr>
      </w:pPr>
    </w:p>
    <w:p>
      <w:pPr>
        <w:pStyle w:val="9"/>
        <w:rPr>
          <w:rFonts w:hint="eastAsia" w:asciiTheme="majorEastAsia" w:hAnsiTheme="majorEastAsia" w:eastAsiaTheme="majorEastAsia" w:cstheme="majorEastAsia"/>
          <w:b/>
          <w:bCs/>
          <w:color w:val="auto"/>
          <w:spacing w:val="-10"/>
          <w:sz w:val="44"/>
          <w:szCs w:val="44"/>
          <w:lang w:eastAsia="zh-CN"/>
        </w:rPr>
      </w:pPr>
    </w:p>
    <w:p>
      <w:pPr>
        <w:jc w:val="center"/>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石家庄市机动车排污管理中心</w:t>
      </w:r>
    </w:p>
    <w:p>
      <w:pPr>
        <w:ind w:firstLine="3840" w:firstLineChars="1200"/>
        <w:rPr>
          <w:rFonts w:hint="eastAsia" w:ascii="仿宋_GB2312" w:hAnsi="仿宋_GB2312" w:eastAsia="仿宋_GB2312" w:cs="仿宋_GB2312"/>
          <w:color w:val="auto"/>
          <w:sz w:val="32"/>
          <w:szCs w:val="32"/>
          <w:lang w:val="en-US" w:eastAsia="zh-CN"/>
        </w:rPr>
        <w:sectPr>
          <w:headerReference r:id="rId5" w:type="default"/>
          <w:footerReference r:id="rId6" w:type="default"/>
          <w:pgSz w:w="11906" w:h="16838"/>
          <w:pgMar w:top="1440" w:right="1080" w:bottom="1440" w:left="1080" w:header="851" w:footer="992" w:gutter="0"/>
          <w:cols w:space="425" w:num="1"/>
          <w:docGrid w:type="lines" w:linePitch="312" w:charSpace="0"/>
        </w:sectPr>
      </w:pPr>
      <w:r>
        <w:rPr>
          <w:rFonts w:hint="eastAsia" w:ascii="仿宋_GB2312" w:hAnsi="仿宋_GB2312" w:eastAsia="仿宋_GB2312" w:cs="仿宋_GB2312"/>
          <w:color w:val="auto"/>
          <w:sz w:val="32"/>
          <w:szCs w:val="32"/>
          <w:lang w:val="en-US" w:eastAsia="zh-CN"/>
        </w:rPr>
        <w:t>2026年6月</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ascii="仿宋" w:hAnsi="仿宋" w:eastAsia="仿宋"/>
          <w:b/>
          <w:bCs/>
          <w:sz w:val="28"/>
          <w:szCs w:val="28"/>
        </w:rPr>
      </w:pPr>
      <w:r>
        <w:rPr>
          <w:rFonts w:hint="eastAsia" w:ascii="仿宋" w:hAnsi="仿宋" w:eastAsia="仿宋"/>
          <w:b/>
          <w:bCs/>
          <w:sz w:val="28"/>
          <w:szCs w:val="28"/>
        </w:rPr>
        <w:t>一、需求清单</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仿宋" w:hAnsi="仿宋" w:eastAsia="仿宋" w:cs="楷体_GB2312"/>
          <w:b/>
          <w:bCs/>
          <w:sz w:val="28"/>
          <w:szCs w:val="28"/>
        </w:rPr>
      </w:pPr>
      <w:r>
        <w:rPr>
          <w:rFonts w:hint="eastAsia" w:ascii="仿宋" w:hAnsi="仿宋" w:eastAsia="仿宋" w:cs="楷体_GB2312"/>
          <w:b/>
          <w:bCs/>
          <w:sz w:val="28"/>
          <w:szCs w:val="28"/>
        </w:rPr>
        <w:t>（一）项目概况</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lang w:eastAsia="zh-CN"/>
        </w:rPr>
      </w:pPr>
      <w:r>
        <w:rPr>
          <w:rFonts w:hint="eastAsia" w:ascii="仿宋" w:hAnsi="仿宋" w:eastAsia="仿宋" w:cs="仿宋_GB2312"/>
          <w:sz w:val="28"/>
          <w:szCs w:val="28"/>
        </w:rPr>
        <w:t>1.建设目标、规模、内容、</w:t>
      </w:r>
      <w:r>
        <w:rPr>
          <w:rFonts w:hint="eastAsia" w:ascii="仿宋" w:hAnsi="仿宋" w:eastAsia="仿宋" w:cs="仿宋_GB2312"/>
          <w:sz w:val="28"/>
          <w:szCs w:val="28"/>
          <w:lang w:eastAsia="zh-CN"/>
        </w:rPr>
        <w:t>服务</w:t>
      </w:r>
      <w:r>
        <w:rPr>
          <w:rFonts w:hint="eastAsia" w:ascii="仿宋" w:hAnsi="仿宋" w:eastAsia="仿宋" w:cs="仿宋_GB2312"/>
          <w:sz w:val="28"/>
          <w:szCs w:val="28"/>
        </w:rPr>
        <w:t>期</w:t>
      </w:r>
      <w:r>
        <w:rPr>
          <w:rFonts w:hint="eastAsia" w:ascii="仿宋" w:hAnsi="仿宋" w:eastAsia="仿宋" w:cs="仿宋_GB2312"/>
          <w:sz w:val="28"/>
          <w:szCs w:val="28"/>
          <w:lang w:eastAsia="zh-CN"/>
        </w:rPr>
        <w:t>限</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rPr>
        <w:t>为贯彻落实</w:t>
      </w:r>
      <w:bookmarkStart w:id="0" w:name="_Hlk130841015"/>
      <w:r>
        <w:rPr>
          <w:rFonts w:hint="eastAsia" w:ascii="仿宋" w:hAnsi="仿宋" w:eastAsia="仿宋" w:cs="仿宋_GB2312"/>
          <w:sz w:val="28"/>
          <w:szCs w:val="28"/>
        </w:rPr>
        <w:t>中共中央、国务院《关于深入打好污染防治攻坚战的意见》、生态环境部《柴油货车污染治理攻坚战行动计划》、</w:t>
      </w:r>
      <w:r>
        <w:rPr>
          <w:rFonts w:ascii="仿宋" w:hAnsi="仿宋" w:eastAsia="仿宋" w:cs="仿宋_GB2312"/>
          <w:sz w:val="28"/>
          <w:szCs w:val="28"/>
        </w:rPr>
        <w:t>河北省生态环境厅《关于</w:t>
      </w:r>
      <w:r>
        <w:rPr>
          <w:rFonts w:hint="eastAsia" w:ascii="仿宋" w:hAnsi="仿宋" w:eastAsia="仿宋" w:cs="仿宋_GB2312"/>
          <w:sz w:val="28"/>
          <w:szCs w:val="28"/>
        </w:rPr>
        <w:t>规范</w:t>
      </w:r>
      <w:r>
        <w:rPr>
          <w:rFonts w:ascii="仿宋" w:hAnsi="仿宋" w:eastAsia="仿宋" w:cs="仿宋_GB2312"/>
          <w:sz w:val="28"/>
          <w:szCs w:val="28"/>
        </w:rPr>
        <w:t>机动车排放检验机构环境管理工作的通知》</w:t>
      </w:r>
      <w:r>
        <w:rPr>
          <w:rFonts w:hint="eastAsia" w:ascii="仿宋" w:hAnsi="仿宋" w:eastAsia="仿宋" w:cs="仿宋_GB2312"/>
          <w:sz w:val="28"/>
          <w:szCs w:val="28"/>
        </w:rPr>
        <w:t>以及石家庄市委市政府督查室转办《张超超同志调研检查大气污染防治工作指示要求的责任分解》等文件</w:t>
      </w:r>
      <w:bookmarkEnd w:id="0"/>
      <w:r>
        <w:rPr>
          <w:rFonts w:hint="eastAsia" w:ascii="仿宋" w:hAnsi="仿宋" w:eastAsia="仿宋" w:cs="仿宋_GB2312"/>
          <w:sz w:val="28"/>
          <w:szCs w:val="28"/>
        </w:rPr>
        <w:t>要求，完成石家庄市移动式机动车排放工况检测服务工作。</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黑体"/>
          <w:bCs/>
          <w:sz w:val="28"/>
          <w:szCs w:val="28"/>
        </w:rPr>
      </w:pPr>
      <w:r>
        <w:rPr>
          <w:rFonts w:hint="eastAsia" w:ascii="仿宋" w:hAnsi="仿宋" w:eastAsia="仿宋" w:cs="仿宋_GB2312"/>
          <w:sz w:val="28"/>
          <w:szCs w:val="28"/>
        </w:rPr>
        <w:t>（1）建设目标</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rPr>
        <w:t>通过建设移动式机动车排放工况检测服务项目，对机动车尾气排放氮氧化物含量进行有效检测，加强我市重型车排放污染监管力度，为重型车污染的治理提供有力的技术支撑。</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_GB2312"/>
          <w:sz w:val="28"/>
          <w:szCs w:val="28"/>
        </w:rPr>
      </w:pPr>
      <w:r>
        <w:rPr>
          <w:rFonts w:hint="eastAsia" w:ascii="仿宋" w:hAnsi="仿宋" w:eastAsia="仿宋" w:cs="黑体"/>
          <w:bCs/>
          <w:sz w:val="28"/>
          <w:szCs w:val="28"/>
        </w:rPr>
        <w:t>（</w:t>
      </w:r>
      <w:r>
        <w:rPr>
          <w:rFonts w:hint="eastAsia" w:ascii="仿宋" w:hAnsi="仿宋" w:eastAsia="仿宋" w:cs="仿宋_GB2312"/>
          <w:sz w:val="28"/>
          <w:szCs w:val="28"/>
        </w:rPr>
        <w:t>2）建设规模</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rPr>
        <w:t>设立5套移动检测服务，初步形成覆盖入市方向移动检测体系，使用移动式汽车排放检测装备，通过工况法路检路查工作，提高对重型柴油车及天然气车辆监测能力，实现监管的全面化和精准化，全面提升机动车排放污染管理水平。</w:t>
      </w:r>
    </w:p>
    <w:p>
      <w:pPr>
        <w:pStyle w:val="48"/>
        <w:keepNext w:val="0"/>
        <w:keepLines w:val="0"/>
        <w:pageBreakBefore w:val="0"/>
        <w:widowControl w:val="0"/>
        <w:numPr>
          <w:ilvl w:val="0"/>
          <w:numId w:val="2"/>
        </w:numPr>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建设内容</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rPr>
        <w:t>由满足资质要求的检测机构提供检测服务，检测机构负责提供移动式汽车排放检测装备开展检测业务，并负责</w:t>
      </w:r>
      <w:r>
        <w:rPr>
          <w:rFonts w:hint="eastAsia" w:ascii="仿宋" w:hAnsi="仿宋" w:eastAsia="仿宋" w:cs="仿宋_GB2312"/>
          <w:sz w:val="28"/>
          <w:szCs w:val="28"/>
          <w:lang w:eastAsia="zh-CN"/>
        </w:rPr>
        <w:t>仪器、</w:t>
      </w:r>
      <w:r>
        <w:rPr>
          <w:rFonts w:hint="eastAsia" w:ascii="仿宋" w:hAnsi="仿宋" w:eastAsia="仿宋" w:cs="仿宋_GB2312"/>
          <w:sz w:val="28"/>
          <w:szCs w:val="28"/>
        </w:rPr>
        <w:t>设备</w:t>
      </w:r>
      <w:r>
        <w:rPr>
          <w:rFonts w:hint="eastAsia" w:ascii="仿宋" w:hAnsi="仿宋" w:eastAsia="仿宋" w:cs="仿宋_GB2312"/>
          <w:sz w:val="28"/>
          <w:szCs w:val="28"/>
          <w:lang w:eastAsia="zh-CN"/>
        </w:rPr>
        <w:t>、车辆等</w:t>
      </w:r>
      <w:r>
        <w:rPr>
          <w:rFonts w:hint="eastAsia" w:ascii="仿宋" w:hAnsi="仿宋" w:eastAsia="仿宋" w:cs="仿宋_GB2312"/>
          <w:sz w:val="28"/>
          <w:szCs w:val="28"/>
        </w:rPr>
        <w:t>的日常保养维护。</w:t>
      </w:r>
    </w:p>
    <w:p>
      <w:pPr>
        <w:pStyle w:val="48"/>
        <w:keepNext w:val="0"/>
        <w:keepLines w:val="0"/>
        <w:pageBreakBefore w:val="0"/>
        <w:widowControl w:val="0"/>
        <w:numPr>
          <w:ilvl w:val="0"/>
          <w:numId w:val="2"/>
        </w:numPr>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lang w:eastAsia="zh-CN"/>
        </w:rPr>
        <w:t>服务期限</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lang w:eastAsia="zh-CN"/>
        </w:rPr>
      </w:pPr>
      <w:r>
        <w:rPr>
          <w:rFonts w:hint="eastAsia" w:ascii="仿宋" w:hAnsi="仿宋" w:eastAsia="仿宋" w:cs="仿宋_GB2312"/>
          <w:sz w:val="28"/>
          <w:szCs w:val="28"/>
          <w:lang w:eastAsia="zh-CN"/>
        </w:rPr>
        <w:t>自签订合同后一年</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ascii="仿宋" w:hAnsi="仿宋" w:eastAsia="仿宋"/>
          <w:sz w:val="28"/>
          <w:szCs w:val="28"/>
        </w:rPr>
        <w:t>2.</w:t>
      </w:r>
      <w:r>
        <w:rPr>
          <w:rFonts w:hint="eastAsia" w:ascii="仿宋" w:hAnsi="仿宋" w:eastAsia="仿宋"/>
          <w:sz w:val="28"/>
          <w:szCs w:val="28"/>
        </w:rPr>
        <w:t>项目背景及依据</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ascii="仿宋" w:hAnsi="仿宋" w:eastAsia="仿宋" w:cs="仿宋_GB2312"/>
          <w:sz w:val="28"/>
          <w:szCs w:val="28"/>
        </w:rPr>
        <w:t>近年来，随着经济的快速发展和城镇现代化进程的不断推进，机动车保有量剧增。急剧增多的机动车在为人民群众带来方便的同时，也加重了环境污染。据报道，随着机动车保有量快速增加，城市空气开始呈现出煤烟和机动车尾气复合污染的特点，直接影响群众健康。近几年来，</w:t>
      </w:r>
      <w:r>
        <w:rPr>
          <w:rFonts w:hint="eastAsia" w:ascii="仿宋" w:hAnsi="仿宋" w:eastAsia="仿宋" w:cs="仿宋_GB2312"/>
          <w:sz w:val="28"/>
          <w:szCs w:val="28"/>
        </w:rPr>
        <w:t>我市</w:t>
      </w:r>
      <w:r>
        <w:rPr>
          <w:rFonts w:ascii="仿宋" w:hAnsi="仿宋" w:eastAsia="仿宋" w:cs="仿宋_GB2312"/>
          <w:sz w:val="28"/>
          <w:szCs w:val="28"/>
        </w:rPr>
        <w:t>空气质量总体改善，但</w:t>
      </w:r>
      <w:r>
        <w:rPr>
          <w:rFonts w:hint="eastAsia" w:ascii="仿宋" w:hAnsi="仿宋" w:eastAsia="仿宋" w:cs="仿宋_GB2312"/>
          <w:sz w:val="28"/>
          <w:szCs w:val="28"/>
        </w:rPr>
        <w:t>氮氧化物</w:t>
      </w:r>
      <w:r>
        <w:rPr>
          <w:rFonts w:ascii="仿宋" w:hAnsi="仿宋" w:eastAsia="仿宋" w:cs="仿宋_GB2312"/>
          <w:sz w:val="28"/>
          <w:szCs w:val="28"/>
        </w:rPr>
        <w:t>平均浓度下降幅度远低于其他污染物。重污染天气期间，硝酸盐是PM2.5组分中占比最大且上升最快的组分。石家庄、</w:t>
      </w:r>
      <w:r>
        <w:rPr>
          <w:rFonts w:hint="eastAsia" w:ascii="仿宋" w:hAnsi="仿宋" w:eastAsia="仿宋" w:cs="仿宋_GB2312"/>
          <w:sz w:val="28"/>
          <w:szCs w:val="28"/>
        </w:rPr>
        <w:t>保定、邯郸</w:t>
      </w:r>
      <w:r>
        <w:rPr>
          <w:rFonts w:ascii="仿宋" w:hAnsi="仿宋" w:eastAsia="仿宋" w:cs="仿宋_GB2312"/>
          <w:sz w:val="28"/>
          <w:szCs w:val="28"/>
        </w:rPr>
        <w:t>等城市大气PM2.5源解析工作结果显示，本地排放源中移动源对PM2.5浓度的贡献范围为13.5%至52.1%。按车型分类，货车排放的NOX和PM明显高于客车，其中重型货车是主要贡献者。按燃料分类，柴油车排放的NOX接近汽车排放总量的70%，PM超过90%。占汽车保有量7.8%的柴油货车，排放了57.3%的NOX和77.8%的PM，是机动车污染防治的重中之重。</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中共中央、国务院《关于深入打好污染防治攻坚战的意见》中要求，持续打好柴油货车污染治理攻坚战，深入实施清洁柴油车（机）行动。</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生态环境部《柴油货车污染治理攻坚战行动计划》中要求，加大路检路查力度、强化入户监督抽测；通过路检路查加大对高排放车辆监督抽测频次。</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ascii="仿宋" w:hAnsi="仿宋" w:eastAsia="仿宋" w:cs="仿宋_GB2312"/>
          <w:sz w:val="28"/>
          <w:szCs w:val="28"/>
        </w:rPr>
        <w:t>河北省生态环境厅《关于</w:t>
      </w:r>
      <w:r>
        <w:rPr>
          <w:rFonts w:hint="eastAsia" w:ascii="仿宋" w:hAnsi="仿宋" w:eastAsia="仿宋" w:cs="仿宋_GB2312"/>
          <w:sz w:val="28"/>
          <w:szCs w:val="28"/>
        </w:rPr>
        <w:t>规范</w:t>
      </w:r>
      <w:r>
        <w:rPr>
          <w:rFonts w:ascii="仿宋" w:hAnsi="仿宋" w:eastAsia="仿宋" w:cs="仿宋_GB2312"/>
          <w:sz w:val="28"/>
          <w:szCs w:val="28"/>
        </w:rPr>
        <w:t>机动车排放检验机构环境管理工作的通知》中要求，各级生态环境部门应通过现场检查排放检验过程、审查原始记录或报告等资料、审核年度工作报告、组织检验能力比对试验、检验过程及数据联网监控等方式加强检验机构监管，实现对检验机构的年度监管全覆盖，推进检验机构规范化运营。</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石家庄市委市政府督查室转办《张超超同志调研检查大气污染防治工作指示要求的责任分解》要求，学习借鉴先进地区经验做法，利用好现代化技术手段，引进能够实时精准检测通行车辆尾气排放情况的仪器，精准锁定超标排放车辆，禁止超标排放车辆进入市区。</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现有路检路查使用自由加速法，无法对机动车排放氮氧化物含量进行有效检测。为解决以上情况，依据国家环保标准GB 18285-2018和GB 3847-2018，开展可移动式机动车排放工况检测工作，对道路运行车辆以及重型货车集中区域进行工况法排放抽测。</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ascii="仿宋" w:hAnsi="仿宋" w:eastAsia="仿宋" w:cs="仿宋_GB2312"/>
          <w:sz w:val="28"/>
          <w:szCs w:val="28"/>
        </w:rPr>
        <w:t>3</w:t>
      </w:r>
      <w:r>
        <w:rPr>
          <w:rFonts w:hint="eastAsia" w:ascii="仿宋" w:hAnsi="仿宋" w:eastAsia="仿宋" w:cs="仿宋_GB2312"/>
          <w:sz w:val="28"/>
          <w:szCs w:val="28"/>
        </w:rPr>
        <w:t>.项目建设的意义和必要性分析</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当前，我市环境保护形势严峻，环境总体恶化的趋势还未得到根本遏制，环境质量改善难度加大，面临着前所未有的困难和挑战，主要表现为大量移动源尾气给人民生活质量造成的严重影响。</w:t>
      </w:r>
      <w:bookmarkStart w:id="1" w:name="_Hlk23387926"/>
      <w:r>
        <w:rPr>
          <w:rFonts w:hint="eastAsia" w:ascii="仿宋" w:hAnsi="仿宋" w:eastAsia="仿宋" w:cs="仿宋_GB2312"/>
          <w:sz w:val="28"/>
          <w:szCs w:val="28"/>
        </w:rPr>
        <w:t>为了满足人民群众对生活环境提出的要求，营造碧水蓝天、改善生活环境、防范环境健康风险，解决人民群众最关切、最直接和最现实的突出环境问题，加强重型柴油货车排放监管，提高环保工作效率，有效监控高排放车辆，控制高排放，降低排放总量，是解决我市突出环境问题的迫切需求。</w:t>
      </w:r>
    </w:p>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ascii="仿宋" w:hAnsi="仿宋" w:eastAsia="仿宋" w:cs="仿宋_GB2312"/>
          <w:sz w:val="28"/>
          <w:szCs w:val="28"/>
        </w:rPr>
      </w:pPr>
      <w:r>
        <w:rPr>
          <w:rFonts w:hint="eastAsia" w:ascii="仿宋" w:hAnsi="仿宋" w:eastAsia="仿宋" w:cs="仿宋_GB2312"/>
          <w:sz w:val="28"/>
          <w:szCs w:val="28"/>
        </w:rPr>
        <w:t>加载减速排放检测能实现对柴油车尾气排放和动力输出的动态检测，能够对车辆在加载状态下检测其排放包括氮氧化物的各项指标，对污染物排放超标车辆进行有效筛选，达到检测站工况法检测效果，满足路检路查工况法检测的需求。</w:t>
      </w:r>
    </w:p>
    <w:bookmarkEnd w:id="1"/>
    <w:p>
      <w:pPr>
        <w:pStyle w:val="48"/>
        <w:keepNext w:val="0"/>
        <w:keepLines w:val="0"/>
        <w:pageBreakBefore w:val="0"/>
        <w:widowControl w:val="0"/>
        <w:kinsoku/>
        <w:wordWrap/>
        <w:overflowPunct/>
        <w:topLinePunct w:val="0"/>
        <w:autoSpaceDE/>
        <w:autoSpaceDN/>
        <w:bidi w:val="0"/>
        <w:adjustRightInd/>
        <w:snapToGrid/>
        <w:spacing w:line="500" w:lineRule="exact"/>
        <w:ind w:firstLine="560"/>
        <w:textAlignment w:val="auto"/>
        <w:rPr>
          <w:rFonts w:hint="eastAsia" w:ascii="仿宋" w:hAnsi="仿宋" w:eastAsia="仿宋" w:cs="仿宋_GB2312"/>
          <w:sz w:val="28"/>
          <w:szCs w:val="28"/>
        </w:rPr>
      </w:pPr>
      <w:r>
        <w:rPr>
          <w:rFonts w:hint="eastAsia" w:ascii="仿宋" w:hAnsi="仿宋" w:eastAsia="仿宋" w:cs="仿宋_GB2312"/>
          <w:sz w:val="28"/>
          <w:szCs w:val="28"/>
        </w:rPr>
        <w:t>通过本项目提升移动源污染监管的综合能力，实现多模式化管理，管理水平得到提高；同时可以对接收到的检测数据进行分析和判断，提升监管力度。环保工作的宏观决策主要依靠有关数据和信息，通过对收集的数据进行挖掘分析，可以全面、真实、准确的反应各种车辆的排放情况，从而为制定政策和宏观决策提供基础数据参考。</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仿宋" w:hAnsi="仿宋" w:eastAsia="仿宋" w:cs="楷体_GB2312"/>
          <w:b/>
          <w:bCs/>
          <w:sz w:val="28"/>
          <w:szCs w:val="28"/>
        </w:rPr>
      </w:pPr>
      <w:r>
        <w:rPr>
          <w:rFonts w:hint="eastAsia" w:ascii="仿宋" w:hAnsi="仿宋" w:eastAsia="仿宋" w:cs="楷体_GB2312"/>
          <w:b/>
          <w:bCs/>
          <w:sz w:val="28"/>
          <w:szCs w:val="28"/>
        </w:rPr>
        <w:t>（二）采购项目预（概）算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default" w:ascii="仿宋" w:hAnsi="仿宋" w:eastAsia="仿宋" w:cs="仿宋_GB2312"/>
          <w:sz w:val="28"/>
          <w:szCs w:val="28"/>
          <w:u w:val="single"/>
          <w:lang w:val="en-US" w:eastAsia="zh-CN"/>
        </w:rPr>
      </w:pPr>
      <w:r>
        <w:rPr>
          <w:rFonts w:hint="eastAsia" w:ascii="仿宋" w:hAnsi="仿宋" w:eastAsia="仿宋" w:cs="楷体_GB2312"/>
          <w:sz w:val="28"/>
          <w:szCs w:val="28"/>
        </w:rPr>
        <w:t>总 预 算：</w:t>
      </w:r>
      <w:r>
        <w:rPr>
          <w:rFonts w:hint="eastAsia" w:ascii="仿宋" w:hAnsi="仿宋" w:eastAsia="仿宋" w:cs="仿宋_GB2312"/>
          <w:sz w:val="28"/>
          <w:szCs w:val="28"/>
          <w:u w:val="single"/>
          <w:lang w:val="en-US" w:eastAsia="zh-CN"/>
        </w:rPr>
        <w:t>475.1</w:t>
      </w:r>
      <w:r>
        <w:rPr>
          <w:rFonts w:hint="eastAsia" w:ascii="仿宋" w:hAnsi="仿宋" w:eastAsia="仿宋" w:cs="仿宋_GB2312"/>
          <w:sz w:val="28"/>
          <w:szCs w:val="28"/>
          <w:highlight w:val="none"/>
          <w:u w:val="single"/>
        </w:rPr>
        <w:t>万元</w:t>
      </w:r>
      <w:r>
        <w:rPr>
          <w:rFonts w:hint="eastAsia" w:ascii="仿宋" w:hAnsi="仿宋" w:eastAsia="仿宋" w:cs="仿宋_GB2312"/>
          <w:sz w:val="28"/>
          <w:szCs w:val="28"/>
          <w:highlight w:val="none"/>
          <w:u w:val="single"/>
          <w:lang w:val="en-US" w:eastAsia="zh-CN"/>
        </w:rPr>
        <w:t xml:space="preserve"> </w:t>
      </w:r>
    </w:p>
    <w:p>
      <w:pPr>
        <w:spacing w:line="360" w:lineRule="auto"/>
        <w:ind w:firstLine="562" w:firstLineChars="200"/>
        <w:jc w:val="left"/>
        <w:rPr>
          <w:rFonts w:hint="eastAsia" w:ascii="仿宋" w:hAnsi="仿宋" w:eastAsia="仿宋" w:cs="楷体_GB2312"/>
          <w:b/>
          <w:bCs/>
          <w:sz w:val="28"/>
          <w:szCs w:val="28"/>
        </w:rPr>
      </w:pPr>
      <w:r>
        <w:rPr>
          <w:rFonts w:hint="eastAsia" w:ascii="仿宋" w:hAnsi="仿宋" w:eastAsia="仿宋" w:cs="楷体_GB2312"/>
          <w:b/>
          <w:bCs/>
          <w:sz w:val="28"/>
          <w:szCs w:val="28"/>
        </w:rPr>
        <w:t>（三）采购标的汇总表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954"/>
        <w:gridCol w:w="1690"/>
        <w:gridCol w:w="892"/>
        <w:gridCol w:w="992"/>
        <w:gridCol w:w="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50"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序号</w:t>
            </w:r>
          </w:p>
        </w:tc>
        <w:tc>
          <w:tcPr>
            <w:tcW w:w="1954"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标的名称</w:t>
            </w:r>
          </w:p>
        </w:tc>
        <w:tc>
          <w:tcPr>
            <w:tcW w:w="1690"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品目分类编码及名称</w:t>
            </w:r>
          </w:p>
        </w:tc>
        <w:tc>
          <w:tcPr>
            <w:tcW w:w="892"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计量</w:t>
            </w:r>
          </w:p>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单位</w:t>
            </w:r>
          </w:p>
        </w:tc>
        <w:tc>
          <w:tcPr>
            <w:tcW w:w="992"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数量</w:t>
            </w:r>
          </w:p>
        </w:tc>
        <w:tc>
          <w:tcPr>
            <w:tcW w:w="993" w:type="dxa"/>
            <w:noWrap w:val="0"/>
            <w:vAlign w:val="center"/>
          </w:tcPr>
          <w:p>
            <w:pPr>
              <w:spacing w:line="360" w:lineRule="auto"/>
              <w:jc w:val="center"/>
              <w:rPr>
                <w:rFonts w:hint="eastAsia" w:ascii="仿宋" w:hAnsi="仿宋" w:eastAsia="仿宋" w:cs="仿宋_GB2312"/>
                <w:b/>
                <w:sz w:val="28"/>
                <w:szCs w:val="28"/>
              </w:rPr>
            </w:pPr>
            <w:r>
              <w:rPr>
                <w:rFonts w:hint="eastAsia" w:ascii="仿宋" w:hAnsi="仿宋" w:eastAsia="仿宋" w:cs="仿宋_GB2312"/>
                <w:b/>
                <w:sz w:val="28"/>
                <w:szCs w:val="28"/>
              </w:rPr>
              <w:t>是否进 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仿宋" w:hAnsi="仿宋" w:eastAsia="仿宋" w:cs="仿宋_GB2312"/>
                <w:sz w:val="28"/>
                <w:szCs w:val="28"/>
              </w:rPr>
            </w:pPr>
            <w:r>
              <w:rPr>
                <w:rFonts w:hint="eastAsia" w:ascii="仿宋" w:hAnsi="仿宋" w:eastAsia="仿宋" w:cs="仿宋_GB2312"/>
                <w:sz w:val="28"/>
                <w:szCs w:val="28"/>
              </w:rPr>
              <w:t>1</w:t>
            </w:r>
          </w:p>
        </w:tc>
        <w:tc>
          <w:tcPr>
            <w:tcW w:w="195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仿宋" w:hAnsi="仿宋" w:eastAsia="仿宋" w:cs="仿宋_GB2312"/>
                <w:iCs/>
                <w:sz w:val="28"/>
                <w:szCs w:val="28"/>
              </w:rPr>
            </w:pPr>
            <w:r>
              <w:rPr>
                <w:rFonts w:hint="eastAsia" w:ascii="仿宋" w:hAnsi="仿宋" w:eastAsia="仿宋" w:cs="仿宋_GB2312"/>
                <w:iCs/>
                <w:sz w:val="28"/>
                <w:szCs w:val="28"/>
              </w:rPr>
              <w:t>石家庄市移动式机动车排放工况检测服务项目</w:t>
            </w:r>
          </w:p>
        </w:tc>
        <w:tc>
          <w:tcPr>
            <w:tcW w:w="169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仿宋" w:hAnsi="仿宋" w:eastAsia="仿宋" w:cs="仿宋_GB2312"/>
                <w:sz w:val="28"/>
                <w:szCs w:val="28"/>
              </w:rPr>
            </w:pPr>
            <w:r>
              <w:rPr>
                <w:rFonts w:hint="eastAsia" w:ascii="仿宋" w:hAnsi="仿宋" w:eastAsia="仿宋" w:cs="仿宋_GB2312"/>
                <w:sz w:val="28"/>
                <w:szCs w:val="28"/>
              </w:rPr>
              <w:t>C079900</w:t>
            </w:r>
            <w:r>
              <w:rPr>
                <w:rFonts w:hint="eastAsia" w:ascii="仿宋" w:hAnsi="仿宋" w:eastAsia="仿宋" w:cs="仿宋_GB2312"/>
                <w:sz w:val="28"/>
                <w:szCs w:val="28"/>
                <w:lang w:val="en-US" w:eastAsia="zh-CN"/>
              </w:rPr>
              <w:t>00其他生态环境保护和治理服务</w:t>
            </w:r>
            <w:r>
              <w:rPr>
                <w:rFonts w:hint="eastAsia" w:ascii="仿宋" w:hAnsi="仿宋" w:eastAsia="仿宋" w:cs="仿宋_GB2312"/>
                <w:sz w:val="28"/>
                <w:szCs w:val="28"/>
              </w:rPr>
              <w:t xml:space="preserve">  </w:t>
            </w:r>
          </w:p>
        </w:tc>
        <w:tc>
          <w:tcPr>
            <w:tcW w:w="89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仿宋" w:hAnsi="仿宋" w:eastAsia="仿宋" w:cs="仿宋_GB2312"/>
                <w:sz w:val="28"/>
                <w:szCs w:val="28"/>
              </w:rPr>
            </w:pPr>
            <w:r>
              <w:rPr>
                <w:rFonts w:hint="eastAsia" w:ascii="仿宋" w:hAnsi="仿宋" w:eastAsia="仿宋" w:cs="仿宋_GB2312"/>
                <w:sz w:val="28"/>
                <w:szCs w:val="28"/>
              </w:rPr>
              <w:t>项</w:t>
            </w:r>
          </w:p>
        </w:tc>
        <w:tc>
          <w:tcPr>
            <w:tcW w:w="99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ascii="仿宋" w:hAnsi="仿宋" w:eastAsia="仿宋" w:cs="仿宋_GB2312"/>
                <w:sz w:val="28"/>
                <w:szCs w:val="28"/>
              </w:rPr>
            </w:pPr>
            <w:r>
              <w:rPr>
                <w:rFonts w:hint="eastAsia" w:ascii="仿宋" w:hAnsi="仿宋" w:eastAsia="仿宋" w:cs="仿宋_GB2312"/>
                <w:sz w:val="28"/>
                <w:szCs w:val="28"/>
              </w:rPr>
              <w:t>1</w:t>
            </w:r>
          </w:p>
        </w:tc>
        <w:tc>
          <w:tcPr>
            <w:tcW w:w="9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仿宋" w:hAnsi="仿宋" w:eastAsia="仿宋" w:cs="仿宋_GB2312"/>
                <w:sz w:val="28"/>
                <w:szCs w:val="28"/>
              </w:rPr>
            </w:pPr>
            <w:r>
              <w:rPr>
                <w:rFonts w:hint="eastAsia" w:ascii="仿宋" w:hAnsi="仿宋" w:eastAsia="仿宋" w:cs="仿宋_GB2312"/>
                <w:sz w:val="28"/>
                <w:szCs w:val="28"/>
              </w:rPr>
              <w:t>否</w:t>
            </w:r>
          </w:p>
        </w:tc>
      </w:tr>
    </w:tbl>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仿宋" w:hAnsi="仿宋" w:eastAsia="仿宋" w:cs="楷体_GB2312"/>
          <w:b/>
          <w:bCs/>
          <w:sz w:val="28"/>
          <w:szCs w:val="28"/>
        </w:rPr>
      </w:pPr>
      <w:r>
        <w:rPr>
          <w:rFonts w:hint="eastAsia" w:ascii="仿宋" w:hAnsi="仿宋" w:eastAsia="仿宋" w:cs="楷体_GB2312"/>
          <w:b/>
          <w:bCs/>
          <w:sz w:val="28"/>
          <w:szCs w:val="28"/>
        </w:rPr>
        <w:t>（四）技术商务要求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1.技术要求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（1）项目内容</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_GB2312"/>
          <w:sz w:val="28"/>
          <w:szCs w:val="28"/>
          <w:lang w:eastAsia="zh-CN"/>
        </w:rPr>
      </w:pPr>
      <w:r>
        <w:rPr>
          <w:rFonts w:hint="eastAsia" w:ascii="仿宋" w:hAnsi="仿宋" w:eastAsia="仿宋" w:cs="仿宋_GB2312"/>
          <w:sz w:val="28"/>
          <w:szCs w:val="28"/>
        </w:rPr>
        <w:t>1）检测服务提供方工作人员负责按照国家标准和我市要求现场对相关车辆进行车辆检查和尾气排放检测，并出具检测报告</w:t>
      </w:r>
      <w:r>
        <w:rPr>
          <w:rFonts w:hint="eastAsia" w:ascii="仿宋" w:hAnsi="仿宋" w:eastAsia="仿宋" w:cs="仿宋_GB2312"/>
          <w:sz w:val="28"/>
          <w:szCs w:val="28"/>
          <w:lang w:eastAsia="zh-CN"/>
        </w:rPr>
        <w:t>（</w:t>
      </w:r>
      <w:r>
        <w:rPr>
          <w:rFonts w:hint="eastAsia" w:ascii="仿宋" w:hAnsi="仿宋" w:eastAsia="仿宋" w:cs="仿宋_GB2312"/>
          <w:sz w:val="28"/>
          <w:szCs w:val="28"/>
        </w:rPr>
        <w:t>使用5套移动式汽车排放检测装备开展为期1年的检测服务，检测车辆数不低于</w:t>
      </w:r>
      <w:r>
        <w:rPr>
          <w:rFonts w:hint="eastAsia" w:ascii="仿宋" w:hAnsi="仿宋" w:eastAsia="仿宋" w:cs="仿宋_GB2312"/>
          <w:sz w:val="28"/>
          <w:szCs w:val="28"/>
          <w:lang w:val="en-US" w:eastAsia="zh-CN"/>
        </w:rPr>
        <w:t>5</w:t>
      </w:r>
      <w:r>
        <w:rPr>
          <w:rFonts w:ascii="仿宋" w:hAnsi="仿宋" w:eastAsia="仿宋" w:cs="仿宋_GB2312"/>
          <w:sz w:val="28"/>
          <w:szCs w:val="28"/>
        </w:rPr>
        <w:t>0</w:t>
      </w:r>
      <w:r>
        <w:rPr>
          <w:rFonts w:hint="eastAsia" w:ascii="仿宋" w:hAnsi="仿宋" w:eastAsia="仿宋" w:cs="仿宋_GB2312"/>
          <w:sz w:val="28"/>
          <w:szCs w:val="28"/>
        </w:rPr>
        <w:t>000台</w:t>
      </w:r>
      <w:r>
        <w:rPr>
          <w:rFonts w:hint="eastAsia" w:ascii="仿宋" w:hAnsi="仿宋" w:eastAsia="仿宋" w:cs="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2）根据工作要求和计划安排，按时完成检测服务工作，并对检测结果真实性负责。</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3）检测服务提供方按照规定进行设备日常标校和计量检定，按照服务规范和管理制度提供检测服务，确保日常检测工作运行正常、安全，检测数据及时上传，检验报告及时归档。</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（2）项目管理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1）检测服务提供方应明确人员负责设备操作和维护，工作人员应根据设备用户使用手册以及厂家的学习培训，掌握设备操作流程以及注意事项，安全熟练操作设备。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2）检测服务提供方需提供开展工作所需设备日常消耗品的购置、设备配件更换、设备联网、报告打印等办公用品，并按照采购方要求定期对设备进行日常标校和计量检定，确保设备正常运行以及与市平台的联网对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3）检测服务提供方需向购买服务单位提供检测人员的基本信息（劳动合同、身份证、上岗证、驾驶证、无违法犯罪记录证明等）。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_GB2312"/>
          <w:sz w:val="28"/>
          <w:szCs w:val="28"/>
        </w:rPr>
      </w:pPr>
      <w:r>
        <w:rPr>
          <w:rFonts w:hint="eastAsia" w:ascii="仿宋" w:hAnsi="仿宋" w:eastAsia="仿宋" w:cs="仿宋_GB2312"/>
          <w:sz w:val="28"/>
          <w:szCs w:val="28"/>
        </w:rPr>
        <w:t>4）</w:t>
      </w:r>
      <w:r>
        <w:rPr>
          <w:rFonts w:hint="eastAsia" w:ascii="仿宋" w:hAnsi="仿宋" w:eastAsia="仿宋" w:cs="宋体"/>
          <w:sz w:val="28"/>
          <w:szCs w:val="28"/>
        </w:rPr>
        <w:t>为确保机动车排放污染物检测工作的正常开展，</w:t>
      </w:r>
      <w:r>
        <w:rPr>
          <w:rFonts w:hint="eastAsia" w:ascii="仿宋" w:hAnsi="仿宋" w:eastAsia="仿宋" w:cs="仿宋_GB2312"/>
          <w:sz w:val="28"/>
          <w:szCs w:val="28"/>
          <w:lang w:eastAsia="zh-CN"/>
        </w:rPr>
        <w:t>每组</w:t>
      </w:r>
      <w:r>
        <w:rPr>
          <w:rFonts w:hint="eastAsia" w:ascii="仿宋" w:hAnsi="仿宋" w:eastAsia="仿宋" w:cs="仿宋_GB2312"/>
          <w:sz w:val="28"/>
          <w:szCs w:val="28"/>
        </w:rPr>
        <w:t>检测服务需配备</w:t>
      </w:r>
      <w:r>
        <w:rPr>
          <w:rFonts w:hint="eastAsia" w:ascii="仿宋" w:hAnsi="仿宋" w:eastAsia="仿宋" w:cs="仿宋_GB2312"/>
          <w:sz w:val="28"/>
          <w:szCs w:val="28"/>
          <w:lang w:val="en-US" w:eastAsia="zh-CN"/>
        </w:rPr>
        <w:t>3</w:t>
      </w:r>
      <w:r>
        <w:rPr>
          <w:rFonts w:hint="eastAsia" w:ascii="仿宋" w:hAnsi="仿宋" w:eastAsia="仿宋" w:cs="仿宋_GB2312"/>
          <w:sz w:val="28"/>
          <w:szCs w:val="28"/>
        </w:rPr>
        <w:t>名检测人员开展检测业务（</w:t>
      </w:r>
      <w:r>
        <w:rPr>
          <w:rFonts w:hint="eastAsia" w:ascii="仿宋" w:hAnsi="仿宋" w:eastAsia="仿宋" w:cs="仿宋_GB2312"/>
          <w:sz w:val="28"/>
          <w:szCs w:val="28"/>
          <w:lang w:eastAsia="zh-CN"/>
        </w:rPr>
        <w:t>计算机操作</w:t>
      </w:r>
      <w:r>
        <w:rPr>
          <w:rFonts w:hint="eastAsia" w:ascii="仿宋" w:hAnsi="仿宋" w:eastAsia="仿宋" w:cs="仿宋_GB2312"/>
          <w:sz w:val="28"/>
          <w:szCs w:val="28"/>
        </w:rPr>
        <w:t>岗位、</w:t>
      </w:r>
      <w:r>
        <w:rPr>
          <w:rFonts w:hint="eastAsia" w:ascii="仿宋" w:hAnsi="仿宋" w:eastAsia="仿宋" w:cs="仿宋_GB2312"/>
          <w:sz w:val="28"/>
          <w:szCs w:val="28"/>
          <w:lang w:eastAsia="zh-CN"/>
        </w:rPr>
        <w:t>受检车辆驾驶员</w:t>
      </w:r>
      <w:r>
        <w:rPr>
          <w:rFonts w:hint="eastAsia" w:ascii="仿宋" w:hAnsi="仿宋" w:eastAsia="仿宋" w:cs="仿宋_GB2312"/>
          <w:sz w:val="28"/>
          <w:szCs w:val="28"/>
        </w:rPr>
        <w:t>岗位、</w:t>
      </w:r>
      <w:r>
        <w:rPr>
          <w:rFonts w:hint="eastAsia" w:ascii="仿宋" w:hAnsi="仿宋" w:eastAsia="仿宋" w:cs="仿宋_GB2312"/>
          <w:sz w:val="28"/>
          <w:szCs w:val="28"/>
          <w:lang w:eastAsia="zh-CN"/>
        </w:rPr>
        <w:t>辅助检查</w:t>
      </w:r>
      <w:r>
        <w:rPr>
          <w:rFonts w:hint="eastAsia" w:ascii="仿宋" w:hAnsi="仿宋" w:eastAsia="仿宋" w:cs="仿宋_GB2312"/>
          <w:sz w:val="28"/>
          <w:szCs w:val="28"/>
        </w:rPr>
        <w:t>岗位各1人），检测人员应为熟悉机动车检测业务并通过技术考核取得相应资质的人员，要持证上岗。其中引车检测及移动检测设备岗位须持有B证以上驾驶证。</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5）检测服务提供方要建立</w:t>
      </w:r>
      <w:r>
        <w:rPr>
          <w:rFonts w:ascii="仿宋" w:hAnsi="仿宋" w:eastAsia="仿宋" w:cs="仿宋_GB2312"/>
          <w:sz w:val="28"/>
          <w:szCs w:val="28"/>
        </w:rPr>
        <w:t>相关</w:t>
      </w:r>
      <w:r>
        <w:rPr>
          <w:rFonts w:hint="eastAsia" w:ascii="仿宋" w:hAnsi="仿宋" w:eastAsia="仿宋" w:cs="仿宋_GB2312"/>
          <w:sz w:val="28"/>
          <w:szCs w:val="28"/>
        </w:rPr>
        <w:t>管理</w:t>
      </w:r>
      <w:r>
        <w:rPr>
          <w:rFonts w:ascii="仿宋" w:hAnsi="仿宋" w:eastAsia="仿宋" w:cs="仿宋_GB2312"/>
          <w:sz w:val="28"/>
          <w:szCs w:val="28"/>
        </w:rPr>
        <w:t>制度</w:t>
      </w:r>
      <w:r>
        <w:rPr>
          <w:rFonts w:hint="eastAsia" w:ascii="仿宋" w:hAnsi="仿宋" w:eastAsia="仿宋" w:cs="仿宋_GB2312"/>
          <w:sz w:val="28"/>
          <w:szCs w:val="28"/>
        </w:rPr>
        <w:t>和操作规范</w:t>
      </w:r>
      <w:r>
        <w:rPr>
          <w:rFonts w:ascii="仿宋" w:hAnsi="仿宋" w:eastAsia="仿宋" w:cs="仿宋_GB2312"/>
          <w:sz w:val="28"/>
          <w:szCs w:val="28"/>
        </w:rPr>
        <w:t>，规范</w:t>
      </w:r>
      <w:r>
        <w:rPr>
          <w:rFonts w:hint="eastAsia" w:ascii="仿宋" w:hAnsi="仿宋" w:eastAsia="仿宋" w:cs="仿宋_GB2312"/>
          <w:sz w:val="28"/>
          <w:szCs w:val="28"/>
        </w:rPr>
        <w:t>工作</w:t>
      </w:r>
      <w:r>
        <w:rPr>
          <w:rFonts w:ascii="仿宋" w:hAnsi="仿宋" w:eastAsia="仿宋" w:cs="仿宋_GB2312"/>
          <w:sz w:val="28"/>
          <w:szCs w:val="28"/>
        </w:rPr>
        <w:t>人员职责和行为规范，加强设备安全工作的管理，落实设备安全责任制</w:t>
      </w:r>
      <w:r>
        <w:rPr>
          <w:rFonts w:hint="eastAsia" w:ascii="仿宋" w:hAnsi="仿宋" w:eastAsia="仿宋" w:cs="仿宋_GB2312"/>
          <w:sz w:val="28"/>
          <w:szCs w:val="28"/>
        </w:rPr>
        <w:t>，并对本单位检测人员的人身安全负责。</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6）在日常检测工作中，如遇检测人员请假、擅自离岗、脱岗、不服从安排、不按要求开展检测工作等现象，检测服务提供方应及时进行调换，不得出现脱岗、漏岗现象，保证检测工作的正常开展。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7）检测服务提供方在履行合同过程中，不得将服务项目委托给第三</w:t>
      </w:r>
      <w:r>
        <w:rPr>
          <w:rFonts w:hint="eastAsia" w:ascii="仿宋" w:hAnsi="仿宋" w:eastAsia="仿宋" w:cs="仿宋_GB2312"/>
          <w:sz w:val="28"/>
          <w:szCs w:val="28"/>
          <w:lang w:eastAsia="zh-CN"/>
        </w:rPr>
        <w:t>方</w:t>
      </w:r>
      <w:r>
        <w:rPr>
          <w:rFonts w:hint="eastAsia" w:ascii="仿宋" w:hAnsi="仿宋" w:eastAsia="仿宋" w:cs="仿宋_GB2312"/>
          <w:sz w:val="28"/>
          <w:szCs w:val="28"/>
        </w:rPr>
        <w:t>，应按合同如实报告项目进展情况，按时、按标准完成项目任务。</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8）为确保提供高标准服务，检测服务提供方应加强人员管理和培训，定期对检测人员进行业务培训，提高检测数据质量。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9）载体车驾驶员应保持车容、车况和车内卫生良好，按照车辆使用要求定期对车辆进行检查和维护保养，做好车辆使用记录，文明、安全出行。</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_GB2312"/>
          <w:sz w:val="28"/>
          <w:szCs w:val="28"/>
          <w:highlight w:val="none"/>
        </w:rPr>
      </w:pPr>
      <w:r>
        <w:rPr>
          <w:rFonts w:hint="eastAsia" w:ascii="仿宋" w:hAnsi="仿宋" w:eastAsia="仿宋" w:cs="仿宋_GB2312"/>
          <w:sz w:val="28"/>
          <w:szCs w:val="28"/>
          <w:highlight w:val="none"/>
        </w:rPr>
        <w:t>10）检测服务方须提供</w:t>
      </w:r>
      <w:r>
        <w:rPr>
          <w:rFonts w:hint="eastAsia" w:ascii="仿宋" w:hAnsi="仿宋" w:eastAsia="仿宋" w:cs="仿宋_GB2312"/>
          <w:sz w:val="28"/>
          <w:szCs w:val="28"/>
          <w:highlight w:val="none"/>
          <w:lang w:eastAsia="zh-CN"/>
        </w:rPr>
        <w:t>驻场人员</w:t>
      </w:r>
      <w:r>
        <w:rPr>
          <w:rFonts w:hint="eastAsia" w:ascii="仿宋" w:hAnsi="仿宋" w:eastAsia="仿宋" w:cs="仿宋_GB2312"/>
          <w:sz w:val="28"/>
          <w:szCs w:val="28"/>
          <w:highlight w:val="none"/>
          <w:lang w:val="en-US" w:eastAsia="zh-CN"/>
        </w:rPr>
        <w:t>2人和交通车辆，用以</w:t>
      </w:r>
      <w:r>
        <w:rPr>
          <w:rFonts w:hint="eastAsia" w:ascii="仿宋" w:hAnsi="仿宋" w:eastAsia="仿宋" w:cs="仿宋_GB2312"/>
          <w:sz w:val="28"/>
          <w:szCs w:val="28"/>
          <w:highlight w:val="none"/>
        </w:rPr>
        <w:t>数据汇总</w:t>
      </w:r>
      <w:r>
        <w:rPr>
          <w:rFonts w:hint="eastAsia" w:ascii="仿宋" w:hAnsi="仿宋" w:eastAsia="仿宋" w:cs="仿宋_GB2312"/>
          <w:sz w:val="28"/>
          <w:szCs w:val="28"/>
          <w:highlight w:val="none"/>
          <w:lang w:eastAsia="zh-CN"/>
        </w:rPr>
        <w:t>、</w:t>
      </w:r>
      <w:r>
        <w:rPr>
          <w:rFonts w:hint="eastAsia" w:ascii="仿宋" w:hAnsi="仿宋" w:eastAsia="仿宋" w:cs="仿宋_GB2312"/>
          <w:sz w:val="28"/>
          <w:szCs w:val="28"/>
          <w:highlight w:val="none"/>
        </w:rPr>
        <w:t>资料整理</w:t>
      </w:r>
      <w:r>
        <w:rPr>
          <w:rFonts w:hint="eastAsia" w:ascii="仿宋" w:hAnsi="仿宋" w:eastAsia="仿宋" w:cs="仿宋_GB2312"/>
          <w:sz w:val="28"/>
          <w:szCs w:val="28"/>
          <w:highlight w:val="none"/>
          <w:lang w:eastAsia="zh-CN"/>
        </w:rPr>
        <w:t>及对工作开展情况进行现场检查巡查</w:t>
      </w:r>
      <w:r>
        <w:rPr>
          <w:rFonts w:hint="eastAsia" w:ascii="仿宋" w:hAnsi="仿宋" w:eastAsia="仿宋" w:cs="仿宋_GB2312"/>
          <w:sz w:val="28"/>
          <w:szCs w:val="28"/>
          <w:highlight w:val="none"/>
        </w:rPr>
        <w:t>。</w:t>
      </w:r>
    </w:p>
    <w:p>
      <w:pPr>
        <w:spacing w:line="360" w:lineRule="auto"/>
        <w:ind w:firstLine="560" w:firstLineChars="200"/>
        <w:rPr>
          <w:rFonts w:ascii="仿宋" w:hAnsi="仿宋" w:eastAsia="仿宋" w:cs="仿宋_GB2312"/>
          <w:sz w:val="28"/>
          <w:szCs w:val="28"/>
        </w:rPr>
      </w:pPr>
      <w:r>
        <w:rPr>
          <w:rFonts w:hint="eastAsia" w:ascii="仿宋" w:hAnsi="仿宋" w:eastAsia="仿宋" w:cs="仿宋_GB2312"/>
          <w:sz w:val="28"/>
          <w:szCs w:val="28"/>
        </w:rPr>
        <w:t>（</w:t>
      </w:r>
      <w:r>
        <w:rPr>
          <w:rFonts w:ascii="仿宋" w:hAnsi="仿宋" w:eastAsia="仿宋" w:cs="仿宋_GB2312"/>
          <w:sz w:val="28"/>
          <w:szCs w:val="28"/>
        </w:rPr>
        <w:t>3</w:t>
      </w:r>
      <w:r>
        <w:rPr>
          <w:rFonts w:hint="eastAsia" w:ascii="仿宋" w:hAnsi="仿宋" w:eastAsia="仿宋" w:cs="仿宋_GB2312"/>
          <w:sz w:val="28"/>
          <w:szCs w:val="28"/>
        </w:rPr>
        <w:t>）移动式汽车排放检测装备清单</w:t>
      </w:r>
    </w:p>
    <w:tbl>
      <w:tblPr>
        <w:tblStyle w:val="24"/>
        <w:tblW w:w="86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235"/>
        <w:gridCol w:w="3861"/>
        <w:gridCol w:w="853"/>
        <w:gridCol w:w="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序号</w:t>
            </w:r>
          </w:p>
        </w:tc>
        <w:tc>
          <w:tcPr>
            <w:tcW w:w="2235" w:type="dxa"/>
            <w:noWrap w:val="0"/>
            <w:vAlign w:val="center"/>
          </w:tcPr>
          <w:p>
            <w:pPr>
              <w:widowControl/>
              <w:spacing w:line="360" w:lineRule="auto"/>
              <w:ind w:firstLine="560" w:firstLineChars="200"/>
              <w:jc w:val="both"/>
              <w:textAlignment w:val="bottom"/>
              <w:rPr>
                <w:rFonts w:ascii="仿宋" w:hAnsi="仿宋" w:eastAsia="仿宋" w:cs="宋体"/>
                <w:kern w:val="0"/>
                <w:sz w:val="28"/>
                <w:szCs w:val="28"/>
              </w:rPr>
            </w:pPr>
            <w:r>
              <w:rPr>
                <w:rFonts w:hint="eastAsia" w:ascii="仿宋" w:hAnsi="仿宋" w:eastAsia="仿宋" w:cs="宋体"/>
                <w:kern w:val="0"/>
                <w:sz w:val="28"/>
                <w:szCs w:val="28"/>
              </w:rPr>
              <w:t>项   目</w:t>
            </w: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设备名称</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数量</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2235" w:type="dxa"/>
            <w:vMerge w:val="restart"/>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移动式汽车排放检测装备</w:t>
            </w: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方舱</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停车平台</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2</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3</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顶棚装置</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bookmarkStart w:id="2" w:name="_Hlk55935887"/>
            <w:r>
              <w:rPr>
                <w:rFonts w:hint="eastAsia" w:ascii="仿宋" w:hAnsi="仿宋" w:eastAsia="仿宋" w:cs="宋体"/>
                <w:kern w:val="0"/>
                <w:sz w:val="28"/>
                <w:szCs w:val="28"/>
              </w:rPr>
              <w:t>4</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控制室</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5</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举升装置</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4</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6</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底盘测功机</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7</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电气控制系统</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8</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汽车NOX分析仪</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9</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汽车排气分析仪</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10</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透射式烟度计</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11</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转速适配器</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12</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环境参数测试仪</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13</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OBD诊断仪</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14</w:t>
            </w:r>
          </w:p>
        </w:tc>
        <w:tc>
          <w:tcPr>
            <w:tcW w:w="2235" w:type="dxa"/>
            <w:vMerge w:val="continue"/>
            <w:noWrap w:val="0"/>
            <w:vAlign w:val="center"/>
          </w:tcPr>
          <w:p>
            <w:pPr>
              <w:widowControl/>
              <w:spacing w:line="360" w:lineRule="auto"/>
              <w:ind w:firstLine="560" w:firstLineChars="200"/>
              <w:jc w:val="center"/>
              <w:rPr>
                <w:rFonts w:ascii="仿宋" w:hAnsi="仿宋" w:eastAsia="仿宋" w:cs="宋体"/>
                <w:kern w:val="0"/>
                <w:sz w:val="28"/>
                <w:szCs w:val="28"/>
              </w:rPr>
            </w:pPr>
          </w:p>
        </w:tc>
        <w:tc>
          <w:tcPr>
            <w:tcW w:w="3861"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工控机</w:t>
            </w:r>
          </w:p>
        </w:tc>
        <w:tc>
          <w:tcPr>
            <w:tcW w:w="853"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spacing w:line="360" w:lineRule="auto"/>
              <w:jc w:val="center"/>
              <w:rPr>
                <w:rFonts w:ascii="仿宋" w:hAnsi="仿宋" w:eastAsia="仿宋" w:cs="宋体"/>
                <w:kern w:val="0"/>
                <w:sz w:val="28"/>
                <w:szCs w:val="28"/>
              </w:rPr>
            </w:pPr>
            <w:r>
              <w:rPr>
                <w:rFonts w:hint="eastAsia" w:ascii="仿宋" w:hAnsi="仿宋" w:eastAsia="仿宋" w:cs="宋体"/>
                <w:kern w:val="0"/>
                <w:sz w:val="28"/>
                <w:szCs w:val="28"/>
              </w:rPr>
              <w:t>套</w:t>
            </w:r>
          </w:p>
        </w:tc>
      </w:tr>
      <w:bookmarkEnd w:id="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15</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变频器</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16</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输入侧电源滤波器</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17</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助手仪</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18</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激光打印机</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19</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检测软件</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20</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监控系统</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21</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联网软件</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22</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空调</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23</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空压机</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24</w:t>
            </w:r>
          </w:p>
        </w:tc>
        <w:tc>
          <w:tcPr>
            <w:tcW w:w="2235" w:type="dxa"/>
            <w:vMerge w:val="continue"/>
            <w:noWrap w:val="0"/>
            <w:vAlign w:val="center"/>
          </w:tcPr>
          <w:p>
            <w:pPr>
              <w:widowControl/>
              <w:spacing w:line="360" w:lineRule="auto"/>
              <w:ind w:firstLine="560" w:firstLineChars="200"/>
              <w:jc w:val="center"/>
              <w:textAlignment w:val="bottom"/>
              <w:rPr>
                <w:rFonts w:ascii="仿宋" w:hAnsi="仿宋" w:eastAsia="仿宋" w:cs="宋体"/>
                <w:kern w:val="0"/>
                <w:sz w:val="28"/>
                <w:szCs w:val="28"/>
              </w:rPr>
            </w:pPr>
          </w:p>
        </w:tc>
        <w:tc>
          <w:tcPr>
            <w:tcW w:w="3861"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其他附件</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25</w:t>
            </w:r>
          </w:p>
        </w:tc>
        <w:tc>
          <w:tcPr>
            <w:tcW w:w="6096" w:type="dxa"/>
            <w:gridSpan w:val="2"/>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轴重预警设备</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26</w:t>
            </w:r>
          </w:p>
        </w:tc>
        <w:tc>
          <w:tcPr>
            <w:tcW w:w="6096" w:type="dxa"/>
            <w:gridSpan w:val="2"/>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供电设备</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6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27</w:t>
            </w:r>
          </w:p>
        </w:tc>
        <w:tc>
          <w:tcPr>
            <w:tcW w:w="6096" w:type="dxa"/>
            <w:gridSpan w:val="2"/>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载体车</w:t>
            </w:r>
          </w:p>
        </w:tc>
        <w:tc>
          <w:tcPr>
            <w:tcW w:w="85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1</w:t>
            </w:r>
          </w:p>
        </w:tc>
        <w:tc>
          <w:tcPr>
            <w:tcW w:w="840"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辆</w:t>
            </w:r>
          </w:p>
        </w:tc>
      </w:tr>
    </w:tbl>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bookmarkStart w:id="3" w:name="_Toc2773"/>
      <w:r>
        <w:rPr>
          <w:rFonts w:hint="eastAsia" w:ascii="仿宋" w:hAnsi="仿宋" w:eastAsia="仿宋" w:cs="仿宋_GB2312"/>
          <w:sz w:val="28"/>
          <w:szCs w:val="28"/>
        </w:rPr>
        <w:t>（</w:t>
      </w:r>
      <w:r>
        <w:rPr>
          <w:rFonts w:ascii="仿宋" w:hAnsi="仿宋" w:eastAsia="仿宋" w:cs="仿宋_GB2312"/>
          <w:sz w:val="28"/>
          <w:szCs w:val="28"/>
        </w:rPr>
        <w:t>4</w:t>
      </w:r>
      <w:r>
        <w:rPr>
          <w:rFonts w:hint="eastAsia" w:ascii="仿宋" w:hAnsi="仿宋" w:eastAsia="仿宋" w:cs="仿宋_GB2312"/>
          <w:sz w:val="28"/>
          <w:szCs w:val="28"/>
        </w:rPr>
        <w:t>）设备技术指标及参数要求</w:t>
      </w:r>
      <w:bookmarkEnd w:id="3"/>
      <w:bookmarkStart w:id="4" w:name="_Toc114130428"/>
      <w:bookmarkStart w:id="5" w:name="_Toc19733"/>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1</w:t>
      </w:r>
      <w:r>
        <w:rPr>
          <w:rFonts w:hint="eastAsia" w:ascii="仿宋" w:hAnsi="仿宋" w:eastAsia="仿宋" w:cs="仿宋_GB2312"/>
          <w:sz w:val="28"/>
          <w:szCs w:val="28"/>
        </w:rPr>
        <w:t>）总体技术要求</w:t>
      </w:r>
      <w:bookmarkEnd w:id="4"/>
      <w:bookmarkEnd w:id="5"/>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①所提供的装备为功能完整、可正常运转的完整设备，并可移动到检测地点作业。</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②装备具有与载体车连接、固定、锁紧的接口，方便载体车运输。</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③系统的各供电柜、控制柜大小及布置要合理。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④集成化自动收缩控制系统：自动控制整体检测台体的伸缩功能，包含台体举升机构，箱体伸缩机构，引车板伸缩系统的整体性控制。</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⑤检测通道宽度、高度能够满足重型柴油货车进行检测得宽度和高度。</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⑥装备具有停车平台，停车平台展开后应保证被测试车辆处于水平位置(±5°)，停车平台在车辆检测时能适应车辆轴距要求：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单驱货车、牵引车（不含挂车）第一轴到驱动轴轴距≥6000mm；</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双驱货车、牵引车（不含挂车）第一轴到第一驱动轴轴距≥6000mm。</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⑦装备达到检测状态的准备时间应≤30min，并具有无线控制方式。</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bookmarkStart w:id="6" w:name="_Toc114130429"/>
      <w:bookmarkStart w:id="7" w:name="_Toc2655"/>
      <w:r>
        <w:rPr>
          <w:rFonts w:ascii="仿宋" w:hAnsi="仿宋" w:eastAsia="仿宋" w:cs="仿宋_GB2312"/>
          <w:sz w:val="28"/>
          <w:szCs w:val="28"/>
        </w:rPr>
        <w:t>2</w:t>
      </w:r>
      <w:r>
        <w:rPr>
          <w:rFonts w:hint="eastAsia" w:ascii="仿宋" w:hAnsi="仿宋" w:eastAsia="仿宋" w:cs="仿宋_GB2312"/>
          <w:sz w:val="28"/>
          <w:szCs w:val="28"/>
        </w:rPr>
        <w:t>）工作条件要求</w:t>
      </w:r>
      <w:bookmarkEnd w:id="6"/>
      <w:bookmarkEnd w:id="7"/>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①环境温度：－10℃～40℃</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 xml:space="preserve">②相对湿度：≤85% </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③供电电源：电压  AC380V±10%、AC220V±10%</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ab/>
      </w:r>
      <w:r>
        <w:rPr>
          <w:rFonts w:hint="eastAsia" w:ascii="仿宋" w:hAnsi="仿宋" w:eastAsia="仿宋" w:cs="宋体"/>
          <w:sz w:val="28"/>
          <w:szCs w:val="28"/>
        </w:rPr>
        <w:t xml:space="preserve">            频率  50Hz±2%</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bookmarkStart w:id="8" w:name="_Toc114130430"/>
      <w:bookmarkStart w:id="9" w:name="_Toc849"/>
      <w:r>
        <w:rPr>
          <w:rFonts w:ascii="仿宋" w:hAnsi="仿宋" w:eastAsia="仿宋" w:cs="仿宋_GB2312"/>
          <w:sz w:val="28"/>
          <w:szCs w:val="28"/>
        </w:rPr>
        <w:t>3</w:t>
      </w:r>
      <w:r>
        <w:rPr>
          <w:rFonts w:hint="eastAsia" w:ascii="仿宋" w:hAnsi="仿宋" w:eastAsia="仿宋" w:cs="仿宋_GB2312"/>
          <w:sz w:val="28"/>
          <w:szCs w:val="28"/>
        </w:rPr>
        <w:t>）电气要求</w:t>
      </w:r>
      <w:bookmarkEnd w:id="8"/>
      <w:bookmarkEnd w:id="9"/>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①装备有接地保护设施。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②装备外接电源当各相线顺序错误时，具有智能切换相线功能，无需人工调换。</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③电气系统具有过压、欠压、缺相保护功能，防止损坏设备。</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④当测试中出现紧急情况时，系统应具备急停按钮，并能确保设备、车辆、人身安全。</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⑤电线、电缆的绝缘材料必须符合电压等级和设计要求。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bookmarkStart w:id="10" w:name="_Toc114130431"/>
      <w:bookmarkStart w:id="11" w:name="_Toc3896"/>
      <w:r>
        <w:rPr>
          <w:rFonts w:ascii="仿宋" w:hAnsi="仿宋" w:eastAsia="仿宋" w:cs="仿宋_GB2312"/>
          <w:sz w:val="28"/>
          <w:szCs w:val="28"/>
        </w:rPr>
        <w:t>4</w:t>
      </w:r>
      <w:r>
        <w:rPr>
          <w:rFonts w:hint="eastAsia" w:ascii="仿宋" w:hAnsi="仿宋" w:eastAsia="仿宋" w:cs="仿宋_GB2312"/>
          <w:sz w:val="28"/>
          <w:szCs w:val="28"/>
        </w:rPr>
        <w:t>）联网要求</w:t>
      </w:r>
      <w:bookmarkEnd w:id="10"/>
      <w:bookmarkEnd w:id="11"/>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①系统支持与</w:t>
      </w:r>
      <w:r>
        <w:rPr>
          <w:rFonts w:hint="eastAsia" w:ascii="仿宋" w:hAnsi="仿宋" w:eastAsia="仿宋" w:cs="宋体"/>
          <w:sz w:val="28"/>
          <w:szCs w:val="28"/>
          <w:lang w:eastAsia="zh-CN"/>
        </w:rPr>
        <w:t>机动车污染监管平台</w:t>
      </w:r>
      <w:r>
        <w:rPr>
          <w:rFonts w:hint="eastAsia" w:ascii="仿宋" w:hAnsi="仿宋" w:eastAsia="仿宋" w:cs="宋体"/>
          <w:sz w:val="28"/>
          <w:szCs w:val="28"/>
        </w:rPr>
        <w:t>联网，</w:t>
      </w:r>
      <w:r>
        <w:rPr>
          <w:rFonts w:hint="eastAsia" w:ascii="仿宋" w:hAnsi="仿宋" w:eastAsia="仿宋" w:cs="宋体"/>
          <w:sz w:val="28"/>
          <w:szCs w:val="28"/>
          <w:lang w:eastAsia="zh-CN"/>
        </w:rPr>
        <w:t>上传检测数据，</w:t>
      </w:r>
      <w:r>
        <w:rPr>
          <w:rFonts w:hint="eastAsia" w:ascii="仿宋" w:hAnsi="仿宋" w:eastAsia="仿宋" w:cs="宋体"/>
          <w:sz w:val="28"/>
          <w:szCs w:val="28"/>
        </w:rPr>
        <w:t>采用SM2加密协议，采用VPN进行联网；</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②系统能够实现远程升级。</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③检测过程全景监控，可随机抓拍图片，保证过程真实有效。</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④系统应具备检测结果数据、检测过程数据、过程抓拍图片实时上传的功能。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⑤系统具备远程查看实时视频的功能。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⑥系统具备同步上级监控中心时钟功能。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5</w:t>
      </w:r>
      <w:r>
        <w:rPr>
          <w:rFonts w:hint="eastAsia" w:ascii="仿宋" w:hAnsi="仿宋" w:eastAsia="仿宋" w:cs="仿宋_GB2312"/>
          <w:sz w:val="28"/>
          <w:szCs w:val="28"/>
        </w:rPr>
        <w:t>）底盘测功机</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①底盘测功机应为三轴六滚筒结构,整体焊接机架，结构牢固，</w:t>
      </w:r>
      <w:r>
        <w:rPr>
          <w:rFonts w:hint="eastAsia" w:ascii="仿宋" w:hAnsi="仿宋" w:eastAsia="仿宋" w:cs="宋体"/>
          <w:sz w:val="28"/>
          <w:szCs w:val="28"/>
          <w:lang w:val="zh-TW" w:eastAsia="zh-TW"/>
        </w:rPr>
        <w:t>最大承载质量</w:t>
      </w:r>
      <w:r>
        <w:rPr>
          <w:rFonts w:hint="eastAsia" w:ascii="仿宋" w:hAnsi="仿宋" w:eastAsia="仿宋" w:cs="宋体"/>
          <w:sz w:val="28"/>
          <w:szCs w:val="28"/>
        </w:rPr>
        <w:t>不小于13000kg。</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w:t>
      </w:r>
      <w:r>
        <w:rPr>
          <w:rFonts w:hint="eastAsia" w:ascii="仿宋" w:hAnsi="仿宋" w:eastAsia="仿宋" w:cs="宋体"/>
          <w:sz w:val="28"/>
          <w:szCs w:val="28"/>
          <w:lang w:val="zh-TW" w:eastAsia="zh-TW"/>
        </w:rPr>
        <w:t>滚筒长度</w:t>
      </w:r>
      <w:r>
        <w:rPr>
          <w:rFonts w:hint="eastAsia" w:ascii="仿宋" w:hAnsi="仿宋" w:eastAsia="仿宋" w:cs="宋体"/>
          <w:sz w:val="28"/>
          <w:szCs w:val="28"/>
        </w:rPr>
        <w:t>≥1000mm，</w:t>
      </w:r>
      <w:r>
        <w:rPr>
          <w:rFonts w:hint="eastAsia" w:ascii="仿宋" w:hAnsi="仿宋" w:eastAsia="仿宋" w:cs="宋体"/>
          <w:sz w:val="28"/>
          <w:szCs w:val="28"/>
          <w:lang w:val="zh-TW" w:eastAsia="zh-TW"/>
        </w:rPr>
        <w:t>滚筒直径</w:t>
      </w:r>
      <w:r>
        <w:rPr>
          <w:rFonts w:hint="eastAsia" w:ascii="仿宋" w:hAnsi="仿宋" w:eastAsia="仿宋" w:cs="宋体"/>
          <w:sz w:val="28"/>
          <w:szCs w:val="28"/>
        </w:rPr>
        <w:t>≥373mm，</w:t>
      </w:r>
      <w:r>
        <w:rPr>
          <w:rFonts w:hint="eastAsia" w:ascii="仿宋" w:hAnsi="仿宋" w:eastAsia="仿宋" w:cs="宋体"/>
          <w:sz w:val="28"/>
          <w:szCs w:val="28"/>
          <w:lang w:val="zh-TW" w:eastAsia="zh-TW"/>
        </w:rPr>
        <w:t>滚筒</w:t>
      </w:r>
      <w:r>
        <w:rPr>
          <w:rFonts w:hint="eastAsia" w:ascii="仿宋" w:hAnsi="仿宋" w:eastAsia="仿宋" w:cs="宋体"/>
          <w:sz w:val="28"/>
          <w:szCs w:val="28"/>
        </w:rPr>
        <w:t>附着系数≥0.65，滚筒应有机械式制动器，提供足够的制动力矩便于车辆驶进、驶离底盘测功机，主、副滚筒同步带连接，传动平稳，噪音低。</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③满足单轴驱动或轴距在1170mm～1520mm之间的双驱动轴的车辆测试；</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④进出车举升装置应采用优质气囊。</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⑤配备整套标定装置，且标定方便、快捷。</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6</w:t>
      </w:r>
      <w:r>
        <w:rPr>
          <w:rFonts w:hint="eastAsia" w:ascii="仿宋" w:hAnsi="仿宋" w:eastAsia="仿宋" w:cs="仿宋_GB2312"/>
          <w:sz w:val="28"/>
          <w:szCs w:val="28"/>
        </w:rPr>
        <w:t>）工控机</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lang w:val="zh-TW"/>
        </w:rPr>
      </w:pPr>
      <w:r>
        <w:rPr>
          <w:rFonts w:hint="eastAsia" w:ascii="仿宋" w:hAnsi="仿宋" w:eastAsia="仿宋" w:cs="宋体"/>
          <w:sz w:val="28"/>
          <w:szCs w:val="28"/>
        </w:rPr>
        <w:t>工控机</w:t>
      </w:r>
      <w:r>
        <w:rPr>
          <w:rFonts w:hint="eastAsia" w:ascii="仿宋" w:hAnsi="仿宋" w:eastAsia="仿宋" w:cs="宋体"/>
          <w:sz w:val="28"/>
          <w:szCs w:val="28"/>
          <w:lang w:val="zh-TW"/>
        </w:rPr>
        <w:t>整体</w:t>
      </w:r>
      <w:r>
        <w:rPr>
          <w:rFonts w:hint="eastAsia" w:ascii="仿宋" w:hAnsi="仿宋" w:eastAsia="仿宋" w:cs="宋体"/>
          <w:sz w:val="28"/>
          <w:szCs w:val="28"/>
          <w:lang w:val="zh-TW" w:eastAsia="zh-TW"/>
        </w:rPr>
        <w:t>防震</w:t>
      </w:r>
      <w:r>
        <w:rPr>
          <w:rFonts w:hint="eastAsia" w:ascii="仿宋" w:hAnsi="仿宋" w:eastAsia="仿宋" w:cs="宋体"/>
          <w:sz w:val="28"/>
          <w:szCs w:val="28"/>
          <w:lang w:val="zh-TW"/>
        </w:rPr>
        <w:t>、散热良好，满足下述技术要求：</w:t>
      </w:r>
    </w:p>
    <w:tbl>
      <w:tblPr>
        <w:tblStyle w:val="24"/>
        <w:tblW w:w="6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7"/>
        <w:gridCol w:w="4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lang w:val="zh-TW"/>
              </w:rPr>
              <w:t>处理器</w:t>
            </w:r>
            <w:r>
              <w:rPr>
                <w:rFonts w:hint="eastAsia" w:ascii="仿宋" w:hAnsi="仿宋" w:eastAsia="仿宋" w:cs="宋体"/>
                <w:kern w:val="0"/>
                <w:sz w:val="28"/>
                <w:szCs w:val="28"/>
              </w:rPr>
              <w:t>（最低配置）</w:t>
            </w:r>
          </w:p>
        </w:tc>
        <w:tc>
          <w:tcPr>
            <w:tcW w:w="4235"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rPr>
              <w:t>i3</w:t>
            </w:r>
            <w:r>
              <w:rPr>
                <w:rFonts w:hint="eastAsia" w:ascii="仿宋" w:hAnsi="仿宋" w:eastAsia="仿宋" w:cs="宋体"/>
                <w:kern w:val="0"/>
                <w:sz w:val="28"/>
                <w:szCs w:val="28"/>
                <w:lang w:val="zh-TW"/>
              </w:rPr>
              <w:t>、主频</w:t>
            </w:r>
            <w:r>
              <w:rPr>
                <w:rFonts w:hint="eastAsia" w:ascii="仿宋" w:hAnsi="仿宋" w:eastAsia="仿宋" w:cs="宋体"/>
                <w:kern w:val="0"/>
                <w:sz w:val="28"/>
                <w:szCs w:val="28"/>
              </w:rPr>
              <w:t>3.3</w:t>
            </w:r>
            <w:r>
              <w:rPr>
                <w:rFonts w:hint="eastAsia" w:ascii="仿宋" w:hAnsi="仿宋" w:eastAsia="仿宋" w:cs="宋体"/>
                <w:kern w:val="0"/>
                <w:sz w:val="28"/>
                <w:szCs w:val="28"/>
                <w:lang w:val="zh-TW"/>
              </w:rPr>
              <w:t>GHz、双核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lang w:val="zh-TW" w:eastAsia="zh-TW"/>
              </w:rPr>
              <w:t>内存</w:t>
            </w:r>
          </w:p>
        </w:tc>
        <w:tc>
          <w:tcPr>
            <w:tcW w:w="4235"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lang w:val="zh-TW" w:eastAsia="zh-TW"/>
              </w:rPr>
              <w:t>8 GB</w:t>
            </w:r>
            <w:r>
              <w:rPr>
                <w:rFonts w:hint="eastAsia" w:ascii="仿宋" w:hAnsi="仿宋" w:eastAsia="仿宋" w:cs="宋体"/>
                <w:kern w:val="0"/>
                <w:sz w:val="28"/>
                <w:szCs w:val="28"/>
                <w:lang w:val="zh-TW"/>
              </w:rPr>
              <w:t>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lang w:val="zh-TW" w:eastAsia="zh-TW"/>
              </w:rPr>
              <w:t>硬盘</w:t>
            </w:r>
          </w:p>
        </w:tc>
        <w:tc>
          <w:tcPr>
            <w:tcW w:w="4235"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lang w:val="zh-TW" w:eastAsia="zh-TW"/>
              </w:rPr>
              <w:t>256 GB</w:t>
            </w:r>
            <w:r>
              <w:rPr>
                <w:rFonts w:hint="eastAsia" w:ascii="仿宋" w:hAnsi="仿宋" w:eastAsia="仿宋" w:cs="宋体"/>
                <w:kern w:val="0"/>
                <w:sz w:val="28"/>
                <w:szCs w:val="28"/>
              </w:rPr>
              <w:t>固态硬盘及以上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lang w:val="zh-TW" w:eastAsia="zh-TW"/>
              </w:rPr>
            </w:pPr>
            <w:r>
              <w:rPr>
                <w:rFonts w:hint="eastAsia" w:ascii="仿宋" w:hAnsi="仿宋" w:eastAsia="仿宋" w:cs="宋体"/>
                <w:kern w:val="0"/>
                <w:sz w:val="28"/>
                <w:szCs w:val="28"/>
              </w:rPr>
              <w:t>操作系统</w:t>
            </w:r>
          </w:p>
        </w:tc>
        <w:tc>
          <w:tcPr>
            <w:tcW w:w="4235"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Win7 系统及以上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显示器</w:t>
            </w:r>
          </w:p>
        </w:tc>
        <w:tc>
          <w:tcPr>
            <w:tcW w:w="4235"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配备不小于19寸的液晶显示器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7"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其他</w:t>
            </w:r>
          </w:p>
        </w:tc>
        <w:tc>
          <w:tcPr>
            <w:tcW w:w="4235"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配备键盘、鼠标</w:t>
            </w:r>
          </w:p>
        </w:tc>
      </w:tr>
    </w:tbl>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7</w:t>
      </w:r>
      <w:r>
        <w:rPr>
          <w:rFonts w:hint="eastAsia" w:ascii="仿宋" w:hAnsi="仿宋" w:eastAsia="仿宋" w:cs="仿宋_GB2312"/>
          <w:sz w:val="28"/>
          <w:szCs w:val="28"/>
        </w:rPr>
        <w:t>）OBD诊断仪</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①满足国家标准GB 18285-2018及GB 3847-2018中关于OBD诊断仪的各项要求。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②OBD诊断议与检测系统采用无线方式连接，OBD诊断议读取的数据传输给检测系统，并由系统统一存储和管理。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8</w:t>
      </w:r>
      <w:r>
        <w:rPr>
          <w:rFonts w:hint="eastAsia" w:ascii="仿宋" w:hAnsi="仿宋" w:eastAsia="仿宋" w:cs="仿宋_GB2312"/>
          <w:sz w:val="28"/>
          <w:szCs w:val="28"/>
        </w:rPr>
        <w:t>）司机助手仪</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司机助手仪为支撑架与液晶电视或灯屏的组合形式，液晶电视安装于支撑架上，液晶电视屏幕尺寸不小于32英寸，司机助手仪用于检测过程中提示驾驶员按照流程操作。</w:t>
      </w:r>
    </w:p>
    <w:p>
      <w:pPr>
        <w:spacing w:line="360" w:lineRule="auto"/>
        <w:ind w:firstLine="560" w:firstLineChars="200"/>
        <w:rPr>
          <w:rFonts w:ascii="仿宋" w:hAnsi="仿宋" w:eastAsia="仿宋" w:cs="仿宋_GB2312"/>
          <w:sz w:val="28"/>
          <w:szCs w:val="28"/>
        </w:rPr>
      </w:pPr>
      <w:r>
        <w:rPr>
          <w:rFonts w:ascii="仿宋" w:hAnsi="仿宋" w:eastAsia="仿宋" w:cs="仿宋_GB2312"/>
          <w:sz w:val="28"/>
          <w:szCs w:val="28"/>
        </w:rPr>
        <w:t>9</w:t>
      </w:r>
      <w:r>
        <w:rPr>
          <w:rFonts w:hint="eastAsia" w:ascii="仿宋" w:hAnsi="仿宋" w:eastAsia="仿宋" w:cs="仿宋_GB2312"/>
          <w:sz w:val="28"/>
          <w:szCs w:val="28"/>
        </w:rPr>
        <w:t>）变频器</w:t>
      </w:r>
    </w:p>
    <w:tbl>
      <w:tblPr>
        <w:tblStyle w:val="24"/>
        <w:tblW w:w="85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3"/>
        <w:gridCol w:w="5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83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通过变频器可控制滚筒表面线速度</w:t>
            </w:r>
          </w:p>
        </w:tc>
        <w:tc>
          <w:tcPr>
            <w:tcW w:w="5742"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0～100km/h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83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过压过流失速控制</w:t>
            </w:r>
          </w:p>
        </w:tc>
        <w:tc>
          <w:tcPr>
            <w:tcW w:w="5742"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对运行期间电流电压自动限制，防止频繁过流过压跳闸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833" w:type="dxa"/>
            <w:noWrap w:val="0"/>
            <w:vAlign w:val="center"/>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快速限流功能</w:t>
            </w:r>
          </w:p>
        </w:tc>
        <w:tc>
          <w:tcPr>
            <w:tcW w:w="5742" w:type="dxa"/>
            <w:noWrap w:val="0"/>
            <w:vAlign w:val="top"/>
          </w:tcPr>
          <w:p>
            <w:pPr>
              <w:widowControl/>
              <w:spacing w:line="360" w:lineRule="auto"/>
              <w:jc w:val="center"/>
              <w:textAlignment w:val="bottom"/>
              <w:rPr>
                <w:rFonts w:ascii="仿宋" w:hAnsi="仿宋" w:eastAsia="仿宋" w:cs="宋体"/>
                <w:kern w:val="0"/>
                <w:sz w:val="28"/>
                <w:szCs w:val="28"/>
              </w:rPr>
            </w:pPr>
            <w:r>
              <w:rPr>
                <w:rFonts w:hint="eastAsia" w:ascii="仿宋" w:hAnsi="仿宋" w:eastAsia="仿宋" w:cs="宋体"/>
                <w:kern w:val="0"/>
                <w:sz w:val="28"/>
                <w:szCs w:val="28"/>
              </w:rPr>
              <w:t>最大限度减小过流故障，保护电机正常运行</w:t>
            </w:r>
          </w:p>
        </w:tc>
      </w:tr>
    </w:tbl>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10</w:t>
      </w:r>
      <w:r>
        <w:rPr>
          <w:rFonts w:hint="eastAsia" w:ascii="仿宋" w:hAnsi="仿宋" w:eastAsia="仿宋" w:cs="仿宋_GB2312"/>
          <w:sz w:val="28"/>
          <w:szCs w:val="28"/>
        </w:rPr>
        <w:t>）环境参数测试仪</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①满足国家标准GB 18285-2018及GB 3847-2018中对各工况下环境参数采集的要求。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②可通过RS-232串口与PC机通讯。</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宋体"/>
          <w:sz w:val="28"/>
          <w:szCs w:val="28"/>
        </w:rPr>
      </w:pPr>
      <w:r>
        <w:rPr>
          <w:rFonts w:ascii="仿宋" w:hAnsi="仿宋" w:eastAsia="仿宋" w:cs="仿宋_GB2312"/>
          <w:sz w:val="28"/>
          <w:szCs w:val="28"/>
        </w:rPr>
        <w:t>11</w:t>
      </w:r>
      <w:r>
        <w:rPr>
          <w:rFonts w:hint="eastAsia" w:ascii="仿宋" w:hAnsi="仿宋" w:eastAsia="仿宋" w:cs="仿宋_GB2312"/>
          <w:sz w:val="28"/>
          <w:szCs w:val="28"/>
        </w:rPr>
        <w:t>）检测软件</w:t>
      </w:r>
      <w:r>
        <w:rPr>
          <w:rFonts w:hint="eastAsia" w:ascii="仿宋" w:hAnsi="仿宋" w:eastAsia="仿宋" w:cs="宋体"/>
          <w:b/>
          <w:bCs/>
          <w:sz w:val="28"/>
          <w:szCs w:val="28"/>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①软件系统的用户界面为Windows系统，中文显示，数据格式与Office软件兼容。</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②检测软件需要具备移动式汽车排放检测装备检测系统软件著作权，提供证书复印件。</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③检测软件需要具备移动式汽车排放检测校准系统软件著作权，提供证书复印件。</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④系统根据车辆录入的检测方法进行尾气检测，检测流程应符合标准GB 3847-2018和GB 18285-2018的要求。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⑤系统具有国家或地方计量校准的功能。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⑥车辆在检测完毕后，可设定自动打印、预览打印、不打印（后期手工选择打印）三种打印方式，报告单打印格式应符合国家相关标准、法规及相关监管部门的要求。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⑦应能对各检测仪器设备的工作状态进行自检，能测试各设备仪表的通讯状态。</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⑧应能对底盘测功机进行校准以及按JJF 1221-2009规定的计量校准项目测试。</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⑨应具备符合GB 3847-2018和GB 18285-2018规定的设备日常检查项目和设备技术要求检查项目的测试功能。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⑩应能展示检测业务相关环保检测标准限值，方便学习和参考。</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仿宋"/>
          <w:sz w:val="28"/>
          <w:szCs w:val="28"/>
        </w:rPr>
        <w:t>⑪</w:t>
      </w:r>
      <w:r>
        <w:rPr>
          <w:rFonts w:hint="eastAsia" w:ascii="仿宋" w:hAnsi="仿宋" w:eastAsia="仿宋" w:cs="宋体"/>
          <w:sz w:val="28"/>
          <w:szCs w:val="28"/>
        </w:rPr>
        <w:t>应具有对检测数据和结果的查询统计能力，查询结果可打印详单、基础台账、数据汇总等报表。</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ascii="仿宋" w:hAnsi="仿宋" w:eastAsia="仿宋" w:cs="仿宋_GB2312"/>
          <w:sz w:val="28"/>
          <w:szCs w:val="28"/>
        </w:rPr>
        <w:t>12)</w:t>
      </w:r>
      <w:r>
        <w:rPr>
          <w:rFonts w:hint="eastAsia" w:ascii="仿宋" w:hAnsi="仿宋" w:eastAsia="仿宋" w:cs="仿宋_GB2312"/>
          <w:sz w:val="28"/>
          <w:szCs w:val="28"/>
        </w:rPr>
        <w:t>汽车NOX分析仪</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满足国标GB 3847-2018对柴油车尾气测试的要求，能测量柴油车排放污染物中的CO</w:t>
      </w:r>
      <w:r>
        <w:rPr>
          <w:rFonts w:hint="eastAsia" w:ascii="仿宋" w:hAnsi="仿宋" w:eastAsia="仿宋" w:cs="宋体"/>
          <w:sz w:val="28"/>
          <w:szCs w:val="28"/>
          <w:vertAlign w:val="subscript"/>
        </w:rPr>
        <w:t>2</w:t>
      </w:r>
      <w:r>
        <w:rPr>
          <w:rFonts w:hint="eastAsia" w:ascii="仿宋" w:hAnsi="仿宋" w:eastAsia="仿宋" w:cs="宋体"/>
          <w:sz w:val="28"/>
          <w:szCs w:val="28"/>
        </w:rPr>
        <w:t>、NO、NO</w:t>
      </w:r>
      <w:r>
        <w:rPr>
          <w:rFonts w:hint="eastAsia" w:ascii="仿宋" w:hAnsi="仿宋" w:eastAsia="仿宋" w:cs="宋体"/>
          <w:sz w:val="28"/>
          <w:szCs w:val="28"/>
          <w:vertAlign w:val="subscript"/>
        </w:rPr>
        <w:t>2</w:t>
      </w:r>
      <w:r>
        <w:rPr>
          <w:rFonts w:hint="eastAsia" w:ascii="仿宋" w:hAnsi="仿宋" w:eastAsia="仿宋" w:cs="宋体"/>
          <w:sz w:val="28"/>
          <w:szCs w:val="28"/>
        </w:rPr>
        <w:t>(对NO</w:t>
      </w:r>
      <w:r>
        <w:rPr>
          <w:rFonts w:hint="eastAsia" w:ascii="仿宋" w:hAnsi="仿宋" w:eastAsia="仿宋" w:cs="宋体"/>
          <w:sz w:val="28"/>
          <w:szCs w:val="28"/>
          <w:vertAlign w:val="subscript"/>
        </w:rPr>
        <w:t>2</w:t>
      </w:r>
      <w:r>
        <w:rPr>
          <w:rFonts w:hint="eastAsia" w:ascii="仿宋" w:hAnsi="仿宋" w:eastAsia="仿宋" w:cs="宋体"/>
          <w:sz w:val="28"/>
          <w:szCs w:val="28"/>
        </w:rPr>
        <w:t>可直接测量，也可以通过转化炉转化为NO后进行测量)气体，并配备标准的串行通讯接口，可与外部计算机通信。测量范围及示值误差如下：</w:t>
      </w:r>
    </w:p>
    <w:tbl>
      <w:tblPr>
        <w:tblStyle w:val="24"/>
        <w:tblW w:w="7877" w:type="dxa"/>
        <w:jc w:val="center"/>
        <w:tblLayout w:type="fixed"/>
        <w:tblCellMar>
          <w:top w:w="0" w:type="dxa"/>
          <w:left w:w="0" w:type="dxa"/>
          <w:bottom w:w="0" w:type="dxa"/>
          <w:right w:w="0" w:type="dxa"/>
        </w:tblCellMar>
      </w:tblPr>
      <w:tblGrid>
        <w:gridCol w:w="1409"/>
        <w:gridCol w:w="2668"/>
        <w:gridCol w:w="1900"/>
        <w:gridCol w:w="1900"/>
      </w:tblGrid>
      <w:tr>
        <w:tblPrEx>
          <w:tblCellMar>
            <w:top w:w="0" w:type="dxa"/>
            <w:left w:w="0" w:type="dxa"/>
            <w:bottom w:w="0" w:type="dxa"/>
            <w:right w:w="0" w:type="dxa"/>
          </w:tblCellMar>
        </w:tblPrEx>
        <w:trPr>
          <w:trHeight w:val="300" w:hRule="atLeast"/>
          <w:jc w:val="center"/>
        </w:trPr>
        <w:tc>
          <w:tcPr>
            <w:tcW w:w="1409" w:type="dxa"/>
            <w:vMerge w:val="restart"/>
            <w:tcBorders>
              <w:top w:val="single" w:color="000000" w:sz="8" w:space="0"/>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气体种类</w:t>
            </w:r>
          </w:p>
        </w:tc>
        <w:tc>
          <w:tcPr>
            <w:tcW w:w="2668" w:type="dxa"/>
            <w:vMerge w:val="restart"/>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量   程</w:t>
            </w:r>
          </w:p>
        </w:tc>
        <w:tc>
          <w:tcPr>
            <w:tcW w:w="3800" w:type="dxa"/>
            <w:gridSpan w:val="2"/>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示值允许误差</w:t>
            </w:r>
          </w:p>
        </w:tc>
      </w:tr>
      <w:tr>
        <w:tblPrEx>
          <w:tblCellMar>
            <w:top w:w="0" w:type="dxa"/>
            <w:left w:w="0" w:type="dxa"/>
            <w:bottom w:w="0" w:type="dxa"/>
            <w:right w:w="0" w:type="dxa"/>
          </w:tblCellMar>
        </w:tblPrEx>
        <w:trPr>
          <w:trHeight w:val="274" w:hRule="atLeast"/>
          <w:jc w:val="center"/>
        </w:trPr>
        <w:tc>
          <w:tcPr>
            <w:tcW w:w="1409"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2" w:firstLineChars="200"/>
              <w:jc w:val="center"/>
              <w:textAlignment w:val="center"/>
              <w:rPr>
                <w:rFonts w:ascii="仿宋" w:hAnsi="仿宋" w:eastAsia="仿宋" w:cs="宋体"/>
                <w:b/>
                <w:kern w:val="0"/>
                <w:sz w:val="24"/>
                <w:szCs w:val="24"/>
              </w:rPr>
            </w:pPr>
          </w:p>
        </w:tc>
        <w:tc>
          <w:tcPr>
            <w:tcW w:w="2668" w:type="dxa"/>
            <w:vMerge w:val="continue"/>
            <w:tcBorders>
              <w:top w:val="single" w:color="000000" w:sz="8" w:space="0"/>
              <w:left w:val="nil"/>
              <w:bottom w:val="single" w:color="000000" w:sz="8" w:space="0"/>
              <w:right w:val="single" w:color="000000" w:sz="8" w:space="0"/>
            </w:tcBorders>
            <w:shd w:val="clear" w:color="auto" w:fill="auto"/>
            <w:noWrap w:val="0"/>
            <w:vAlign w:val="center"/>
          </w:tcPr>
          <w:p>
            <w:pPr>
              <w:widowControl/>
              <w:spacing w:line="360" w:lineRule="auto"/>
              <w:ind w:firstLine="482" w:firstLineChars="200"/>
              <w:jc w:val="center"/>
              <w:textAlignment w:val="center"/>
              <w:rPr>
                <w:rFonts w:ascii="仿宋" w:hAnsi="仿宋" w:eastAsia="仿宋" w:cs="宋体"/>
                <w:b/>
                <w:kern w:val="0"/>
                <w:sz w:val="24"/>
                <w:szCs w:val="24"/>
              </w:rPr>
            </w:pP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绝对误差</w:t>
            </w:r>
          </w:p>
        </w:tc>
        <w:tc>
          <w:tcPr>
            <w:tcW w:w="1900" w:type="dxa"/>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相对误差</w:t>
            </w:r>
          </w:p>
        </w:tc>
      </w:tr>
      <w:tr>
        <w:tblPrEx>
          <w:tblCellMar>
            <w:top w:w="0" w:type="dxa"/>
            <w:left w:w="0" w:type="dxa"/>
            <w:bottom w:w="0" w:type="dxa"/>
            <w:right w:w="0" w:type="dxa"/>
          </w:tblCellMar>
        </w:tblPrEx>
        <w:trPr>
          <w:trHeight w:val="529" w:hRule="atLeast"/>
          <w:jc w:val="center"/>
        </w:trPr>
        <w:tc>
          <w:tcPr>
            <w:tcW w:w="1409" w:type="dxa"/>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CO</w:t>
            </w:r>
            <w:r>
              <w:rPr>
                <w:rFonts w:hint="eastAsia" w:ascii="仿宋" w:hAnsi="仿宋" w:eastAsia="仿宋" w:cs="宋体"/>
                <w:kern w:val="0"/>
                <w:sz w:val="24"/>
                <w:szCs w:val="24"/>
                <w:vertAlign w:val="subscript"/>
              </w:rPr>
              <w:t>2</w:t>
            </w:r>
          </w:p>
        </w:tc>
        <w:tc>
          <w:tcPr>
            <w:tcW w:w="2668"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(0.0～18.0)×10</w:t>
            </w:r>
            <w:r>
              <w:rPr>
                <w:rFonts w:hint="eastAsia" w:ascii="仿宋" w:hAnsi="仿宋" w:eastAsia="仿宋" w:cs="宋体"/>
                <w:bCs/>
                <w:kern w:val="0"/>
                <w:sz w:val="24"/>
                <w:szCs w:val="24"/>
                <w:vertAlign w:val="superscript"/>
              </w:rPr>
              <w:t>-2</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sz w:val="24"/>
                <w:szCs w:val="24"/>
              </w:rPr>
            </w:pPr>
            <w:r>
              <w:rPr>
                <w:rFonts w:hint="eastAsia" w:ascii="仿宋" w:hAnsi="仿宋" w:eastAsia="仿宋" w:cs="宋体"/>
                <w:bCs/>
                <w:kern w:val="0"/>
                <w:sz w:val="24"/>
                <w:szCs w:val="24"/>
              </w:rPr>
              <w:t>-</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±5%</w:t>
            </w:r>
          </w:p>
        </w:tc>
      </w:tr>
      <w:tr>
        <w:tblPrEx>
          <w:tblCellMar>
            <w:top w:w="0" w:type="dxa"/>
            <w:left w:w="0" w:type="dxa"/>
            <w:bottom w:w="0" w:type="dxa"/>
            <w:right w:w="0" w:type="dxa"/>
          </w:tblCellMar>
        </w:tblPrEx>
        <w:trPr>
          <w:trHeight w:val="465" w:hRule="atLeast"/>
          <w:jc w:val="center"/>
        </w:trPr>
        <w:tc>
          <w:tcPr>
            <w:tcW w:w="1409" w:type="dxa"/>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NO</w:t>
            </w:r>
          </w:p>
        </w:tc>
        <w:tc>
          <w:tcPr>
            <w:tcW w:w="2668"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(0～4000)×10</w:t>
            </w:r>
            <w:r>
              <w:rPr>
                <w:rFonts w:hint="eastAsia" w:ascii="仿宋" w:hAnsi="仿宋" w:eastAsia="仿宋" w:cs="宋体"/>
                <w:bCs/>
                <w:kern w:val="0"/>
                <w:sz w:val="24"/>
                <w:szCs w:val="24"/>
                <w:vertAlign w:val="superscript"/>
              </w:rPr>
              <w:t>-6</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±25×10</w:t>
            </w:r>
            <w:r>
              <w:rPr>
                <w:rFonts w:hint="eastAsia" w:ascii="仿宋" w:hAnsi="仿宋" w:eastAsia="仿宋" w:cs="宋体"/>
                <w:bCs/>
                <w:kern w:val="0"/>
                <w:sz w:val="24"/>
                <w:szCs w:val="24"/>
                <w:vertAlign w:val="superscript"/>
              </w:rPr>
              <w:t>-6</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±4%</w:t>
            </w:r>
          </w:p>
        </w:tc>
      </w:tr>
      <w:tr>
        <w:tblPrEx>
          <w:tblCellMar>
            <w:top w:w="0" w:type="dxa"/>
            <w:left w:w="0" w:type="dxa"/>
            <w:bottom w:w="0" w:type="dxa"/>
            <w:right w:w="0" w:type="dxa"/>
          </w:tblCellMar>
        </w:tblPrEx>
        <w:trPr>
          <w:trHeight w:val="465" w:hRule="atLeast"/>
          <w:jc w:val="center"/>
        </w:trPr>
        <w:tc>
          <w:tcPr>
            <w:tcW w:w="1409" w:type="dxa"/>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NO</w:t>
            </w:r>
            <w:r>
              <w:rPr>
                <w:rFonts w:hint="eastAsia" w:ascii="仿宋" w:hAnsi="仿宋" w:eastAsia="仿宋" w:cs="宋体"/>
                <w:kern w:val="0"/>
                <w:sz w:val="24"/>
                <w:szCs w:val="24"/>
                <w:vertAlign w:val="subscript"/>
              </w:rPr>
              <w:t>2</w:t>
            </w:r>
          </w:p>
        </w:tc>
        <w:tc>
          <w:tcPr>
            <w:tcW w:w="2668"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(0～1000)×10</w:t>
            </w:r>
            <w:r>
              <w:rPr>
                <w:rFonts w:hint="eastAsia" w:ascii="仿宋" w:hAnsi="仿宋" w:eastAsia="仿宋" w:cs="宋体"/>
                <w:bCs/>
                <w:kern w:val="0"/>
                <w:sz w:val="24"/>
                <w:szCs w:val="24"/>
                <w:vertAlign w:val="superscript"/>
              </w:rPr>
              <w:t>-6</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±25×10</w:t>
            </w:r>
            <w:r>
              <w:rPr>
                <w:rFonts w:hint="eastAsia" w:ascii="仿宋" w:hAnsi="仿宋" w:eastAsia="仿宋" w:cs="宋体"/>
                <w:bCs/>
                <w:kern w:val="0"/>
                <w:sz w:val="24"/>
                <w:szCs w:val="24"/>
                <w:vertAlign w:val="superscript"/>
              </w:rPr>
              <w:t>-6</w:t>
            </w:r>
          </w:p>
        </w:tc>
        <w:tc>
          <w:tcPr>
            <w:tcW w:w="1900"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±4%</w:t>
            </w:r>
          </w:p>
        </w:tc>
      </w:tr>
      <w:tr>
        <w:tblPrEx>
          <w:tblCellMar>
            <w:top w:w="0" w:type="dxa"/>
            <w:left w:w="0" w:type="dxa"/>
            <w:bottom w:w="0" w:type="dxa"/>
            <w:right w:w="0" w:type="dxa"/>
          </w:tblCellMar>
        </w:tblPrEx>
        <w:trPr>
          <w:trHeight w:val="610" w:hRule="atLeast"/>
          <w:jc w:val="center"/>
        </w:trPr>
        <w:tc>
          <w:tcPr>
            <w:tcW w:w="7877" w:type="dxa"/>
            <w:gridSpan w:val="4"/>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注：表中所列绝对误差和相对误差，满足其中一项要求即可。</w:t>
            </w:r>
          </w:p>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对NO</w:t>
            </w:r>
            <w:r>
              <w:rPr>
                <w:rFonts w:hint="eastAsia" w:ascii="仿宋" w:hAnsi="仿宋" w:eastAsia="仿宋" w:cs="宋体"/>
                <w:kern w:val="0"/>
                <w:sz w:val="24"/>
                <w:szCs w:val="24"/>
                <w:vertAlign w:val="subscript"/>
              </w:rPr>
              <w:t>2</w:t>
            </w:r>
            <w:r>
              <w:rPr>
                <w:rFonts w:hint="eastAsia" w:ascii="仿宋" w:hAnsi="仿宋" w:eastAsia="仿宋" w:cs="宋体"/>
                <w:kern w:val="0"/>
                <w:sz w:val="24"/>
                <w:szCs w:val="24"/>
              </w:rPr>
              <w:t>可以直接测量，也可以通过转化炉转化为NO后进行测量。</w:t>
            </w:r>
          </w:p>
        </w:tc>
      </w:tr>
    </w:tbl>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ascii="仿宋" w:hAnsi="仿宋" w:eastAsia="仿宋" w:cs="宋体"/>
          <w:b/>
          <w:bCs/>
          <w:sz w:val="28"/>
          <w:szCs w:val="28"/>
        </w:rPr>
      </w:pPr>
      <w:r>
        <w:rPr>
          <w:rFonts w:ascii="仿宋" w:hAnsi="仿宋" w:eastAsia="仿宋" w:cs="仿宋_GB2312"/>
          <w:sz w:val="28"/>
          <w:szCs w:val="28"/>
        </w:rPr>
        <w:t>13)</w:t>
      </w:r>
      <w:r>
        <w:rPr>
          <w:rFonts w:hint="eastAsia" w:ascii="仿宋" w:hAnsi="仿宋" w:eastAsia="仿宋" w:cs="仿宋_GB2312"/>
          <w:sz w:val="28"/>
          <w:szCs w:val="28"/>
        </w:rPr>
        <w:t>汽车排气分析仪</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ascii="仿宋" w:hAnsi="仿宋" w:eastAsia="仿宋" w:cs="宋体"/>
          <w:sz w:val="28"/>
          <w:szCs w:val="28"/>
        </w:rPr>
      </w:pPr>
      <w:r>
        <w:rPr>
          <w:rFonts w:hint="eastAsia" w:ascii="仿宋" w:hAnsi="仿宋" w:eastAsia="仿宋" w:cs="宋体"/>
          <w:sz w:val="28"/>
          <w:szCs w:val="28"/>
        </w:rPr>
        <w:t>须满足国标GB 18285-2018的要求，能同时测定汽车排气中的HC、CO、CO</w:t>
      </w:r>
      <w:r>
        <w:rPr>
          <w:rFonts w:hint="eastAsia" w:ascii="仿宋" w:hAnsi="仿宋" w:eastAsia="仿宋" w:cs="宋体"/>
          <w:sz w:val="28"/>
          <w:szCs w:val="28"/>
          <w:vertAlign w:val="subscript"/>
        </w:rPr>
        <w:t>2</w:t>
      </w:r>
      <w:r>
        <w:rPr>
          <w:rFonts w:hint="eastAsia" w:ascii="仿宋" w:hAnsi="仿宋" w:eastAsia="仿宋" w:cs="宋体"/>
          <w:sz w:val="28"/>
          <w:szCs w:val="28"/>
        </w:rPr>
        <w:t>、O</w:t>
      </w:r>
      <w:r>
        <w:rPr>
          <w:rFonts w:hint="eastAsia" w:ascii="仿宋" w:hAnsi="仿宋" w:eastAsia="仿宋" w:cs="宋体"/>
          <w:sz w:val="28"/>
          <w:szCs w:val="28"/>
          <w:vertAlign w:val="subscript"/>
        </w:rPr>
        <w:t>2</w:t>
      </w:r>
      <w:r>
        <w:rPr>
          <w:rFonts w:hint="eastAsia" w:ascii="仿宋" w:hAnsi="仿宋" w:eastAsia="仿宋" w:cs="宋体"/>
          <w:sz w:val="28"/>
          <w:szCs w:val="28"/>
        </w:rPr>
        <w:t xml:space="preserve"> 、NO五组份浓度值，能对汽车（天然气车）排放污染物浓度进行检测。配备标准的串行通讯接口，可与外部计算机通信。测量范围及示值误差如下：</w:t>
      </w:r>
    </w:p>
    <w:tbl>
      <w:tblPr>
        <w:tblStyle w:val="24"/>
        <w:tblW w:w="7918" w:type="dxa"/>
        <w:jc w:val="center"/>
        <w:tblLayout w:type="fixed"/>
        <w:tblCellMar>
          <w:top w:w="0" w:type="dxa"/>
          <w:left w:w="0" w:type="dxa"/>
          <w:bottom w:w="0" w:type="dxa"/>
          <w:right w:w="0" w:type="dxa"/>
        </w:tblCellMar>
      </w:tblPr>
      <w:tblGrid>
        <w:gridCol w:w="1496"/>
        <w:gridCol w:w="2693"/>
        <w:gridCol w:w="1843"/>
        <w:gridCol w:w="1886"/>
      </w:tblGrid>
      <w:tr>
        <w:tblPrEx>
          <w:tblCellMar>
            <w:top w:w="0" w:type="dxa"/>
            <w:left w:w="0" w:type="dxa"/>
            <w:bottom w:w="0" w:type="dxa"/>
            <w:right w:w="0" w:type="dxa"/>
          </w:tblCellMar>
        </w:tblPrEx>
        <w:trPr>
          <w:trHeight w:val="347" w:hRule="atLeast"/>
          <w:tblHeader/>
          <w:jc w:val="center"/>
        </w:trPr>
        <w:tc>
          <w:tcPr>
            <w:tcW w:w="1496" w:type="dxa"/>
            <w:vMerge w:val="restart"/>
            <w:tcBorders>
              <w:top w:val="single" w:color="000000" w:sz="8" w:space="0"/>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气体种类</w:t>
            </w:r>
          </w:p>
        </w:tc>
        <w:tc>
          <w:tcPr>
            <w:tcW w:w="2693" w:type="dxa"/>
            <w:vMerge w:val="restart"/>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量   程</w:t>
            </w:r>
          </w:p>
        </w:tc>
        <w:tc>
          <w:tcPr>
            <w:tcW w:w="3729" w:type="dxa"/>
            <w:gridSpan w:val="2"/>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示值允许误差</w:t>
            </w:r>
          </w:p>
        </w:tc>
      </w:tr>
      <w:tr>
        <w:tblPrEx>
          <w:tblCellMar>
            <w:top w:w="0" w:type="dxa"/>
            <w:left w:w="0" w:type="dxa"/>
            <w:bottom w:w="0" w:type="dxa"/>
            <w:right w:w="0" w:type="dxa"/>
          </w:tblCellMar>
        </w:tblPrEx>
        <w:trPr>
          <w:trHeight w:val="1024" w:hRule="atLeast"/>
          <w:tblHeader/>
          <w:jc w:val="center"/>
        </w:trPr>
        <w:tc>
          <w:tcPr>
            <w:tcW w:w="1496"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2" w:firstLineChars="200"/>
              <w:jc w:val="center"/>
              <w:textAlignment w:val="center"/>
              <w:rPr>
                <w:rFonts w:ascii="仿宋" w:hAnsi="仿宋" w:eastAsia="仿宋" w:cs="宋体"/>
                <w:b/>
                <w:kern w:val="0"/>
                <w:sz w:val="24"/>
                <w:szCs w:val="24"/>
              </w:rPr>
            </w:pPr>
          </w:p>
        </w:tc>
        <w:tc>
          <w:tcPr>
            <w:tcW w:w="2693" w:type="dxa"/>
            <w:vMerge w:val="continue"/>
            <w:tcBorders>
              <w:top w:val="single" w:color="000000" w:sz="8" w:space="0"/>
              <w:left w:val="nil"/>
              <w:bottom w:val="single" w:color="000000" w:sz="8" w:space="0"/>
              <w:right w:val="single" w:color="000000" w:sz="8" w:space="0"/>
            </w:tcBorders>
            <w:shd w:val="clear" w:color="auto" w:fill="auto"/>
            <w:noWrap w:val="0"/>
            <w:vAlign w:val="center"/>
          </w:tcPr>
          <w:p>
            <w:pPr>
              <w:widowControl/>
              <w:spacing w:line="360" w:lineRule="auto"/>
              <w:ind w:firstLine="482" w:firstLineChars="200"/>
              <w:jc w:val="center"/>
              <w:textAlignment w:val="center"/>
              <w:rPr>
                <w:rFonts w:ascii="仿宋" w:hAnsi="仿宋" w:eastAsia="仿宋" w:cs="宋体"/>
                <w:b/>
                <w:kern w:val="0"/>
                <w:sz w:val="24"/>
                <w:szCs w:val="24"/>
              </w:rPr>
            </w:pP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绝对误差</w:t>
            </w:r>
          </w:p>
        </w:tc>
        <w:tc>
          <w:tcPr>
            <w:tcW w:w="1886" w:type="dxa"/>
            <w:tcBorders>
              <w:top w:val="single" w:color="000000" w:sz="8" w:space="0"/>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center"/>
              <w:rPr>
                <w:rFonts w:ascii="仿宋" w:hAnsi="仿宋" w:eastAsia="仿宋" w:cs="宋体"/>
                <w:b/>
                <w:kern w:val="0"/>
                <w:sz w:val="24"/>
                <w:szCs w:val="24"/>
              </w:rPr>
            </w:pPr>
            <w:r>
              <w:rPr>
                <w:rFonts w:hint="eastAsia" w:ascii="仿宋" w:hAnsi="仿宋" w:eastAsia="仿宋" w:cs="宋体"/>
                <w:b/>
                <w:kern w:val="0"/>
                <w:sz w:val="24"/>
                <w:szCs w:val="24"/>
              </w:rPr>
              <w:t>相对误差</w:t>
            </w:r>
          </w:p>
        </w:tc>
      </w:tr>
      <w:tr>
        <w:tblPrEx>
          <w:tblCellMar>
            <w:top w:w="0" w:type="dxa"/>
            <w:left w:w="0" w:type="dxa"/>
            <w:bottom w:w="0" w:type="dxa"/>
            <w:right w:w="0" w:type="dxa"/>
          </w:tblCellMar>
        </w:tblPrEx>
        <w:trPr>
          <w:trHeight w:val="90" w:hRule="atLeast"/>
          <w:jc w:val="center"/>
        </w:trPr>
        <w:tc>
          <w:tcPr>
            <w:tcW w:w="1496" w:type="dxa"/>
            <w:vMerge w:val="restart"/>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HC</w:t>
            </w: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(0～2000)×10</w:t>
            </w:r>
            <w:r>
              <w:rPr>
                <w:rFonts w:hint="eastAsia" w:ascii="仿宋" w:hAnsi="仿宋" w:eastAsia="仿宋" w:cs="宋体"/>
                <w:bCs/>
                <w:kern w:val="0"/>
                <w:sz w:val="24"/>
                <w:szCs w:val="24"/>
                <w:vertAlign w:val="superscript"/>
              </w:rPr>
              <w:t>-6</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kern w:val="0"/>
                <w:sz w:val="24"/>
                <w:szCs w:val="24"/>
              </w:rPr>
              <w:t>±4×10</w:t>
            </w:r>
            <w:r>
              <w:rPr>
                <w:rFonts w:hint="eastAsia" w:ascii="仿宋" w:hAnsi="仿宋" w:eastAsia="仿宋" w:cs="宋体"/>
                <w:kern w:val="0"/>
                <w:sz w:val="24"/>
                <w:szCs w:val="24"/>
                <w:vertAlign w:val="superscript"/>
              </w:rPr>
              <w:t>-6</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±3%</w:t>
            </w:r>
          </w:p>
        </w:tc>
      </w:tr>
      <w:tr>
        <w:tblPrEx>
          <w:tblCellMar>
            <w:top w:w="0" w:type="dxa"/>
            <w:left w:w="0" w:type="dxa"/>
            <w:bottom w:w="0" w:type="dxa"/>
            <w:right w:w="0" w:type="dxa"/>
          </w:tblCellMar>
        </w:tblPrEx>
        <w:trPr>
          <w:trHeight w:val="394" w:hRule="atLeast"/>
          <w:jc w:val="center"/>
        </w:trPr>
        <w:tc>
          <w:tcPr>
            <w:tcW w:w="1496" w:type="dxa"/>
            <w:vMerge w:val="continue"/>
            <w:tcBorders>
              <w:top w:val="nil"/>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0" w:firstLineChars="200"/>
              <w:jc w:val="left"/>
              <w:textAlignment w:val="bottom"/>
              <w:rPr>
                <w:rFonts w:ascii="仿宋" w:hAnsi="仿宋" w:eastAsia="仿宋" w:cs="宋体"/>
                <w:kern w:val="0"/>
                <w:sz w:val="24"/>
                <w:szCs w:val="24"/>
              </w:rPr>
            </w:pP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(2001～5000)×10</w:t>
            </w:r>
            <w:r>
              <w:rPr>
                <w:rFonts w:hint="eastAsia" w:ascii="仿宋" w:hAnsi="仿宋" w:eastAsia="仿宋" w:cs="宋体"/>
                <w:bCs/>
                <w:kern w:val="0"/>
                <w:sz w:val="24"/>
                <w:szCs w:val="24"/>
                <w:vertAlign w:val="superscript"/>
              </w:rPr>
              <w:t>-6</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kern w:val="0"/>
                <w:sz w:val="24"/>
                <w:szCs w:val="24"/>
              </w:rPr>
              <w:t>——</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±5%</w:t>
            </w:r>
          </w:p>
        </w:tc>
      </w:tr>
      <w:tr>
        <w:tblPrEx>
          <w:tblCellMar>
            <w:top w:w="0" w:type="dxa"/>
            <w:left w:w="0" w:type="dxa"/>
            <w:bottom w:w="0" w:type="dxa"/>
            <w:right w:w="0" w:type="dxa"/>
          </w:tblCellMar>
        </w:tblPrEx>
        <w:trPr>
          <w:trHeight w:val="407" w:hRule="atLeast"/>
          <w:jc w:val="center"/>
        </w:trPr>
        <w:tc>
          <w:tcPr>
            <w:tcW w:w="1496" w:type="dxa"/>
            <w:vMerge w:val="continue"/>
            <w:tcBorders>
              <w:top w:val="nil"/>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0" w:firstLineChars="200"/>
              <w:jc w:val="left"/>
              <w:textAlignment w:val="bottom"/>
              <w:rPr>
                <w:rFonts w:ascii="仿宋" w:hAnsi="仿宋" w:eastAsia="仿宋" w:cs="宋体"/>
                <w:kern w:val="0"/>
                <w:sz w:val="24"/>
                <w:szCs w:val="24"/>
              </w:rPr>
            </w:pP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(5001～9999)×10</w:t>
            </w:r>
            <w:r>
              <w:rPr>
                <w:rFonts w:hint="eastAsia" w:ascii="仿宋" w:hAnsi="仿宋" w:eastAsia="仿宋" w:cs="宋体"/>
                <w:bCs/>
                <w:kern w:val="0"/>
                <w:sz w:val="24"/>
                <w:szCs w:val="24"/>
                <w:vertAlign w:val="superscript"/>
              </w:rPr>
              <w:t>-6</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kern w:val="0"/>
                <w:sz w:val="24"/>
                <w:szCs w:val="24"/>
              </w:rPr>
              <w:t>——</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±10%</w:t>
            </w:r>
          </w:p>
        </w:tc>
      </w:tr>
      <w:tr>
        <w:tblPrEx>
          <w:tblCellMar>
            <w:top w:w="0" w:type="dxa"/>
            <w:left w:w="0" w:type="dxa"/>
            <w:bottom w:w="0" w:type="dxa"/>
            <w:right w:w="0" w:type="dxa"/>
          </w:tblCellMar>
        </w:tblPrEx>
        <w:trPr>
          <w:trHeight w:val="464" w:hRule="atLeast"/>
          <w:jc w:val="center"/>
        </w:trPr>
        <w:tc>
          <w:tcPr>
            <w:tcW w:w="1496" w:type="dxa"/>
            <w:vMerge w:val="restart"/>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CO</w:t>
            </w: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(0.00～10.00)×10</w:t>
            </w:r>
            <w:r>
              <w:rPr>
                <w:rFonts w:hint="eastAsia" w:ascii="仿宋" w:hAnsi="仿宋" w:eastAsia="仿宋" w:cs="宋体"/>
                <w:bCs/>
                <w:kern w:val="0"/>
                <w:sz w:val="24"/>
                <w:szCs w:val="24"/>
                <w:vertAlign w:val="superscript"/>
              </w:rPr>
              <w:t>-2</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±0.02×10</w:t>
            </w:r>
            <w:r>
              <w:rPr>
                <w:rFonts w:hint="eastAsia" w:ascii="仿宋" w:hAnsi="仿宋" w:eastAsia="仿宋" w:cs="宋体"/>
                <w:bCs/>
                <w:kern w:val="0"/>
                <w:sz w:val="24"/>
                <w:szCs w:val="24"/>
                <w:vertAlign w:val="superscript"/>
              </w:rPr>
              <w:t>-2</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±3%</w:t>
            </w:r>
          </w:p>
        </w:tc>
      </w:tr>
      <w:tr>
        <w:tblPrEx>
          <w:tblCellMar>
            <w:top w:w="0" w:type="dxa"/>
            <w:left w:w="0" w:type="dxa"/>
            <w:bottom w:w="0" w:type="dxa"/>
            <w:right w:w="0" w:type="dxa"/>
          </w:tblCellMar>
        </w:tblPrEx>
        <w:trPr>
          <w:trHeight w:val="408" w:hRule="atLeast"/>
          <w:jc w:val="center"/>
        </w:trPr>
        <w:tc>
          <w:tcPr>
            <w:tcW w:w="1496" w:type="dxa"/>
            <w:vMerge w:val="continue"/>
            <w:tcBorders>
              <w:top w:val="nil"/>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0" w:firstLineChars="200"/>
              <w:jc w:val="center"/>
              <w:textAlignment w:val="bottom"/>
              <w:rPr>
                <w:rFonts w:ascii="仿宋" w:hAnsi="仿宋" w:eastAsia="仿宋" w:cs="宋体"/>
                <w:kern w:val="0"/>
                <w:sz w:val="24"/>
                <w:szCs w:val="24"/>
              </w:rPr>
            </w:pP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(10.01～14.00)×10</w:t>
            </w:r>
            <w:r>
              <w:rPr>
                <w:rFonts w:hint="eastAsia" w:ascii="仿宋" w:hAnsi="仿宋" w:eastAsia="仿宋" w:cs="宋体"/>
                <w:bCs/>
                <w:kern w:val="0"/>
                <w:sz w:val="24"/>
                <w:szCs w:val="24"/>
                <w:vertAlign w:val="superscript"/>
              </w:rPr>
              <w:t>-2</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kern w:val="0"/>
                <w:sz w:val="24"/>
                <w:szCs w:val="24"/>
              </w:rPr>
              <w:t>——</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±5%</w:t>
            </w:r>
          </w:p>
        </w:tc>
      </w:tr>
      <w:tr>
        <w:tblPrEx>
          <w:tblCellMar>
            <w:top w:w="0" w:type="dxa"/>
            <w:left w:w="0" w:type="dxa"/>
            <w:bottom w:w="0" w:type="dxa"/>
            <w:right w:w="0" w:type="dxa"/>
          </w:tblCellMar>
        </w:tblPrEx>
        <w:trPr>
          <w:trHeight w:val="436" w:hRule="atLeast"/>
          <w:jc w:val="center"/>
        </w:trPr>
        <w:tc>
          <w:tcPr>
            <w:tcW w:w="1496" w:type="dxa"/>
            <w:vMerge w:val="restart"/>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CO</w:t>
            </w:r>
            <w:r>
              <w:rPr>
                <w:rFonts w:hint="eastAsia" w:ascii="仿宋" w:hAnsi="仿宋" w:eastAsia="仿宋" w:cs="宋体"/>
                <w:kern w:val="0"/>
                <w:sz w:val="24"/>
                <w:szCs w:val="24"/>
                <w:vertAlign w:val="subscript"/>
              </w:rPr>
              <w:t>2</w:t>
            </w: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(0.0～16.0)×10</w:t>
            </w:r>
            <w:r>
              <w:rPr>
                <w:rFonts w:hint="eastAsia" w:ascii="仿宋" w:hAnsi="仿宋" w:eastAsia="仿宋" w:cs="宋体"/>
                <w:bCs/>
                <w:kern w:val="0"/>
                <w:sz w:val="24"/>
                <w:szCs w:val="24"/>
                <w:vertAlign w:val="superscript"/>
              </w:rPr>
              <w:t>-2</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±0.3×10</w:t>
            </w:r>
            <w:r>
              <w:rPr>
                <w:rFonts w:hint="eastAsia" w:ascii="仿宋" w:hAnsi="仿宋" w:eastAsia="仿宋" w:cs="宋体"/>
                <w:bCs/>
                <w:kern w:val="0"/>
                <w:sz w:val="24"/>
                <w:szCs w:val="24"/>
                <w:vertAlign w:val="superscript"/>
              </w:rPr>
              <w:t>-2</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±3%</w:t>
            </w:r>
          </w:p>
        </w:tc>
      </w:tr>
      <w:tr>
        <w:tblPrEx>
          <w:tblCellMar>
            <w:top w:w="0" w:type="dxa"/>
            <w:left w:w="0" w:type="dxa"/>
            <w:bottom w:w="0" w:type="dxa"/>
            <w:right w:w="0" w:type="dxa"/>
          </w:tblCellMar>
        </w:tblPrEx>
        <w:trPr>
          <w:trHeight w:val="381" w:hRule="atLeast"/>
          <w:jc w:val="center"/>
        </w:trPr>
        <w:tc>
          <w:tcPr>
            <w:tcW w:w="1496" w:type="dxa"/>
            <w:vMerge w:val="continue"/>
            <w:tcBorders>
              <w:top w:val="nil"/>
              <w:left w:val="single" w:color="000000" w:sz="8" w:space="0"/>
              <w:bottom w:val="single" w:color="000000" w:sz="8" w:space="0"/>
              <w:right w:val="single" w:color="000000" w:sz="8" w:space="0"/>
            </w:tcBorders>
            <w:shd w:val="clear" w:color="auto" w:fill="auto"/>
            <w:noWrap w:val="0"/>
            <w:vAlign w:val="center"/>
          </w:tcPr>
          <w:p>
            <w:pPr>
              <w:widowControl/>
              <w:spacing w:line="360" w:lineRule="auto"/>
              <w:ind w:firstLine="480" w:firstLineChars="200"/>
              <w:jc w:val="center"/>
              <w:textAlignment w:val="bottom"/>
              <w:rPr>
                <w:rFonts w:ascii="仿宋" w:hAnsi="仿宋" w:eastAsia="仿宋" w:cs="宋体"/>
                <w:kern w:val="0"/>
                <w:sz w:val="24"/>
                <w:szCs w:val="24"/>
              </w:rPr>
            </w:pP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(16.1～18.0)×10</w:t>
            </w:r>
            <w:r>
              <w:rPr>
                <w:rFonts w:hint="eastAsia" w:ascii="仿宋" w:hAnsi="仿宋" w:eastAsia="仿宋" w:cs="宋体"/>
                <w:bCs/>
                <w:kern w:val="0"/>
                <w:sz w:val="24"/>
                <w:szCs w:val="24"/>
                <w:vertAlign w:val="superscript"/>
              </w:rPr>
              <w:t>-2</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kern w:val="0"/>
                <w:sz w:val="24"/>
                <w:szCs w:val="24"/>
              </w:rPr>
              <w:t>——</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±5%</w:t>
            </w:r>
          </w:p>
        </w:tc>
      </w:tr>
      <w:tr>
        <w:tblPrEx>
          <w:tblCellMar>
            <w:top w:w="0" w:type="dxa"/>
            <w:left w:w="0" w:type="dxa"/>
            <w:bottom w:w="0" w:type="dxa"/>
            <w:right w:w="0" w:type="dxa"/>
          </w:tblCellMar>
        </w:tblPrEx>
        <w:trPr>
          <w:trHeight w:val="312" w:hRule="atLeast"/>
          <w:jc w:val="center"/>
        </w:trPr>
        <w:tc>
          <w:tcPr>
            <w:tcW w:w="1496" w:type="dxa"/>
            <w:vMerge w:val="restart"/>
            <w:tcBorders>
              <w:top w:val="nil"/>
              <w:left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NO</w:t>
            </w: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(0～4000)×10</w:t>
            </w:r>
            <w:r>
              <w:rPr>
                <w:rFonts w:hint="eastAsia" w:ascii="仿宋" w:hAnsi="仿宋" w:eastAsia="仿宋" w:cs="宋体"/>
                <w:bCs/>
                <w:kern w:val="0"/>
                <w:sz w:val="24"/>
                <w:szCs w:val="24"/>
                <w:vertAlign w:val="superscript"/>
              </w:rPr>
              <w:t>-6</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±25×10</w:t>
            </w:r>
            <w:r>
              <w:rPr>
                <w:rFonts w:hint="eastAsia" w:ascii="仿宋" w:hAnsi="仿宋" w:eastAsia="仿宋" w:cs="宋体"/>
                <w:bCs/>
                <w:kern w:val="0"/>
                <w:sz w:val="24"/>
                <w:szCs w:val="24"/>
                <w:vertAlign w:val="superscript"/>
              </w:rPr>
              <w:t>-6</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±4%</w:t>
            </w:r>
          </w:p>
        </w:tc>
      </w:tr>
      <w:tr>
        <w:tblPrEx>
          <w:tblCellMar>
            <w:top w:w="0" w:type="dxa"/>
            <w:left w:w="0" w:type="dxa"/>
            <w:bottom w:w="0" w:type="dxa"/>
            <w:right w:w="0" w:type="dxa"/>
          </w:tblCellMar>
        </w:tblPrEx>
        <w:trPr>
          <w:trHeight w:val="312" w:hRule="atLeast"/>
          <w:jc w:val="center"/>
        </w:trPr>
        <w:tc>
          <w:tcPr>
            <w:tcW w:w="1496" w:type="dxa"/>
            <w:vMerge w:val="continue"/>
            <w:tcBorders>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ind w:firstLine="480" w:firstLineChars="200"/>
              <w:jc w:val="center"/>
              <w:textAlignment w:val="bottom"/>
              <w:rPr>
                <w:rFonts w:ascii="仿宋" w:hAnsi="仿宋" w:eastAsia="仿宋" w:cs="宋体"/>
                <w:kern w:val="0"/>
                <w:sz w:val="24"/>
                <w:szCs w:val="24"/>
              </w:rPr>
            </w:pP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(4001～5000)×10</w:t>
            </w:r>
            <w:r>
              <w:rPr>
                <w:rFonts w:hint="eastAsia" w:ascii="仿宋" w:hAnsi="仿宋" w:eastAsia="仿宋" w:cs="宋体"/>
                <w:bCs/>
                <w:kern w:val="0"/>
                <w:sz w:val="24"/>
                <w:szCs w:val="24"/>
                <w:vertAlign w:val="superscript"/>
              </w:rPr>
              <w:t>-6</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ind w:firstLine="480" w:firstLineChars="200"/>
              <w:jc w:val="center"/>
              <w:textAlignment w:val="center"/>
              <w:rPr>
                <w:rFonts w:ascii="仿宋" w:hAnsi="仿宋" w:eastAsia="仿宋" w:cs="宋体"/>
                <w:bCs/>
                <w:kern w:val="0"/>
                <w:sz w:val="24"/>
                <w:szCs w:val="24"/>
              </w:rPr>
            </w:pPr>
            <w:r>
              <w:rPr>
                <w:rFonts w:hint="eastAsia" w:ascii="仿宋" w:hAnsi="仿宋" w:eastAsia="仿宋" w:cs="宋体"/>
                <w:kern w:val="0"/>
                <w:sz w:val="24"/>
                <w:szCs w:val="24"/>
              </w:rPr>
              <w:t>——</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±8%</w:t>
            </w:r>
          </w:p>
        </w:tc>
      </w:tr>
      <w:tr>
        <w:tblPrEx>
          <w:tblCellMar>
            <w:top w:w="0" w:type="dxa"/>
            <w:left w:w="0" w:type="dxa"/>
            <w:bottom w:w="0" w:type="dxa"/>
            <w:right w:w="0" w:type="dxa"/>
          </w:tblCellMar>
        </w:tblPrEx>
        <w:trPr>
          <w:trHeight w:val="408" w:hRule="atLeast"/>
          <w:jc w:val="center"/>
        </w:trPr>
        <w:tc>
          <w:tcPr>
            <w:tcW w:w="1496" w:type="dxa"/>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O</w:t>
            </w:r>
            <w:r>
              <w:rPr>
                <w:rFonts w:hint="eastAsia" w:ascii="仿宋" w:hAnsi="仿宋" w:eastAsia="仿宋" w:cs="宋体"/>
                <w:kern w:val="0"/>
                <w:sz w:val="24"/>
                <w:szCs w:val="24"/>
                <w:vertAlign w:val="subscript"/>
              </w:rPr>
              <w:t>2</w:t>
            </w:r>
          </w:p>
        </w:tc>
        <w:tc>
          <w:tcPr>
            <w:tcW w:w="269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(0.0～25.0)×10</w:t>
            </w:r>
            <w:r>
              <w:rPr>
                <w:rFonts w:hint="eastAsia" w:ascii="仿宋" w:hAnsi="仿宋" w:eastAsia="仿宋" w:cs="宋体"/>
                <w:bCs/>
                <w:kern w:val="0"/>
                <w:sz w:val="24"/>
                <w:szCs w:val="24"/>
                <w:vertAlign w:val="superscript"/>
              </w:rPr>
              <w:t>-2</w:t>
            </w:r>
          </w:p>
        </w:tc>
        <w:tc>
          <w:tcPr>
            <w:tcW w:w="1843"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kern w:val="0"/>
                <w:sz w:val="24"/>
                <w:szCs w:val="24"/>
              </w:rPr>
            </w:pPr>
            <w:r>
              <w:rPr>
                <w:rFonts w:hint="eastAsia" w:ascii="仿宋" w:hAnsi="仿宋" w:eastAsia="仿宋" w:cs="宋体"/>
                <w:bCs/>
                <w:kern w:val="0"/>
                <w:sz w:val="24"/>
                <w:szCs w:val="24"/>
              </w:rPr>
              <w:t>±0.1×10</w:t>
            </w:r>
            <w:r>
              <w:rPr>
                <w:rFonts w:hint="eastAsia" w:ascii="仿宋" w:hAnsi="仿宋" w:eastAsia="仿宋" w:cs="宋体"/>
                <w:bCs/>
                <w:kern w:val="0"/>
                <w:sz w:val="24"/>
                <w:szCs w:val="24"/>
                <w:vertAlign w:val="superscript"/>
              </w:rPr>
              <w:t>-2</w:t>
            </w:r>
          </w:p>
        </w:tc>
        <w:tc>
          <w:tcPr>
            <w:tcW w:w="1886" w:type="dxa"/>
            <w:tcBorders>
              <w:top w:val="nil"/>
              <w:left w:val="nil"/>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adjustRightInd w:val="0"/>
              <w:snapToGrid w:val="0"/>
              <w:spacing w:line="360" w:lineRule="auto"/>
              <w:jc w:val="center"/>
              <w:textAlignment w:val="center"/>
              <w:rPr>
                <w:rFonts w:ascii="仿宋" w:hAnsi="仿宋" w:eastAsia="仿宋" w:cs="宋体"/>
                <w:bCs/>
                <w:kern w:val="0"/>
                <w:sz w:val="24"/>
                <w:szCs w:val="24"/>
              </w:rPr>
            </w:pPr>
            <w:r>
              <w:rPr>
                <w:rFonts w:hint="eastAsia" w:ascii="仿宋" w:hAnsi="仿宋" w:eastAsia="仿宋" w:cs="宋体"/>
                <w:bCs/>
                <w:kern w:val="0"/>
                <w:sz w:val="24"/>
                <w:szCs w:val="24"/>
              </w:rPr>
              <w:t>±5%</w:t>
            </w:r>
          </w:p>
        </w:tc>
      </w:tr>
      <w:tr>
        <w:tblPrEx>
          <w:tblCellMar>
            <w:top w:w="0" w:type="dxa"/>
            <w:left w:w="0" w:type="dxa"/>
            <w:bottom w:w="0" w:type="dxa"/>
            <w:right w:w="0" w:type="dxa"/>
          </w:tblCellMar>
        </w:tblPrEx>
        <w:trPr>
          <w:trHeight w:val="482" w:hRule="atLeast"/>
          <w:jc w:val="center"/>
        </w:trPr>
        <w:tc>
          <w:tcPr>
            <w:tcW w:w="7918" w:type="dxa"/>
            <w:gridSpan w:val="4"/>
            <w:tcBorders>
              <w:top w:val="nil"/>
              <w:left w:val="single" w:color="000000" w:sz="8" w:space="0"/>
              <w:bottom w:val="single" w:color="000000" w:sz="8" w:space="0"/>
              <w:right w:val="single" w:color="000000" w:sz="8" w:space="0"/>
            </w:tcBorders>
            <w:shd w:val="clear" w:color="auto" w:fill="FFFFFF"/>
            <w:noWrap w:val="0"/>
            <w:tcMar>
              <w:top w:w="15" w:type="dxa"/>
              <w:left w:w="15" w:type="dxa"/>
              <w:bottom w:w="0" w:type="dxa"/>
              <w:right w:w="15" w:type="dxa"/>
            </w:tcMar>
            <w:vAlign w:val="center"/>
          </w:tcPr>
          <w:p>
            <w:pPr>
              <w:widowControl/>
              <w:spacing w:line="360" w:lineRule="auto"/>
              <w:jc w:val="center"/>
              <w:textAlignment w:val="bottom"/>
              <w:rPr>
                <w:rFonts w:ascii="仿宋" w:hAnsi="仿宋" w:eastAsia="仿宋" w:cs="宋体"/>
                <w:kern w:val="0"/>
                <w:sz w:val="24"/>
                <w:szCs w:val="24"/>
              </w:rPr>
            </w:pPr>
            <w:r>
              <w:rPr>
                <w:rFonts w:hint="eastAsia" w:ascii="仿宋" w:hAnsi="仿宋" w:eastAsia="仿宋" w:cs="宋体"/>
                <w:kern w:val="0"/>
                <w:sz w:val="24"/>
                <w:szCs w:val="24"/>
              </w:rPr>
              <w:t>注：表中所列绝对误差和相对误差，满足其中一项要求即可。</w:t>
            </w:r>
          </w:p>
        </w:tc>
      </w:tr>
    </w:tbl>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14)</w:t>
      </w:r>
      <w:r>
        <w:rPr>
          <w:rFonts w:hint="eastAsia" w:ascii="仿宋" w:hAnsi="仿宋" w:eastAsia="仿宋" w:cs="仿宋_GB2312"/>
          <w:sz w:val="28"/>
          <w:szCs w:val="28"/>
        </w:rPr>
        <w:t>透射式烟度计</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①透射式烟度计满足国家标准GB 3847-2018中对透射式烟度计的要求。</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②可对装有压燃式发动机的车辆排气可见污染物进行检测，可准确测量出各种排烟的吸收比N和光吸收系数k。</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③测量范围：吸收比N：0～98%、光吸收系数k：0～16m</w:t>
      </w:r>
      <w:r>
        <w:rPr>
          <w:rFonts w:hint="eastAsia" w:ascii="仿宋" w:hAnsi="仿宋" w:eastAsia="仿宋" w:cs="宋体"/>
          <w:sz w:val="28"/>
          <w:szCs w:val="28"/>
          <w:vertAlign w:val="superscript"/>
        </w:rPr>
        <w:t>-1</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④准确度：±2％</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⑤须配备与计算机控制系统兼容的数据传输装置。</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15)</w:t>
      </w:r>
      <w:r>
        <w:rPr>
          <w:rFonts w:hint="eastAsia" w:ascii="仿宋" w:hAnsi="仿宋" w:eastAsia="仿宋" w:cs="仿宋_GB2312"/>
          <w:sz w:val="28"/>
          <w:szCs w:val="28"/>
        </w:rPr>
        <w:t>转速适配器</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①测量范围：（500～6000）rpm（4冲程）。</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②示值误差：±1%。</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③初始化时间：＜10s。</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④响应时间：＜1s。</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16)</w:t>
      </w:r>
      <w:r>
        <w:rPr>
          <w:rFonts w:hint="eastAsia" w:ascii="仿宋" w:hAnsi="仿宋" w:eastAsia="仿宋" w:cs="仿宋_GB2312"/>
          <w:sz w:val="28"/>
          <w:szCs w:val="28"/>
        </w:rPr>
        <w:t>监控系统</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①硬盘录像机：支持16路8盘，2路HDMI，电源供应：AC220V；</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②监控摄像头：分辨率：不低于200万；</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 xml:space="preserve">③通讯设备： </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 xml:space="preserve">支持802.1bgn 双通道 300M 带宽； </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支持全网通 4G-LTE 网络(B1、B2、B3、B4、B5、B7 和 B8 / B20LTE 频段) ；</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 xml:space="preserve">支持带宽上下行分配、客户端隔离、带宽控制、客户端信 号强度接入控制功能； </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 xml:space="preserve"> 支持-40~60℃宽温工作，12~28V 宽压输入</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 xml:space="preserve">④监控数据应能够储存12个月。 </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17</w:t>
      </w:r>
      <w:r>
        <w:rPr>
          <w:rFonts w:hint="eastAsia" w:ascii="仿宋" w:hAnsi="仿宋" w:eastAsia="仿宋" w:cs="仿宋_GB2312"/>
          <w:sz w:val="28"/>
          <w:szCs w:val="28"/>
        </w:rPr>
        <w:t>）打印机</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①为黑白激光打印机。</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②打印纸张:A4。</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③通讯方式：USB。</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18</w:t>
      </w:r>
      <w:r>
        <w:rPr>
          <w:rFonts w:hint="eastAsia" w:ascii="仿宋" w:hAnsi="仿宋" w:eastAsia="仿宋" w:cs="仿宋_GB2312"/>
          <w:sz w:val="28"/>
          <w:szCs w:val="28"/>
        </w:rPr>
        <w:t>）空压机</w:t>
      </w:r>
    </w:p>
    <w:tbl>
      <w:tblPr>
        <w:tblStyle w:val="24"/>
        <w:tblW w:w="6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8"/>
        <w:gridCol w:w="4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68"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排气压力</w:t>
            </w:r>
          </w:p>
        </w:tc>
        <w:tc>
          <w:tcPr>
            <w:tcW w:w="4309"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（0.5～0.8）Mpa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68"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冷却方式</w:t>
            </w:r>
          </w:p>
        </w:tc>
        <w:tc>
          <w:tcPr>
            <w:tcW w:w="4309"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风冷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68"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工作电源</w:t>
            </w:r>
          </w:p>
        </w:tc>
        <w:tc>
          <w:tcPr>
            <w:tcW w:w="4309" w:type="dxa"/>
            <w:noWrap w:val="0"/>
            <w:vAlign w:val="top"/>
          </w:tcPr>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bottom"/>
              <w:rPr>
                <w:rFonts w:ascii="仿宋" w:hAnsi="仿宋" w:eastAsia="仿宋" w:cs="宋体"/>
                <w:kern w:val="0"/>
                <w:sz w:val="28"/>
                <w:szCs w:val="28"/>
              </w:rPr>
            </w:pPr>
            <w:r>
              <w:rPr>
                <w:rFonts w:hint="eastAsia" w:ascii="仿宋" w:hAnsi="仿宋" w:eastAsia="仿宋" w:cs="宋体"/>
                <w:kern w:val="0"/>
                <w:sz w:val="28"/>
                <w:szCs w:val="28"/>
              </w:rPr>
              <w:t>AC380V±10%、AC220V±10%</w:t>
            </w:r>
          </w:p>
        </w:tc>
      </w:tr>
    </w:tbl>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19</w:t>
      </w:r>
      <w:r>
        <w:rPr>
          <w:rFonts w:hint="eastAsia" w:ascii="仿宋" w:hAnsi="仿宋" w:eastAsia="仿宋" w:cs="仿宋_GB2312"/>
          <w:sz w:val="28"/>
          <w:szCs w:val="28"/>
        </w:rPr>
        <w:t>）其他附件</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①标准气符合GB 3847-2018和GB 18285-2018标准中日常检查的要求，包括：零气、低浓度标准气、高浓度标准气。</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②线缆：满足标准及使用要求。</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③安全防护装置：检测时防止车辆窜出的装置。</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20</w:t>
      </w:r>
      <w:r>
        <w:rPr>
          <w:rFonts w:hint="eastAsia" w:ascii="仿宋" w:hAnsi="仿宋" w:eastAsia="仿宋" w:cs="仿宋_GB2312"/>
          <w:sz w:val="28"/>
          <w:szCs w:val="28"/>
        </w:rPr>
        <w:t>）轴重预警设备</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①分为主机与轴重仪，两者应能实现不小于15米的无线通信。</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②单轴压载载荷不小于30t，且综合精度不大于±5%。</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③被测车辆怠速通过时能实时显示轴荷。</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④可设定轴重限值，当车辆超过设定的限值时，主机应当给出告警提示。</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21</w:t>
      </w:r>
      <w:r>
        <w:rPr>
          <w:rFonts w:hint="eastAsia" w:ascii="仿宋" w:hAnsi="仿宋" w:eastAsia="仿宋" w:cs="仿宋_GB2312"/>
          <w:sz w:val="28"/>
          <w:szCs w:val="28"/>
        </w:rPr>
        <w:t>）供电设备</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①额定功率：≥25kw。</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②额定输出电压：400V/230V。</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③燃油牌号：（标准）0#轻柴油（常温）。</w:t>
      </w:r>
    </w:p>
    <w:p>
      <w:pPr>
        <w:keepNext w:val="0"/>
        <w:keepLines w:val="0"/>
        <w:pageBreakBefore w:val="0"/>
        <w:kinsoku/>
        <w:wordWrap/>
        <w:overflowPunct/>
        <w:topLinePunct w:val="0"/>
        <w:autoSpaceDE/>
        <w:autoSpaceDN/>
        <w:bidi w:val="0"/>
        <w:adjustRightInd/>
        <w:snapToGrid/>
        <w:spacing w:line="520" w:lineRule="exact"/>
        <w:ind w:firstLine="560" w:firstLineChars="200"/>
        <w:rPr>
          <w:rFonts w:ascii="仿宋" w:hAnsi="仿宋" w:eastAsia="仿宋" w:cs="仿宋_GB2312"/>
          <w:sz w:val="28"/>
          <w:szCs w:val="28"/>
        </w:rPr>
      </w:pPr>
      <w:r>
        <w:rPr>
          <w:rFonts w:ascii="仿宋" w:hAnsi="仿宋" w:eastAsia="仿宋" w:cs="仿宋_GB2312"/>
          <w:sz w:val="28"/>
          <w:szCs w:val="28"/>
        </w:rPr>
        <w:t>22</w:t>
      </w:r>
      <w:r>
        <w:rPr>
          <w:rFonts w:hint="eastAsia" w:ascii="仿宋" w:hAnsi="仿宋" w:eastAsia="仿宋" w:cs="仿宋_GB2312"/>
          <w:sz w:val="28"/>
          <w:szCs w:val="28"/>
        </w:rPr>
        <w:t>）载体车技术要求</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①燃油种类：柴油。</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②排放：国六。</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③载重及尺寸满足装备移动要求。</w:t>
      </w:r>
    </w:p>
    <w:p>
      <w:pPr>
        <w:keepNext w:val="0"/>
        <w:keepLines w:val="0"/>
        <w:pageBreakBefore w:val="0"/>
        <w:kinsoku/>
        <w:wordWrap/>
        <w:overflowPunct/>
        <w:topLinePunct w:val="0"/>
        <w:autoSpaceDE/>
        <w:autoSpaceDN/>
        <w:bidi w:val="0"/>
        <w:adjustRightInd/>
        <w:snapToGrid/>
        <w:spacing w:line="520" w:lineRule="exact"/>
        <w:ind w:firstLine="560" w:firstLineChars="200"/>
        <w:jc w:val="left"/>
        <w:rPr>
          <w:rFonts w:ascii="仿宋" w:hAnsi="仿宋" w:eastAsia="仿宋" w:cs="宋体"/>
          <w:sz w:val="28"/>
          <w:szCs w:val="28"/>
        </w:rPr>
      </w:pPr>
      <w:r>
        <w:rPr>
          <w:rFonts w:hint="eastAsia" w:ascii="仿宋" w:hAnsi="仿宋" w:eastAsia="仿宋" w:cs="宋体"/>
          <w:sz w:val="28"/>
          <w:szCs w:val="28"/>
        </w:rPr>
        <w:t>④载体车外形尺寸及轴轮重参数须符合GB 1589—2016《汽车、挂车及汽车列车外廓尺寸、轴荷及质量限值》。</w:t>
      </w:r>
    </w:p>
    <w:tbl>
      <w:tblPr>
        <w:tblStyle w:val="24"/>
        <w:tblW w:w="64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03"/>
        <w:gridCol w:w="3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2" w:firstLineChars="200"/>
              <w:jc w:val="left"/>
              <w:rPr>
                <w:rFonts w:ascii="仿宋" w:hAnsi="仿宋" w:eastAsia="仿宋" w:cs="宋体"/>
                <w:b/>
                <w:bCs/>
                <w:sz w:val="24"/>
                <w:szCs w:val="24"/>
              </w:rPr>
            </w:pPr>
            <w:r>
              <w:rPr>
                <w:rFonts w:hint="eastAsia" w:ascii="仿宋" w:hAnsi="仿宋" w:eastAsia="仿宋" w:cs="宋体"/>
                <w:b/>
                <w:bCs/>
                <w:sz w:val="24"/>
                <w:szCs w:val="24"/>
              </w:rPr>
              <w:t>项目</w:t>
            </w:r>
          </w:p>
        </w:tc>
        <w:tc>
          <w:tcPr>
            <w:tcW w:w="3540" w:type="dxa"/>
            <w:noWrap w:val="0"/>
            <w:vAlign w:val="center"/>
          </w:tcPr>
          <w:p>
            <w:pPr>
              <w:spacing w:line="360" w:lineRule="auto"/>
              <w:ind w:firstLine="482" w:firstLineChars="200"/>
              <w:jc w:val="left"/>
              <w:rPr>
                <w:rFonts w:ascii="仿宋" w:hAnsi="仿宋" w:eastAsia="仿宋" w:cs="宋体"/>
                <w:b/>
                <w:bCs/>
                <w:sz w:val="24"/>
                <w:szCs w:val="24"/>
              </w:rPr>
            </w:pPr>
            <w:r>
              <w:rPr>
                <w:rFonts w:hint="eastAsia" w:ascii="仿宋" w:hAnsi="仿宋" w:eastAsia="仿宋" w:cs="宋体"/>
                <w:b/>
                <w:bCs/>
                <w:sz w:val="24"/>
                <w:szCs w:val="24"/>
              </w:rPr>
              <w:t>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车辆类型</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重型载货车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货箱形式</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栏板或平板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驱动形式</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6×2或6×4或8×4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发动机功率，kW</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≥180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车身长，m</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货箱宽，mm</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2500≥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排放标准</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国六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903"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综合警示装置</w:t>
            </w:r>
          </w:p>
        </w:tc>
        <w:tc>
          <w:tcPr>
            <w:tcW w:w="3540" w:type="dxa"/>
            <w:noWrap w:val="0"/>
            <w:vAlign w:val="center"/>
          </w:tcPr>
          <w:p>
            <w:pPr>
              <w:spacing w:line="360" w:lineRule="auto"/>
              <w:ind w:firstLine="480" w:firstLineChars="200"/>
              <w:jc w:val="left"/>
              <w:rPr>
                <w:rFonts w:ascii="仿宋" w:hAnsi="仿宋" w:eastAsia="仿宋" w:cs="宋体"/>
                <w:sz w:val="24"/>
                <w:szCs w:val="24"/>
              </w:rPr>
            </w:pPr>
            <w:r>
              <w:rPr>
                <w:rFonts w:hint="eastAsia" w:ascii="仿宋" w:hAnsi="仿宋" w:eastAsia="仿宋" w:cs="宋体"/>
                <w:sz w:val="24"/>
                <w:szCs w:val="24"/>
              </w:rPr>
              <w:t>警示灯，警示挡板（1套）</w:t>
            </w:r>
          </w:p>
        </w:tc>
      </w:tr>
    </w:tbl>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r>
        <w:rPr>
          <w:rFonts w:hint="eastAsia" w:ascii="仿宋" w:hAnsi="仿宋" w:eastAsia="仿宋" w:cs="仿宋_GB2312"/>
          <w:sz w:val="28"/>
          <w:szCs w:val="28"/>
        </w:rPr>
        <w:t>2.商务要求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olor w:val="auto"/>
          <w:sz w:val="28"/>
          <w:szCs w:val="28"/>
          <w:highlight w:val="none"/>
          <w:lang w:eastAsia="zh-CN"/>
        </w:rPr>
      </w:pPr>
      <w:r>
        <w:rPr>
          <w:rFonts w:ascii="仿宋" w:hAnsi="仿宋" w:eastAsia="仿宋"/>
          <w:color w:val="auto"/>
          <w:sz w:val="28"/>
          <w:szCs w:val="28"/>
          <w:highlight w:val="none"/>
        </w:rPr>
        <w:t>（1）</w:t>
      </w:r>
      <w:r>
        <w:rPr>
          <w:rFonts w:hint="eastAsia" w:ascii="仿宋" w:hAnsi="仿宋" w:eastAsia="仿宋"/>
          <w:color w:val="auto"/>
          <w:sz w:val="28"/>
          <w:szCs w:val="28"/>
          <w:highlight w:val="none"/>
        </w:rPr>
        <w:t>服务周期：</w:t>
      </w:r>
      <w:r>
        <w:rPr>
          <w:rFonts w:hint="eastAsia" w:ascii="仿宋" w:hAnsi="仿宋" w:eastAsia="仿宋"/>
          <w:color w:val="auto"/>
          <w:sz w:val="28"/>
          <w:szCs w:val="28"/>
          <w:highlight w:val="none"/>
          <w:lang w:eastAsia="zh-CN"/>
        </w:rPr>
        <w:t>自签订合同后一年</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olor w:val="auto"/>
          <w:sz w:val="28"/>
          <w:szCs w:val="28"/>
          <w:highlight w:val="none"/>
        </w:rPr>
      </w:pPr>
      <w:r>
        <w:rPr>
          <w:rFonts w:ascii="仿宋" w:hAnsi="仿宋" w:eastAsia="仿宋"/>
          <w:color w:val="auto"/>
          <w:sz w:val="28"/>
          <w:szCs w:val="28"/>
          <w:highlight w:val="none"/>
        </w:rPr>
        <w:t>（2）地点：</w:t>
      </w:r>
      <w:r>
        <w:rPr>
          <w:rFonts w:hint="eastAsia" w:ascii="仿宋" w:hAnsi="仿宋" w:eastAsia="仿宋"/>
          <w:color w:val="auto"/>
          <w:sz w:val="28"/>
          <w:szCs w:val="28"/>
          <w:highlight w:val="none"/>
        </w:rPr>
        <w:t>采购人指定地点</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left"/>
        <w:textAlignment w:val="auto"/>
        <w:rPr>
          <w:rFonts w:hint="eastAsia" w:ascii="仿宋" w:hAnsi="仿宋" w:eastAsia="仿宋"/>
          <w:color w:val="auto"/>
          <w:sz w:val="28"/>
          <w:szCs w:val="28"/>
          <w:highlight w:val="none"/>
        </w:rPr>
      </w:pPr>
      <w:r>
        <w:rPr>
          <w:rFonts w:ascii="仿宋" w:hAnsi="仿宋" w:eastAsia="仿宋"/>
          <w:iCs/>
          <w:color w:val="auto"/>
          <w:sz w:val="28"/>
          <w:szCs w:val="28"/>
          <w:highlight w:val="none"/>
        </w:rPr>
        <w:t>（3）</w:t>
      </w:r>
      <w:r>
        <w:rPr>
          <w:rFonts w:ascii="仿宋" w:hAnsi="仿宋" w:eastAsia="仿宋"/>
          <w:color w:val="auto"/>
          <w:sz w:val="28"/>
          <w:szCs w:val="28"/>
          <w:highlight w:val="none"/>
        </w:rPr>
        <w:t>付款</w:t>
      </w:r>
      <w:r>
        <w:rPr>
          <w:rFonts w:hint="eastAsia" w:ascii="仿宋" w:hAnsi="仿宋" w:eastAsia="仿宋"/>
          <w:color w:val="auto"/>
          <w:sz w:val="28"/>
          <w:szCs w:val="28"/>
          <w:highlight w:val="none"/>
          <w:lang w:eastAsia="zh-CN"/>
        </w:rPr>
        <w:t>方式</w:t>
      </w:r>
      <w:r>
        <w:rPr>
          <w:rFonts w:ascii="仿宋" w:hAnsi="仿宋" w:eastAsia="仿宋"/>
          <w:color w:val="auto"/>
          <w:sz w:val="28"/>
          <w:szCs w:val="28"/>
          <w:highlight w:val="none"/>
        </w:rPr>
        <w:t>：</w:t>
      </w:r>
      <w:r>
        <w:rPr>
          <w:rFonts w:hint="eastAsia" w:ascii="仿宋" w:hAnsi="仿宋" w:eastAsia="仿宋"/>
          <w:color w:val="auto"/>
          <w:sz w:val="28"/>
          <w:szCs w:val="28"/>
          <w:highlight w:val="none"/>
        </w:rPr>
        <w:t>合同签订生效并具备实施条件后7个工作日内，乙方向甲方提交符合财务规定的合法发票后，甲方向乙方支付中标金额的</w:t>
      </w:r>
      <w:r>
        <w:rPr>
          <w:rFonts w:hint="eastAsia" w:ascii="仿宋" w:hAnsi="仿宋" w:eastAsia="仿宋"/>
          <w:color w:val="auto"/>
          <w:sz w:val="28"/>
          <w:szCs w:val="28"/>
          <w:highlight w:val="none"/>
          <w:lang w:eastAsia="zh-CN"/>
        </w:rPr>
        <w:t>相应费用</w:t>
      </w:r>
      <w:r>
        <w:rPr>
          <w:rFonts w:hint="eastAsia" w:ascii="仿宋" w:hAnsi="仿宋" w:eastAsia="仿宋"/>
          <w:color w:val="auto"/>
          <w:sz w:val="28"/>
          <w:szCs w:val="28"/>
          <w:highlight w:val="none"/>
        </w:rPr>
        <w:t>；乙方</w:t>
      </w:r>
      <w:r>
        <w:rPr>
          <w:rFonts w:hint="eastAsia" w:ascii="仿宋" w:hAnsi="仿宋" w:eastAsia="仿宋"/>
          <w:color w:val="auto"/>
          <w:sz w:val="28"/>
          <w:szCs w:val="28"/>
          <w:highlight w:val="none"/>
          <w:lang w:eastAsia="zh-CN"/>
        </w:rPr>
        <w:t>服务</w:t>
      </w:r>
      <w:r>
        <w:rPr>
          <w:rFonts w:hint="eastAsia" w:ascii="仿宋" w:hAnsi="仿宋" w:eastAsia="仿宋"/>
          <w:color w:val="auto"/>
          <w:sz w:val="28"/>
          <w:szCs w:val="28"/>
          <w:highlight w:val="none"/>
        </w:rPr>
        <w:t>时间达到3个月，并向甲方提交符合财务规定的合法发票后，甲方向乙方支付中标金额的相应费用；乙方运维时间达到6个月，并向甲方提交符合财务规定的合法发票后，甲方向乙方支付中标金额的相应费用；乙方履行合同完毕，向甲方递交服务总结报告和履约验收申请，按照合同约定进行履约验收。项目通过履约验收且乙方无违反合同规定，并向甲方提交符合财务规定的合法发票后,甲方向乙方支付</w:t>
      </w:r>
      <w:r>
        <w:rPr>
          <w:rFonts w:hint="eastAsia" w:ascii="仿宋" w:hAnsi="仿宋" w:eastAsia="仿宋"/>
          <w:color w:val="auto"/>
          <w:sz w:val="28"/>
          <w:szCs w:val="28"/>
          <w:highlight w:val="none"/>
          <w:lang w:eastAsia="zh-CN"/>
        </w:rPr>
        <w:t>尾款</w:t>
      </w:r>
      <w:r>
        <w:rPr>
          <w:rFonts w:hint="eastAsia" w:ascii="仿宋" w:hAnsi="仿宋" w:eastAsia="仿宋"/>
          <w:color w:val="auto"/>
          <w:sz w:val="28"/>
          <w:szCs w:val="28"/>
          <w:highlight w:val="none"/>
        </w:rPr>
        <w:t>相应费用；如乙方不能达到或违反合同相关条款之情形，甲方按照相关约定据实核算从项目尾款中扣减相应金额，不足部分由乙方在10个日历内补足。</w:t>
      </w: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jc w:val="left"/>
        <w:textAlignment w:val="auto"/>
        <w:rPr>
          <w:rFonts w:hint="eastAsia" w:ascii="仿宋" w:hAnsi="仿宋" w:eastAsia="仿宋" w:cs="楷体_GB2312"/>
          <w:b/>
          <w:bCs/>
          <w:sz w:val="28"/>
          <w:szCs w:val="28"/>
        </w:rPr>
      </w:pPr>
      <w:r>
        <w:rPr>
          <w:rFonts w:hint="eastAsia" w:ascii="仿宋" w:hAnsi="仿宋" w:eastAsia="仿宋" w:cs="楷体_GB2312"/>
          <w:b/>
          <w:bCs/>
          <w:sz w:val="28"/>
          <w:szCs w:val="28"/>
        </w:rPr>
        <w:t>（五）项目绩效</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1.经济效益分析</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移动式汽车排放检测装备适用于生态环境综合行政执法机构，对道路运输车辆进行抽查检验。移动式汽车排放检测装备单台车检验时间≤10分钟（不含准备时间）。</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r>
        <w:rPr>
          <w:rFonts w:hint="eastAsia" w:ascii="仿宋" w:hAnsi="仿宋" w:eastAsia="仿宋" w:cs="仿宋_GB2312"/>
          <w:sz w:val="28"/>
          <w:szCs w:val="28"/>
        </w:rPr>
        <w:t>项目的实施有利于提高重型柴油车及天然气车尾气排放检测治理工作效率，真正发现高排放车辆，提升管理水平，优化环境管理成本。</w:t>
      </w:r>
      <w:r>
        <w:rPr>
          <w:rFonts w:ascii="仿宋" w:hAnsi="仿宋" w:eastAsia="仿宋" w:cs="仿宋_GB2312"/>
          <w:sz w:val="28"/>
          <w:szCs w:val="28"/>
        </w:rPr>
        <w:t>由检测机构提供装备及检测服务，节省人力，便于管理，节约项目建设成本，提高资金使用效率</w:t>
      </w:r>
      <w:r>
        <w:rPr>
          <w:rFonts w:hint="eastAsia" w:ascii="仿宋" w:hAnsi="仿宋" w:eastAsia="仿宋" w:cs="仿宋_GB2312"/>
          <w:sz w:val="28"/>
          <w:szCs w:val="28"/>
        </w:rPr>
        <w:t>。</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r>
        <w:rPr>
          <w:rFonts w:hint="eastAsia" w:ascii="仿宋" w:hAnsi="仿宋" w:eastAsia="仿宋" w:cs="仿宋_GB2312"/>
          <w:sz w:val="28"/>
          <w:szCs w:val="28"/>
        </w:rPr>
        <w:t>2.社会效益分析</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ascii="仿宋" w:hAnsi="仿宋" w:eastAsia="仿宋" w:cs="仿宋_GB2312"/>
          <w:sz w:val="28"/>
          <w:szCs w:val="28"/>
        </w:rPr>
      </w:pPr>
      <w:bookmarkStart w:id="12" w:name="_Toc24701"/>
      <w:bookmarkStart w:id="13" w:name="_Toc18843"/>
      <w:r>
        <w:rPr>
          <w:rFonts w:hint="eastAsia" w:ascii="仿宋" w:hAnsi="仿宋" w:eastAsia="仿宋" w:cs="仿宋_GB2312"/>
          <w:sz w:val="28"/>
          <w:szCs w:val="28"/>
        </w:rPr>
        <w:t>目前，受制于技术水平、思路创新等的局限性，重型柴油车污染监管工作方式还停留在传统的方式。本项目将直接作用于重型柴油货车及天然气车排放污染监管体系的构建，努力实现环境质量的改善，切实保障人民群众的身体健康，服务于环境管理的宏观决策，为经济社会和环境和谐可持续发展提供技术支撑。</w:t>
      </w:r>
      <w:r>
        <w:rPr>
          <w:rFonts w:ascii="仿宋" w:hAnsi="仿宋" w:eastAsia="仿宋" w:cs="仿宋_GB2312"/>
          <w:sz w:val="28"/>
          <w:szCs w:val="28"/>
        </w:rPr>
        <w:t xml:space="preserve"> </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r>
        <w:rPr>
          <w:rFonts w:hint="eastAsia" w:ascii="仿宋" w:hAnsi="仿宋" w:eastAsia="仿宋" w:cs="仿宋_GB2312"/>
          <w:sz w:val="28"/>
          <w:szCs w:val="28"/>
        </w:rPr>
        <w:t>项目实施后预计未来每年，检测柴油货车、天然气货运车辆约5</w:t>
      </w:r>
      <w:r>
        <w:rPr>
          <w:rFonts w:ascii="仿宋" w:hAnsi="仿宋" w:eastAsia="仿宋" w:cs="仿宋_GB2312"/>
          <w:sz w:val="28"/>
          <w:szCs w:val="28"/>
        </w:rPr>
        <w:t>0</w:t>
      </w:r>
      <w:r>
        <w:rPr>
          <w:rFonts w:hint="eastAsia" w:ascii="仿宋" w:hAnsi="仿宋" w:eastAsia="仿宋" w:cs="仿宋_GB2312"/>
          <w:sz w:val="28"/>
          <w:szCs w:val="28"/>
        </w:rPr>
        <w:t>000辆，有效减少道路运输车辆NOX超标排放，可强化重型柴油车排放监管。通过严监管、高排查、高抽查，可实现机动车污染物排放量严格控制把关。同时可通过对查处的超标排放柴油车实施集中整治，减少机动车氮氧化物排放以及颗粒物排放约千吨；打赢蓝天保卫战，创造一个良好的生活环境，提升人民的幸福感，具有良好的社会效益</w:t>
      </w:r>
      <w:bookmarkEnd w:id="12"/>
      <w:bookmarkEnd w:id="13"/>
      <w:r>
        <w:rPr>
          <w:rFonts w:hint="eastAsia" w:ascii="仿宋" w:hAnsi="仿宋" w:eastAsia="仿宋" w:cs="仿宋_GB2312"/>
          <w:sz w:val="28"/>
          <w:szCs w:val="28"/>
        </w:rPr>
        <w:t>。</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20" w:lineRule="exact"/>
        <w:ind w:firstLine="560" w:firstLineChars="200"/>
        <w:textAlignment w:val="auto"/>
        <w:rPr>
          <w:rFonts w:hint="eastAsia" w:ascii="仿宋" w:hAnsi="仿宋" w:eastAsia="仿宋" w:cs="仿宋_GB2312"/>
          <w:sz w:val="28"/>
          <w:szCs w:val="28"/>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10"/>
        <w:rPr>
          <w:rFonts w:ascii="仿宋_GB2312" w:hAnsi="仿宋_GB2312" w:eastAsia="仿宋_GB2312" w:cs="仿宋_GB2312"/>
          <w:b/>
          <w:sz w:val="48"/>
        </w:rPr>
      </w:pPr>
    </w:p>
    <w:p>
      <w:pPr>
        <w:pStyle w:val="11"/>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10"/>
      </w:pPr>
    </w:p>
    <w:p>
      <w:pPr>
        <w:pStyle w:val="11"/>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10"/>
      </w:pPr>
    </w:p>
    <w:p>
      <w:pPr>
        <w:pStyle w:val="11"/>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10"/>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致</w:t>
      </w:r>
      <w:r>
        <w:rPr>
          <w:rFonts w:hint="eastAsia" w:ascii="Times New Roman" w:hAnsi="Times New Roman" w:eastAsia="仿宋_GB2312" w:cs="Times New Roman"/>
          <w:color w:val="auto"/>
          <w:sz w:val="28"/>
          <w:lang w:eastAsia="zh-CN"/>
        </w:rPr>
        <w:t>：</w:t>
      </w:r>
      <w:r>
        <w:rPr>
          <w:rFonts w:hint="default" w:ascii="Times New Roman" w:hAnsi="Times New Roman" w:eastAsia="仿宋_GB2312" w:cs="Times New Roman"/>
          <w:color w:val="000000" w:themeColor="text1"/>
          <w:sz w:val="28"/>
          <w:lang w:eastAsia="zh-CN"/>
          <w14:textFill>
            <w14:solidFill>
              <w14:schemeClr w14:val="tx1"/>
            </w14:solidFill>
          </w14:textFill>
        </w:rPr>
        <w:t>石家庄市机动车排污管理中心</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10"/>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10"/>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9" w:type="first"/>
          <w:headerReference r:id="rId7" w:type="default"/>
          <w:footerReference r:id="rId8"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highlight w:val="none"/>
          <w:u w:val="single"/>
          <w:lang w:eastAsia="zh-CN"/>
        </w:rPr>
        <w:t>石家庄市机动车排污管理中心</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移动式机动车排放工况检测服务项目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10"/>
        <w:rPr>
          <w:rFonts w:hint="eastAsia" w:ascii="仿宋_GB2312" w:hAnsi="仿宋_GB2312" w:eastAsia="仿宋_GB2312" w:cs="仿宋_GB2312"/>
          <w:sz w:val="28"/>
        </w:rPr>
      </w:pPr>
    </w:p>
    <w:p>
      <w:pPr>
        <w:pStyle w:val="1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10"/>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石家庄市机动车排污管理中心</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lang w:val="en-US" w:eastAsia="zh-CN"/>
        </w:rPr>
        <w:t>移动式机动车排放工况检测服务项目</w:t>
      </w:r>
      <w:r>
        <w:rPr>
          <w:rFonts w:hint="eastAsia" w:ascii="方正小标宋简体" w:hAnsi="方正小标宋简体" w:eastAsia="方正小标宋简体" w:cs="方正小标宋简体"/>
          <w:bCs/>
          <w:sz w:val="44"/>
          <w:szCs w:val="44"/>
        </w:rPr>
        <w:t>询价告知卡</w:t>
      </w:r>
    </w:p>
    <w:p>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我单位官网发布的“石家庄市机动车排污管理中心</w:t>
      </w:r>
      <w:r>
        <w:rPr>
          <w:rFonts w:hint="eastAsia" w:ascii="方正小标宋_GBK" w:hAnsi="方正小标宋_GBK" w:eastAsia="方正小标宋_GBK" w:cs="方正小标宋_GBK"/>
          <w:b w:val="0"/>
          <w:bCs/>
          <w:sz w:val="32"/>
          <w:szCs w:val="32"/>
          <w:lang w:val="en-US" w:eastAsia="zh-CN"/>
        </w:rPr>
        <w:t>关于移动式机动车排放工况检测服务项目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我单位官网发布的“石家庄市机动车排污管理中心关于移动式机动车排放工况检测服务</w:t>
      </w:r>
      <w:r>
        <w:rPr>
          <w:rFonts w:hint="eastAsia" w:ascii="方正小标宋_GBK" w:hAnsi="方正小标宋_GBK" w:eastAsia="方正小标宋_GBK" w:cs="方正小标宋_GBK"/>
          <w:b w:val="0"/>
          <w:bCs/>
          <w:sz w:val="32"/>
          <w:szCs w:val="32"/>
          <w:lang w:val="en-US" w:eastAsia="zh-CN"/>
        </w:rPr>
        <w:t>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我单位官网发布的“石家庄市机动车排污管理中心</w:t>
      </w:r>
      <w:r>
        <w:rPr>
          <w:rFonts w:hint="eastAsia" w:ascii="方正小标宋_GBK" w:hAnsi="方正小标宋_GBK" w:eastAsia="方正小标宋_GBK" w:cs="方正小标宋_GBK"/>
          <w:b w:val="0"/>
          <w:bCs/>
          <w:sz w:val="32"/>
          <w:szCs w:val="32"/>
          <w:lang w:val="en-US" w:eastAsia="zh-CN"/>
        </w:rPr>
        <w:t>关于移动式机动车排放工况检测服务项目</w:t>
      </w:r>
      <w:r>
        <w:rPr>
          <w:rFonts w:hint="eastAsia" w:ascii="方正小标宋_GBK" w:hAnsi="方正小标宋_GBK" w:eastAsia="方正小标宋_GBK" w:cs="方正小标宋_GBK"/>
          <w:b w:val="0"/>
          <w:bCs/>
          <w:sz w:val="32"/>
          <w:szCs w:val="32"/>
        </w:rPr>
        <w:t>”采购需求是否阅知？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p>
  <w:p>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rPr>
        <w:rFonts w:ascii="仿宋" w:hAnsi="仿宋" w:eastAsia="仿宋" w:cs="仿宋"/>
        <w:b/>
        <w:bCs/>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E45DAF"/>
    <w:multiLevelType w:val="singleLevel"/>
    <w:tmpl w:val="EBE45DAF"/>
    <w:lvl w:ilvl="0" w:tentative="0">
      <w:start w:val="3"/>
      <w:numFmt w:val="decimal"/>
      <w:suff w:val="nothing"/>
      <w:lvlText w:val="（%1）"/>
      <w:lvlJc w:val="left"/>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141165"/>
    <w:rsid w:val="01D53C37"/>
    <w:rsid w:val="02B80751"/>
    <w:rsid w:val="0324162C"/>
    <w:rsid w:val="034E7427"/>
    <w:rsid w:val="054637EC"/>
    <w:rsid w:val="05AA1AAE"/>
    <w:rsid w:val="05C20325"/>
    <w:rsid w:val="06FF4152"/>
    <w:rsid w:val="077C4D8B"/>
    <w:rsid w:val="07F211BC"/>
    <w:rsid w:val="0BA31992"/>
    <w:rsid w:val="0C63233E"/>
    <w:rsid w:val="0CD60C9A"/>
    <w:rsid w:val="0D020C26"/>
    <w:rsid w:val="0E88796A"/>
    <w:rsid w:val="0EC0759D"/>
    <w:rsid w:val="0ECB2A79"/>
    <w:rsid w:val="0EDF32A9"/>
    <w:rsid w:val="105B6A84"/>
    <w:rsid w:val="10BD0069"/>
    <w:rsid w:val="10E34450"/>
    <w:rsid w:val="11B55F0F"/>
    <w:rsid w:val="11E76B9F"/>
    <w:rsid w:val="12684593"/>
    <w:rsid w:val="126A7ED4"/>
    <w:rsid w:val="1320369B"/>
    <w:rsid w:val="13325751"/>
    <w:rsid w:val="135D040F"/>
    <w:rsid w:val="13621EEC"/>
    <w:rsid w:val="138564F0"/>
    <w:rsid w:val="13AA5E2B"/>
    <w:rsid w:val="13D73627"/>
    <w:rsid w:val="13E41600"/>
    <w:rsid w:val="150561D9"/>
    <w:rsid w:val="155263E9"/>
    <w:rsid w:val="15A52F2E"/>
    <w:rsid w:val="171E16A1"/>
    <w:rsid w:val="17C821C3"/>
    <w:rsid w:val="18C563ED"/>
    <w:rsid w:val="194A05B4"/>
    <w:rsid w:val="1AC66850"/>
    <w:rsid w:val="1B333E05"/>
    <w:rsid w:val="1B8D5C41"/>
    <w:rsid w:val="1E486234"/>
    <w:rsid w:val="1F012D15"/>
    <w:rsid w:val="1F6623C1"/>
    <w:rsid w:val="20304FD0"/>
    <w:rsid w:val="204E102B"/>
    <w:rsid w:val="213868ED"/>
    <w:rsid w:val="219A57C2"/>
    <w:rsid w:val="222840E4"/>
    <w:rsid w:val="22DF2C0B"/>
    <w:rsid w:val="238D0876"/>
    <w:rsid w:val="23973171"/>
    <w:rsid w:val="2419690F"/>
    <w:rsid w:val="241C1F5B"/>
    <w:rsid w:val="24BB6482"/>
    <w:rsid w:val="25E20893"/>
    <w:rsid w:val="275D3454"/>
    <w:rsid w:val="27D2138F"/>
    <w:rsid w:val="2805730B"/>
    <w:rsid w:val="28D94CC5"/>
    <w:rsid w:val="28E145A1"/>
    <w:rsid w:val="2901229F"/>
    <w:rsid w:val="29BC1BEA"/>
    <w:rsid w:val="2A962289"/>
    <w:rsid w:val="2B57444A"/>
    <w:rsid w:val="2BCD7650"/>
    <w:rsid w:val="2C6778DC"/>
    <w:rsid w:val="2C770D7D"/>
    <w:rsid w:val="2D5A65C5"/>
    <w:rsid w:val="2D7F55C2"/>
    <w:rsid w:val="2DEB62CF"/>
    <w:rsid w:val="2E922A59"/>
    <w:rsid w:val="2EB57CCE"/>
    <w:rsid w:val="2F811C83"/>
    <w:rsid w:val="2F9013C2"/>
    <w:rsid w:val="3156643E"/>
    <w:rsid w:val="318850D4"/>
    <w:rsid w:val="32087E75"/>
    <w:rsid w:val="32BC67A5"/>
    <w:rsid w:val="32D76267"/>
    <w:rsid w:val="33150BE9"/>
    <w:rsid w:val="332609ED"/>
    <w:rsid w:val="33433250"/>
    <w:rsid w:val="346A24A1"/>
    <w:rsid w:val="36336D3C"/>
    <w:rsid w:val="36705305"/>
    <w:rsid w:val="37664A4B"/>
    <w:rsid w:val="376A10BB"/>
    <w:rsid w:val="37D31B27"/>
    <w:rsid w:val="383D6089"/>
    <w:rsid w:val="3A3F6D53"/>
    <w:rsid w:val="3A5B3FA9"/>
    <w:rsid w:val="3A9F725A"/>
    <w:rsid w:val="3B2535D0"/>
    <w:rsid w:val="3B610285"/>
    <w:rsid w:val="3C3314A1"/>
    <w:rsid w:val="3C771D8C"/>
    <w:rsid w:val="3ED04B63"/>
    <w:rsid w:val="3F345B9D"/>
    <w:rsid w:val="3FC2791B"/>
    <w:rsid w:val="3FCD703E"/>
    <w:rsid w:val="403959A7"/>
    <w:rsid w:val="40E165AE"/>
    <w:rsid w:val="42B43088"/>
    <w:rsid w:val="44127729"/>
    <w:rsid w:val="444775FC"/>
    <w:rsid w:val="45330549"/>
    <w:rsid w:val="47D64CBF"/>
    <w:rsid w:val="486D2B74"/>
    <w:rsid w:val="48BA422E"/>
    <w:rsid w:val="49862862"/>
    <w:rsid w:val="49931748"/>
    <w:rsid w:val="4A103E4C"/>
    <w:rsid w:val="4B34396A"/>
    <w:rsid w:val="4B562B1E"/>
    <w:rsid w:val="4C900CC1"/>
    <w:rsid w:val="4D4E52B1"/>
    <w:rsid w:val="4E276751"/>
    <w:rsid w:val="4E486040"/>
    <w:rsid w:val="50120259"/>
    <w:rsid w:val="5096171E"/>
    <w:rsid w:val="50D0737A"/>
    <w:rsid w:val="50FD61CC"/>
    <w:rsid w:val="51AB7390"/>
    <w:rsid w:val="523C2AFA"/>
    <w:rsid w:val="52B30142"/>
    <w:rsid w:val="52B34A6D"/>
    <w:rsid w:val="535165EE"/>
    <w:rsid w:val="53EA4A51"/>
    <w:rsid w:val="545E3EDB"/>
    <w:rsid w:val="546A57C4"/>
    <w:rsid w:val="549A0AF6"/>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DD961EC"/>
    <w:rsid w:val="5EAE0D08"/>
    <w:rsid w:val="5F0919A4"/>
    <w:rsid w:val="60456754"/>
    <w:rsid w:val="617625B0"/>
    <w:rsid w:val="61817A1F"/>
    <w:rsid w:val="620F2B8A"/>
    <w:rsid w:val="62517FC0"/>
    <w:rsid w:val="62720114"/>
    <w:rsid w:val="627853EA"/>
    <w:rsid w:val="638C03E2"/>
    <w:rsid w:val="64481E81"/>
    <w:rsid w:val="645131D3"/>
    <w:rsid w:val="659C40EE"/>
    <w:rsid w:val="65E16585"/>
    <w:rsid w:val="66302E0F"/>
    <w:rsid w:val="672B0915"/>
    <w:rsid w:val="67AB00FD"/>
    <w:rsid w:val="67BE26CC"/>
    <w:rsid w:val="680A67C8"/>
    <w:rsid w:val="68837F16"/>
    <w:rsid w:val="68E07AEE"/>
    <w:rsid w:val="69006831"/>
    <w:rsid w:val="6A4A6515"/>
    <w:rsid w:val="6A640F76"/>
    <w:rsid w:val="6D5F0BEC"/>
    <w:rsid w:val="6DD00BA9"/>
    <w:rsid w:val="6E2C46FB"/>
    <w:rsid w:val="6F125D61"/>
    <w:rsid w:val="70642025"/>
    <w:rsid w:val="70DA5E1F"/>
    <w:rsid w:val="70F652BC"/>
    <w:rsid w:val="71407CFA"/>
    <w:rsid w:val="726C6ADB"/>
    <w:rsid w:val="74C46F43"/>
    <w:rsid w:val="751F4904"/>
    <w:rsid w:val="759706CC"/>
    <w:rsid w:val="75FE4E73"/>
    <w:rsid w:val="762941A2"/>
    <w:rsid w:val="76536B40"/>
    <w:rsid w:val="76D36788"/>
    <w:rsid w:val="77D53717"/>
    <w:rsid w:val="784D55E5"/>
    <w:rsid w:val="787B1678"/>
    <w:rsid w:val="7BAC692A"/>
    <w:rsid w:val="7C115EE7"/>
    <w:rsid w:val="7CD1281F"/>
    <w:rsid w:val="7D242C86"/>
    <w:rsid w:val="7D513B99"/>
    <w:rsid w:val="7DBE5B9D"/>
    <w:rsid w:val="7E1A6E9E"/>
    <w:rsid w:val="7E222CD9"/>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40"/>
    <w:qFormat/>
    <w:uiPriority w:val="0"/>
    <w:pPr>
      <w:jc w:val="left"/>
    </w:pPr>
  </w:style>
  <w:style w:type="paragraph" w:styleId="9">
    <w:name w:val="Body Text"/>
    <w:basedOn w:val="1"/>
    <w:next w:val="10"/>
    <w:qFormat/>
    <w:uiPriority w:val="0"/>
    <w:pPr>
      <w:jc w:val="center"/>
    </w:pPr>
    <w:rPr>
      <w:rFonts w:ascii="宋体"/>
      <w:b/>
      <w:sz w:val="48"/>
    </w:rPr>
  </w:style>
  <w:style w:type="paragraph" w:styleId="10">
    <w:name w:val="Body Text First Indent"/>
    <w:basedOn w:val="9"/>
    <w:next w:val="11"/>
    <w:unhideWhenUsed/>
    <w:qFormat/>
    <w:uiPriority w:val="99"/>
    <w:pPr>
      <w:ind w:firstLine="420" w:firstLineChars="100"/>
    </w:pPr>
  </w:style>
  <w:style w:type="paragraph" w:styleId="11">
    <w:name w:val="Body Text First Indent 2"/>
    <w:basedOn w:val="12"/>
    <w:next w:val="14"/>
    <w:unhideWhenUsed/>
    <w:qFormat/>
    <w:uiPriority w:val="99"/>
    <w:pPr>
      <w:ind w:firstLine="420" w:firstLineChars="200"/>
    </w:pPr>
  </w:style>
  <w:style w:type="paragraph" w:styleId="12">
    <w:name w:val="Body Text Indent"/>
    <w:basedOn w:val="1"/>
    <w:next w:val="13"/>
    <w:unhideWhenUsed/>
    <w:qFormat/>
    <w:uiPriority w:val="99"/>
    <w:pPr>
      <w:spacing w:after="120"/>
      <w:ind w:left="420" w:leftChars="200"/>
    </w:pPr>
    <w:rPr>
      <w:rFonts w:ascii="Times New Roman" w:hAnsi="Times New Roman" w:eastAsia="宋体" w:cs="Times New Roman"/>
      <w:szCs w:val="24"/>
    </w:rPr>
  </w:style>
  <w:style w:type="paragraph" w:styleId="13">
    <w:name w:val="footer"/>
    <w:basedOn w:val="1"/>
    <w:next w:val="11"/>
    <w:qFormat/>
    <w:uiPriority w:val="0"/>
    <w:pPr>
      <w:tabs>
        <w:tab w:val="center" w:pos="4153"/>
        <w:tab w:val="right" w:pos="8306"/>
      </w:tabs>
      <w:snapToGrid w:val="0"/>
      <w:jc w:val="left"/>
    </w:pPr>
    <w:rPr>
      <w:sz w:val="18"/>
    </w:rPr>
  </w:style>
  <w:style w:type="paragraph" w:styleId="14">
    <w:name w:val="List Continue"/>
    <w:basedOn w:val="1"/>
    <w:next w:val="10"/>
    <w:qFormat/>
    <w:uiPriority w:val="0"/>
    <w:pPr>
      <w:spacing w:after="120"/>
      <w:ind w:left="420" w:firstLine="3584"/>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2"/>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8"/>
    <w:next w:val="8"/>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8"/>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6"/>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List Paragraph"/>
    <w:basedOn w:val="1"/>
    <w:qFormat/>
    <w:uiPriority w:val="99"/>
    <w:pPr>
      <w:ind w:firstLine="420" w:firstLineChars="200"/>
    </w:pPr>
  </w:style>
  <w:style w:type="paragraph" w:customStyle="1" w:styleId="48">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26</Pages>
  <Words>9075</Words>
  <Characters>9856</Characters>
  <Lines>38</Lines>
  <Paragraphs>10</Paragraphs>
  <TotalTime>3</TotalTime>
  <ScaleCrop>false</ScaleCrop>
  <LinksUpToDate>false</LinksUpToDate>
  <CharactersWithSpaces>12416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师晓威</cp:lastModifiedBy>
  <cp:lastPrinted>2023-04-21T01:14:00Z</cp:lastPrinted>
  <dcterms:modified xsi:type="dcterms:W3CDTF">2026-06-26T10:50:13Z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eyJoZGlkIjoiZTI4ZTNlZmU0MmJjOWMyZDIwMWFjYzQ0NWE2ZjU3ODMiLCJ1c2VySWQiOiIxMjEwOTQzOTU3In0=</vt:lpwstr>
  </property>
  <property fmtid="{D5CDD505-2E9C-101B-9397-08002B2CF9AE}" pid="4" name="ICV">
    <vt:lpwstr>4F252C772D0345D2B1BF6AB12AD96200_12</vt:lpwstr>
  </property>
</Properties>
</file>