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黑体"/>
          <w:sz w:val="32"/>
          <w:szCs w:val="32"/>
        </w:rPr>
      </w:pPr>
      <w:r>
        <w:rPr>
          <w:rFonts w:hint="eastAsia" w:ascii="黑体" w:hAnsi="黑体" w:eastAsia="黑体" w:cs="黑体"/>
          <w:sz w:val="32"/>
          <w:szCs w:val="32"/>
        </w:rPr>
        <w:t>附件</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申请领取危险废物经营许可证</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证明材料清单</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p>
    <w:p>
      <w:pPr>
        <w:pStyle w:val="2"/>
        <w:spacing w:line="560" w:lineRule="exact"/>
        <w:ind w:firstLine="640" w:firstLineChars="200"/>
        <w:rPr>
          <w:rFonts w:hint="default" w:ascii="CESI黑体-GB2312" w:hAnsi="CESI黑体-GB2312" w:eastAsia="CESI黑体-GB2312" w:cs="CESI黑体-GB2312"/>
          <w:color w:val="auto"/>
        </w:rPr>
      </w:pPr>
      <w:r>
        <w:rPr>
          <w:rFonts w:ascii="CESI黑体-GB2312" w:hAnsi="CESI黑体-GB2312" w:eastAsia="CESI黑体-GB2312" w:cs="CESI黑体-GB2312"/>
          <w:snapToGrid w:val="0"/>
          <w:color w:val="auto"/>
          <w:sz w:val="32"/>
          <w:szCs w:val="32"/>
        </w:rPr>
        <w:t>一、医疗废物经营许可证材料清单</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仿宋" w:eastAsia="仿宋" w:cs="仿宋_GB2312"/>
          <w:snapToGrid w:val="0"/>
          <w:kern w:val="0"/>
          <w:sz w:val="32"/>
          <w:szCs w:val="32"/>
        </w:rPr>
        <w:t>（</w:t>
      </w:r>
      <w:r>
        <w:rPr>
          <w:rFonts w:ascii="仿宋" w:eastAsia="仿宋" w:cs="仿宋_GB2312"/>
          <w:snapToGrid w:val="0"/>
          <w:kern w:val="0"/>
          <w:sz w:val="32"/>
          <w:szCs w:val="32"/>
        </w:rPr>
        <w:t>一</w:t>
      </w:r>
      <w:r>
        <w:rPr>
          <w:rFonts w:hint="eastAsia" w:ascii="仿宋" w:eastAsia="仿宋" w:cs="仿宋_GB2312"/>
          <w:snapToGrid w:val="0"/>
          <w:kern w:val="0"/>
          <w:sz w:val="32"/>
          <w:szCs w:val="32"/>
        </w:rPr>
        <w:t>）</w:t>
      </w:r>
      <w:r>
        <w:rPr>
          <w:rFonts w:hint="eastAsia" w:ascii="楷体" w:eastAsia="楷体" w:cs="黑体"/>
          <w:snapToGrid w:val="0"/>
          <w:kern w:val="0"/>
          <w:sz w:val="32"/>
          <w:szCs w:val="32"/>
        </w:rPr>
        <w:t xml:space="preserve">有3名以上环境工程专业或者相关专业中级以上职称，并有3年以上固体废物污染治理经历的技术人员。需提供的证明材料：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1.环境工程或者化工、冶金、分析测试等相关专业技术人员的学历和学位证书、职称证书复印件。</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2.技术人员具有</w:t>
      </w:r>
      <w:r>
        <w:rPr>
          <w:rFonts w:ascii="仿宋" w:eastAsia="仿宋" w:cs="仿宋_GB2312"/>
          <w:snapToGrid w:val="0"/>
          <w:kern w:val="0"/>
          <w:sz w:val="32"/>
          <w:szCs w:val="32"/>
        </w:rPr>
        <w:t>3</w:t>
      </w:r>
      <w:r>
        <w:rPr>
          <w:rFonts w:hint="eastAsia" w:ascii="仿宋" w:eastAsia="仿宋" w:cs="仿宋_GB2312"/>
          <w:snapToGrid w:val="0"/>
          <w:kern w:val="0"/>
          <w:sz w:val="32"/>
          <w:szCs w:val="32"/>
        </w:rPr>
        <w:t>年以上固体废物污染治理经历的证明材料。</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3.技术人员与申请单位签订的劳动合同等能证明劳动关系的证明材料，如合同聘用文本及聘期、 合同期间社保证明等。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仿宋" w:eastAsia="仿宋" w:cs="仿宋_GB2312"/>
          <w:snapToGrid w:val="0"/>
          <w:kern w:val="0"/>
          <w:sz w:val="32"/>
          <w:szCs w:val="32"/>
        </w:rPr>
        <w:t>（</w:t>
      </w:r>
      <w:r>
        <w:rPr>
          <w:rFonts w:ascii="仿宋" w:eastAsia="仿宋" w:cs="仿宋_GB2312"/>
          <w:snapToGrid w:val="0"/>
          <w:kern w:val="0"/>
          <w:sz w:val="32"/>
          <w:szCs w:val="32"/>
        </w:rPr>
        <w:t>二</w:t>
      </w:r>
      <w:r>
        <w:rPr>
          <w:rFonts w:hint="eastAsia" w:ascii="仿宋" w:eastAsia="仿宋" w:cs="仿宋_GB2312"/>
          <w:snapToGrid w:val="0"/>
          <w:kern w:val="0"/>
          <w:sz w:val="32"/>
          <w:szCs w:val="32"/>
        </w:rPr>
        <w:t>）</w:t>
      </w:r>
      <w:r>
        <w:rPr>
          <w:rFonts w:hint="eastAsia" w:ascii="楷体" w:eastAsia="楷体" w:cs="黑体"/>
          <w:snapToGrid w:val="0"/>
          <w:kern w:val="0"/>
          <w:sz w:val="32"/>
          <w:szCs w:val="32"/>
        </w:rPr>
        <w:t>有符合国务院交通主管部门有关危险货物运输安全要求的运输工具。需提供的证明材料：</w:t>
      </w:r>
    </w:p>
    <w:p>
      <w:pPr>
        <w:autoSpaceDE w:val="0"/>
        <w:autoSpaceDN w:val="0"/>
        <w:adjustRightInd w:val="0"/>
        <w:snapToGrid w:val="0"/>
        <w:spacing w:line="560" w:lineRule="exact"/>
        <w:ind w:firstLine="640" w:firstLineChars="200"/>
        <w:rPr>
          <w:rFonts w:hint="eastAsia" w:ascii="仿宋" w:eastAsia="仿宋" w:cs="仿宋_GB2312"/>
          <w:snapToGrid w:val="0"/>
          <w:kern w:val="0"/>
          <w:sz w:val="32"/>
          <w:szCs w:val="32"/>
        </w:rPr>
      </w:pPr>
      <w:r>
        <w:rPr>
          <w:rFonts w:hint="eastAsia" w:ascii="仿宋" w:eastAsia="仿宋" w:cs="仿宋_GB2312"/>
          <w:snapToGrid w:val="0"/>
          <w:kern w:val="0"/>
          <w:sz w:val="32"/>
          <w:szCs w:val="32"/>
          <w:lang w:val="en-US" w:eastAsia="zh-CN"/>
        </w:rPr>
        <w:t>1.</w:t>
      </w:r>
      <w:r>
        <w:rPr>
          <w:rFonts w:hint="eastAsia" w:ascii="仿宋" w:eastAsia="仿宋" w:cs="仿宋_GB2312"/>
          <w:snapToGrid w:val="0"/>
          <w:kern w:val="0"/>
          <w:sz w:val="32"/>
          <w:szCs w:val="32"/>
        </w:rPr>
        <w:t>无危险货物运输资质的申请单位应提供与拥有相关危险货物运输资质的单位签订的运输协议（或合同）的复印件。</w:t>
      </w:r>
    </w:p>
    <w:p>
      <w:pPr>
        <w:pStyle w:val="2"/>
        <w:ind w:firstLine="640" w:firstLineChars="200"/>
        <w:rPr>
          <w:rFonts w:hint="eastAsia" w:eastAsia="仿宋"/>
          <w:lang w:eastAsia="zh-CN"/>
        </w:rPr>
      </w:pPr>
      <w:r>
        <w:rPr>
          <w:rFonts w:hint="eastAsia" w:ascii="仿宋" w:eastAsia="仿宋" w:cs="仿宋_GB2312"/>
          <w:snapToGrid w:val="0"/>
          <w:kern w:val="0"/>
          <w:sz w:val="32"/>
          <w:szCs w:val="32"/>
          <w:lang w:val="en-US" w:eastAsia="zh-CN"/>
        </w:rPr>
        <w:t>2.运输单位提供的</w:t>
      </w:r>
      <w:r>
        <w:rPr>
          <w:rFonts w:hint="eastAsia" w:ascii="仿宋" w:eastAsia="仿宋" w:cs="仿宋_GB2312"/>
          <w:snapToGrid w:val="0"/>
          <w:kern w:val="0"/>
          <w:sz w:val="32"/>
          <w:szCs w:val="32"/>
          <w:lang w:eastAsia="zh-CN"/>
        </w:rPr>
        <w:t>危险废物运输污染防治承诺书。</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仿宋" w:eastAsia="仿宋" w:cs="仿宋_GB2312"/>
          <w:snapToGrid w:val="0"/>
          <w:kern w:val="0"/>
          <w:sz w:val="32"/>
          <w:szCs w:val="32"/>
        </w:rPr>
        <w:t>（</w:t>
      </w:r>
      <w:r>
        <w:rPr>
          <w:rFonts w:ascii="仿宋" w:eastAsia="仿宋" w:cs="仿宋_GB2312"/>
          <w:snapToGrid w:val="0"/>
          <w:kern w:val="0"/>
          <w:sz w:val="32"/>
          <w:szCs w:val="32"/>
        </w:rPr>
        <w:t>三</w:t>
      </w:r>
      <w:r>
        <w:rPr>
          <w:rFonts w:hint="eastAsia" w:ascii="仿宋" w:eastAsia="仿宋" w:cs="仿宋_GB2312"/>
          <w:snapToGrid w:val="0"/>
          <w:kern w:val="0"/>
          <w:sz w:val="32"/>
          <w:szCs w:val="32"/>
        </w:rPr>
        <w:t>）</w:t>
      </w:r>
      <w:r>
        <w:rPr>
          <w:rFonts w:hint="eastAsia" w:ascii="楷体" w:eastAsia="楷体" w:cs="黑体"/>
          <w:snapToGrid w:val="0"/>
          <w:kern w:val="0"/>
          <w:sz w:val="32"/>
          <w:szCs w:val="32"/>
        </w:rPr>
        <w:t xml:space="preserve">有符合国家或者地方环境保护标准和安全要求的包装工具，中转和临时存放设施、设备以及经验收合格的贮存设施、设备。需提供的证明材料：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1.包装工具照片或图样及文字说明。医疗废物处理处置单位收集的医疗废物包装应符合《医疗废物专用包装袋、容器和警示标志标准》（HJ 421）的要求。</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2.中转和临时存放设施、设备以及贮存设施、设备的照片、设计文件及文字说明、施工报告等。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3.中转和临时存放设施、设备以及贮存设施的名称、贮存能力、数量、贮存危险废物的种类、其他技术参数。</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医疗废物处理处置单位应设置感染性、损伤性、病理性废物的贮存设施；若收集化学性、药物性废物还应设置专用贮存设施。贮存设施内应设置不同类别医疗废物的贮存区。</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感染性、损伤性、病理性废物贮存设施应设置微负压及通风装置、制冷系统和设备，排风口应设置废气净化装置。</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处理处置单位对感染性、损伤性、病理性废物的贮存应符合以下要求：（1）贮存温度≥5℃，贮存时间不得超过24小时；（2）贮存温度＜5℃，贮存时间不得超过72小时；（3）偏远地区贮存温度＜5℃，并采取消毒措施时，可适当延长贮存时间，但不得超过168小时。</w:t>
      </w:r>
    </w:p>
    <w:p>
      <w:pPr>
        <w:autoSpaceDE w:val="0"/>
        <w:autoSpaceDN w:val="0"/>
        <w:adjustRightInd w:val="0"/>
        <w:snapToGrid w:val="0"/>
        <w:spacing w:line="560" w:lineRule="exact"/>
        <w:ind w:firstLine="640" w:firstLineChars="200"/>
        <w:rPr>
          <w:rFonts w:ascii="楷体" w:eastAsia="楷体" w:cs="楷体"/>
          <w:snapToGrid w:val="0"/>
          <w:kern w:val="0"/>
          <w:sz w:val="32"/>
          <w:szCs w:val="32"/>
        </w:rPr>
      </w:pPr>
      <w:r>
        <w:rPr>
          <w:rFonts w:hint="eastAsia" w:ascii="楷体" w:eastAsia="楷体" w:cs="黑体"/>
          <w:snapToGrid w:val="0"/>
          <w:kern w:val="0"/>
          <w:sz w:val="32"/>
          <w:szCs w:val="32"/>
        </w:rPr>
        <w:t>（四）有符合国家或者省、自治区、直辖市危险废物处置设施建设规划，符合国家或者地方环境保护标准和安全要求的处置设施、设备和配套的污染防治设施。需提供的证明材料：</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1.《企业法人营业执照》复印件</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2.关于选址符合</w:t>
      </w:r>
      <w:r>
        <w:rPr>
          <w:rFonts w:ascii="Times New Roman" w:hAnsi="Times New Roman" w:eastAsia="仿宋_GB2312" w:cs="Times New Roman"/>
          <w:kern w:val="0"/>
          <w:sz w:val="32"/>
          <w:szCs w:val="32"/>
        </w:rPr>
        <w:t>《</w:t>
      </w:r>
      <w:r>
        <w:rPr>
          <w:rFonts w:hint="eastAsia" w:ascii="Times New Roman" w:hAnsi="Times New Roman" w:eastAsia="仿宋_GB2312" w:cs="Times New Roman"/>
          <w:kern w:val="0"/>
          <w:sz w:val="32"/>
          <w:szCs w:val="32"/>
        </w:rPr>
        <w:t>医疗废物处理处置污染控制标准</w:t>
      </w:r>
      <w:r>
        <w:rPr>
          <w:rFonts w:ascii="Times New Roman" w:hAnsi="Times New Roman" w:eastAsia="仿宋_GB2312" w:cs="Times New Roman"/>
          <w:kern w:val="0"/>
          <w:sz w:val="32"/>
          <w:szCs w:val="32"/>
        </w:rPr>
        <w:t>》（GB</w:t>
      </w:r>
      <w:r>
        <w:rPr>
          <w:rFonts w:hint="eastAsia" w:ascii="Times New Roman" w:hAnsi="Times New Roman" w:eastAsia="仿宋_GB2312" w:cs="Times New Roman"/>
          <w:kern w:val="0"/>
          <w:sz w:val="32"/>
          <w:szCs w:val="32"/>
        </w:rPr>
        <w:t>39707</w:t>
      </w:r>
      <w:r>
        <w:rPr>
          <w:rFonts w:ascii="Times New Roman" w:hAnsi="Times New Roman" w:eastAsia="仿宋_GB2312" w:cs="Times New Roman"/>
          <w:kern w:val="0"/>
          <w:sz w:val="32"/>
          <w:szCs w:val="32"/>
        </w:rPr>
        <w:t>-2020）</w:t>
      </w:r>
      <w:r>
        <w:rPr>
          <w:rFonts w:hint="eastAsia" w:ascii="仿宋" w:eastAsia="仿宋" w:cs="仿宋_GB2312"/>
          <w:snapToGrid w:val="0"/>
          <w:kern w:val="0"/>
          <w:sz w:val="32"/>
          <w:szCs w:val="32"/>
        </w:rPr>
        <w:t>等相关标准的材料。</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3.厂区平面布置图（应绘出：设施法定边界；进货和出货装置的地点；各危险废物处置设施、贮存设施、配套污染防治设施以及事故应急池、雨水收集池的位置、排污口位置、地下水监测井的位置等）。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危险废物经营单位应确保有足够道路空间，以保障在紧急状态下，相关的救援人员、消防、泄漏控制、去污设备通行无阻。</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 xml:space="preserve">4.处置设施、设备，以及配套污染防治设施的设计文件及文字说明。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5.环境影响评价文件</w:t>
      </w:r>
      <w:r>
        <w:rPr>
          <w:rFonts w:hint="eastAsia" w:ascii="仿宋" w:eastAsia="仿宋" w:cs="仿宋_GB2312"/>
          <w:snapToGrid w:val="0"/>
          <w:kern w:val="0"/>
          <w:sz w:val="32"/>
          <w:szCs w:val="32"/>
          <w:lang w:eastAsia="zh-CN"/>
        </w:rPr>
        <w:t>及批复文件</w:t>
      </w:r>
      <w:r>
        <w:rPr>
          <w:rFonts w:hint="eastAsia" w:ascii="仿宋" w:eastAsia="仿宋" w:cs="仿宋_GB2312"/>
          <w:snapToGrid w:val="0"/>
          <w:kern w:val="0"/>
          <w:sz w:val="32"/>
          <w:szCs w:val="32"/>
        </w:rPr>
        <w:t xml:space="preserve">的复印件。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6.现有设施近一年自行</w:t>
      </w:r>
      <w:r>
        <w:rPr>
          <w:rFonts w:hint="eastAsia" w:ascii="仿宋" w:eastAsia="仿宋" w:cs="仿宋_GB2312"/>
          <w:snapToGrid w:val="0"/>
          <w:kern w:val="0"/>
          <w:sz w:val="32"/>
          <w:szCs w:val="32"/>
          <w:lang w:eastAsia="zh-CN"/>
        </w:rPr>
        <w:t>检测</w:t>
      </w:r>
      <w:r>
        <w:rPr>
          <w:rFonts w:hint="eastAsia" w:ascii="仿宋" w:eastAsia="仿宋" w:cs="仿宋_GB2312"/>
          <w:snapToGrid w:val="0"/>
          <w:kern w:val="0"/>
          <w:sz w:val="32"/>
          <w:szCs w:val="32"/>
        </w:rPr>
        <w:t xml:space="preserve">报告。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7.现有医疗废物焚烧炉，应提供论证其符合</w:t>
      </w:r>
      <w:r>
        <w:rPr>
          <w:rFonts w:ascii="仿宋" w:eastAsia="仿宋" w:cs="仿宋_GB2312"/>
          <w:snapToGrid w:val="0"/>
          <w:kern w:val="0"/>
          <w:sz w:val="32"/>
          <w:szCs w:val="32"/>
        </w:rPr>
        <w:t>《</w:t>
      </w:r>
      <w:r>
        <w:rPr>
          <w:rFonts w:hint="eastAsia" w:ascii="仿宋" w:eastAsia="仿宋" w:cs="仿宋_GB2312"/>
          <w:snapToGrid w:val="0"/>
          <w:kern w:val="0"/>
          <w:sz w:val="32"/>
          <w:szCs w:val="32"/>
        </w:rPr>
        <w:t>医疗废物处理处置污染控制标准</w:t>
      </w:r>
      <w:r>
        <w:rPr>
          <w:rFonts w:ascii="仿宋" w:eastAsia="仿宋" w:cs="仿宋_GB2312"/>
          <w:snapToGrid w:val="0"/>
          <w:kern w:val="0"/>
          <w:sz w:val="32"/>
          <w:szCs w:val="32"/>
        </w:rPr>
        <w:t>》（GB</w:t>
      </w:r>
      <w:r>
        <w:rPr>
          <w:rFonts w:hint="eastAsia" w:ascii="仿宋" w:eastAsia="仿宋" w:cs="仿宋_GB2312"/>
          <w:snapToGrid w:val="0"/>
          <w:kern w:val="0"/>
          <w:sz w:val="32"/>
          <w:szCs w:val="32"/>
        </w:rPr>
        <w:t>39707</w:t>
      </w:r>
      <w:r>
        <w:rPr>
          <w:rFonts w:ascii="仿宋" w:eastAsia="仿宋" w:cs="仿宋_GB2312"/>
          <w:snapToGrid w:val="0"/>
          <w:kern w:val="0"/>
          <w:sz w:val="32"/>
          <w:szCs w:val="32"/>
        </w:rPr>
        <w:t>-2020）</w:t>
      </w:r>
      <w:r>
        <w:rPr>
          <w:rFonts w:hint="eastAsia" w:ascii="仿宋" w:eastAsia="仿宋" w:cs="仿宋_GB2312"/>
          <w:snapToGrid w:val="0"/>
          <w:kern w:val="0"/>
          <w:sz w:val="32"/>
          <w:szCs w:val="32"/>
        </w:rPr>
        <w:t xml:space="preserve">关于焚烧炉的技术性能指标（包括焚烧炉温度、烟气停留时间、燃烧效率、焚烧残渣的热灼减率等）、焚烧炉出口烟气中的氧气含量等的证明材料。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如为证明焚烧炉满足</w:t>
      </w:r>
      <w:r>
        <w:rPr>
          <w:rFonts w:ascii="Times New Roman" w:hAnsi="Times New Roman" w:eastAsia="仿宋_GB2312" w:cs="Times New Roman"/>
          <w:kern w:val="0"/>
          <w:sz w:val="32"/>
          <w:szCs w:val="32"/>
        </w:rPr>
        <w:t>《</w:t>
      </w:r>
      <w:r>
        <w:rPr>
          <w:rFonts w:hint="eastAsia" w:ascii="Times New Roman" w:hAnsi="Times New Roman" w:eastAsia="仿宋_GB2312" w:cs="Times New Roman"/>
          <w:kern w:val="0"/>
          <w:sz w:val="32"/>
          <w:szCs w:val="32"/>
        </w:rPr>
        <w:t>医疗废物处理处置污染控制标准</w:t>
      </w:r>
      <w:r>
        <w:rPr>
          <w:rFonts w:ascii="Times New Roman" w:hAnsi="Times New Roman" w:eastAsia="仿宋_GB2312" w:cs="Times New Roman"/>
          <w:kern w:val="0"/>
          <w:sz w:val="32"/>
          <w:szCs w:val="32"/>
        </w:rPr>
        <w:t>》</w:t>
      </w:r>
      <w:r>
        <w:rPr>
          <w:rFonts w:hint="eastAsia" w:ascii="仿宋" w:eastAsia="仿宋" w:cs="仿宋_GB2312"/>
          <w:snapToGrid w:val="0"/>
          <w:kern w:val="0"/>
          <w:sz w:val="32"/>
          <w:szCs w:val="32"/>
        </w:rPr>
        <w:t>关于温度大于850℃要求，应当提供焚烧炉的设计温度、实际运行温度（对已运行设施）、耐火材料的规格（如能够耐受的温度范围）；书面解释如何控制氧气浓度使之满足</w:t>
      </w:r>
      <w:r>
        <w:rPr>
          <w:rFonts w:ascii="Times New Roman" w:hAnsi="Times New Roman" w:eastAsia="仿宋_GB2312" w:cs="Times New Roman"/>
          <w:kern w:val="0"/>
          <w:sz w:val="32"/>
          <w:szCs w:val="32"/>
        </w:rPr>
        <w:t>《</w:t>
      </w:r>
      <w:r>
        <w:rPr>
          <w:rFonts w:hint="eastAsia" w:ascii="Times New Roman" w:hAnsi="Times New Roman" w:eastAsia="仿宋_GB2312" w:cs="Times New Roman"/>
          <w:kern w:val="0"/>
          <w:sz w:val="32"/>
          <w:szCs w:val="32"/>
        </w:rPr>
        <w:t>医疗废物处理处置污染控制标准</w:t>
      </w:r>
      <w:r>
        <w:rPr>
          <w:rFonts w:ascii="Times New Roman" w:hAnsi="Times New Roman" w:eastAsia="仿宋_GB2312" w:cs="Times New Roman"/>
          <w:kern w:val="0"/>
          <w:sz w:val="32"/>
          <w:szCs w:val="32"/>
        </w:rPr>
        <w:t>》</w:t>
      </w:r>
      <w:r>
        <w:rPr>
          <w:rFonts w:hint="eastAsia" w:ascii="仿宋" w:eastAsia="仿宋" w:cs="仿宋_GB2312"/>
          <w:snapToGrid w:val="0"/>
          <w:kern w:val="0"/>
          <w:sz w:val="32"/>
          <w:szCs w:val="32"/>
        </w:rPr>
        <w:t>关于焚烧炉出口烟气中的氧气含量应为</w:t>
      </w:r>
      <w:r>
        <w:rPr>
          <w:rFonts w:ascii="仿宋" w:eastAsia="仿宋" w:cs="仿宋_GB2312"/>
          <w:snapToGrid w:val="0"/>
          <w:kern w:val="0"/>
          <w:sz w:val="32"/>
          <w:szCs w:val="32"/>
        </w:rPr>
        <w:t>6</w:t>
      </w:r>
      <w:r>
        <w:rPr>
          <w:rFonts w:hint="eastAsia" w:ascii="仿宋" w:eastAsia="仿宋" w:cs="仿宋_GB2312"/>
          <w:snapToGrid w:val="0"/>
          <w:kern w:val="0"/>
          <w:sz w:val="32"/>
          <w:szCs w:val="32"/>
        </w:rPr>
        <w:t>％－15％（干气）的要求。</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8.新建医疗废物焚烧炉，应提供试焚烧方案及期限（一般不得超过一年）以及试焚烧结果的报告。</w:t>
      </w:r>
      <w:r>
        <w:rPr>
          <w:rFonts w:ascii="仿宋" w:eastAsia="仿宋" w:cs="仿宋_GB2312"/>
          <w:snapToGrid w:val="0"/>
          <w:kern w:val="0"/>
          <w:sz w:val="32"/>
          <w:szCs w:val="32"/>
        </w:rPr>
        <w:t xml:space="preserve"> </w:t>
      </w:r>
    </w:p>
    <w:p>
      <w:pPr>
        <w:suppressAutoHyphens/>
        <w:autoSpaceDE w:val="0"/>
        <w:autoSpaceDN w:val="0"/>
        <w:adjustRightInd w:val="0"/>
        <w:snapToGrid w:val="0"/>
        <w:spacing w:line="560" w:lineRule="exact"/>
        <w:ind w:firstLine="640" w:firstLineChars="200"/>
      </w:pPr>
      <w:r>
        <w:rPr>
          <w:rFonts w:hint="eastAsia" w:ascii="仿宋" w:eastAsia="仿宋" w:cs="仿宋_GB2312"/>
          <w:snapToGrid w:val="0"/>
          <w:kern w:val="0"/>
          <w:sz w:val="32"/>
          <w:szCs w:val="32"/>
        </w:rPr>
        <w:t>9.分析实验仪器的名称、照片或图纸、文字说明、用途以及所能分析和监测的项目。</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10.有关应急装备、设施和器材的清单，包括种类、名称、数量、存放位置、规格、性能、用途和用法等信息。</w:t>
      </w:r>
    </w:p>
    <w:p>
      <w:pPr>
        <w:suppressAutoHyphens/>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11.建设项目工程质量和安全验收的相关证明材料。</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楷体" w:eastAsia="楷体" w:cs="黑体"/>
          <w:snapToGrid w:val="0"/>
          <w:kern w:val="0"/>
          <w:sz w:val="32"/>
          <w:szCs w:val="32"/>
        </w:rPr>
        <w:t xml:space="preserve">（五）有与所经营的危险废物类别相适应的处置技术和工艺。需提供的证明材料：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1.详细描述危险废物预处理和处置工艺及操作要求。</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2.危险废物预处理和处置主要设备的名称、规格型号、设计能力、数量、其他技术参数。</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3.危险废物预处理和处置主要设备所能预处理和处置的废物名称、类别、形态和危险特性。</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楷体" w:eastAsia="楷体" w:cs="黑体"/>
          <w:snapToGrid w:val="0"/>
          <w:kern w:val="0"/>
          <w:sz w:val="32"/>
          <w:szCs w:val="32"/>
        </w:rPr>
        <w:t>（六）有保证危险废物经营安全的规章制度、污染防治措施和事故应急救援措施。需提供的证明材料：</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1.安保措施。危险废物经营单位应当防止无关人员进入厂区，特别是危险废物利用处置区。比如：控制进入危险废物贮存、处置设施的安全措施。如设置</w:t>
      </w:r>
      <w:r>
        <w:rPr>
          <w:rFonts w:ascii="仿宋" w:eastAsia="仿宋" w:cs="仿宋_GB2312"/>
          <w:snapToGrid w:val="0"/>
          <w:kern w:val="0"/>
          <w:sz w:val="32"/>
          <w:szCs w:val="32"/>
        </w:rPr>
        <w:t>24</w:t>
      </w:r>
      <w:r>
        <w:rPr>
          <w:rFonts w:hint="eastAsia" w:ascii="仿宋" w:eastAsia="仿宋" w:cs="仿宋_GB2312"/>
          <w:snapToGrid w:val="0"/>
          <w:kern w:val="0"/>
          <w:sz w:val="32"/>
          <w:szCs w:val="32"/>
        </w:rPr>
        <w:t>小时监控系统，对进出危险废物贮存、处置设施进行不间断监控；或在危险废物贮存、处置设施周围设置人工或天然的障碍物（如栅栏），控制出入等等。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2.内部监督管理措施和制度。为及时纠正问题防止危害环境和人体健康，危险废物经营单位应当制定检查方案，针对可能导致危险废物组分泄漏到环境中，以及对人体健康造成威胁的设备故障和老化，操作错误，有意或无意的危险废物溢出、泄漏等情况，以及预防、侦测或应对有关环境或人体健康威胁的重要设施和设备（如监测设备、安全及应急设备、保安设施、操作设备（如泵）等）进行检查。检查方案应当包括拟检查的问题类型及检查频率。如：对危险废物装卸区等易发生泄漏的区域是否存在泄漏，焚烧炉及附属设备（如泵、阀门、传送设施、管道）是否存在泄漏和无组织排放（可肉眼观察）等每天至少检查一次。对防火通道是否畅通，去污设备是否充足等每周至少检查一次等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3.意外突发事故应急救援措施、相关设备及备案情况。可参见《危险废物经营单位编制应急预案指南》（原国家环境保护总局公告2007年第48号）和《环境保护部关于贯彻实施&lt;突发环境事件应急预案管理办法&gt;的通知》（环办函[2011]379号）。</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4.有关预防风险的措施（包括相关应对程序和硬件设施）。如：在危险废物装卸操作时预防风险的措施（如特殊的叉车）。防止危险废物处理区域的废水流入其他区域或环境中，以及防止雨水侵入危险废物处理区域的措施（如排水沟或阻水堤）。防止污染水源的措施。降低设备故障或断电影响的措施。防止人体不适当暴露于危险废物的措施（如防护服、呼吸器、防毒面具、防毒口罩、安全帽、防酸碱手套及长统靴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5.人员培训制度。危险废物经营单位应当清晰描述涉及危险废物管理的每个岗位的职责，并依此制定各个岗位从业人员的培训计划，培训计划应当包括针对该岗位的危险废物管理程序和应急预案的实施等。培训可分为课堂培训和现场操作培训。</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应急培训应当使得受训人员能够有效地应对紧急状态。这要求受训人员熟悉：（1）应急程序、应急设备、应急系统，包括使用、检查、修理和更换设施内应急及监测设备的程序；（2）自动进料切断系统的主要参数；（3）通讯联络或警报系统；（4）火灾或爆炸的应对；（5）地表水污染事件的应对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6.环境监测制度。危险废物经营单位应当制定环境监测方案，对废水处理、大气污染物排放、噪声、地下水等定期监测。环境监测方案应确定监测指标和频率。危险废物经营单位自行监测的，还应当制定监测仪器的维护和标定方案，定期维护，标定并记录结果。</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7.新产生危险废物的管理计划。</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8.发生意外突发事件或正常操作下，造成土壤等环境污染时消除污染的保障措施。</w:t>
      </w:r>
      <w:r>
        <w:rPr>
          <w:rFonts w:ascii="仿宋" w:eastAsia="仿宋" w:cs="仿宋_GB2312"/>
          <w:snapToGrid w:val="0"/>
          <w:kern w:val="0"/>
          <w:sz w:val="32"/>
          <w:szCs w:val="32"/>
        </w:rPr>
        <w:t xml:space="preserve"> </w:t>
      </w:r>
    </w:p>
    <w:p>
      <w:pPr>
        <w:suppressAutoHyphens/>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9.废物分析方案/制度。</w:t>
      </w:r>
    </w:p>
    <w:p>
      <w:pPr>
        <w:suppressAutoHyphens/>
        <w:autoSpaceDE w:val="0"/>
        <w:autoSpaceDN w:val="0"/>
        <w:adjustRightInd w:val="0"/>
        <w:snapToGrid w:val="0"/>
        <w:spacing w:line="560" w:lineRule="exact"/>
        <w:ind w:firstLine="640" w:firstLineChars="200"/>
        <w:rPr>
          <w:rFonts w:hint="eastAsia" w:ascii="仿宋" w:eastAsia="仿宋" w:cs="仿宋_GB2312"/>
          <w:snapToGrid w:val="0"/>
          <w:kern w:val="0"/>
          <w:sz w:val="32"/>
          <w:szCs w:val="32"/>
        </w:rPr>
      </w:pPr>
      <w:r>
        <w:rPr>
          <w:rFonts w:hint="eastAsia" w:ascii="仿宋" w:eastAsia="仿宋" w:cs="仿宋_GB2312"/>
          <w:snapToGrid w:val="0"/>
          <w:kern w:val="0"/>
          <w:sz w:val="32"/>
          <w:szCs w:val="32"/>
        </w:rPr>
        <w:t>10.关于易燃性、反应性和不相容废物的特别防范措施。</w:t>
      </w:r>
    </w:p>
    <w:p>
      <w:pPr>
        <w:suppressAutoHyphens/>
        <w:autoSpaceDE w:val="0"/>
        <w:autoSpaceDN w:val="0"/>
        <w:adjustRightInd w:val="0"/>
        <w:snapToGrid w:val="0"/>
        <w:spacing w:line="560" w:lineRule="exact"/>
        <w:ind w:firstLine="640" w:firstLineChars="200"/>
        <w:rPr>
          <w:rFonts w:ascii="CESI黑体-GB2312" w:hAnsi="CESI黑体-GB2312" w:eastAsia="CESI黑体-GB2312" w:cs="CESI黑体-GB2312"/>
          <w:snapToGrid w:val="0"/>
          <w:color w:val="auto"/>
          <w:sz w:val="32"/>
          <w:szCs w:val="32"/>
        </w:rPr>
      </w:pPr>
      <w:r>
        <w:rPr>
          <w:rFonts w:hint="eastAsia" w:ascii="仿宋" w:eastAsia="仿宋" w:cs="仿宋_GB2312"/>
          <w:snapToGrid w:val="0"/>
          <w:kern w:val="0"/>
          <w:sz w:val="32"/>
          <w:szCs w:val="32"/>
          <w:lang w:val="en-US" w:eastAsia="zh-CN"/>
        </w:rPr>
        <w:t>11.“五即”规范化建设情况。即危险废物须做到“即产生、即包装、即称重、即打码、即入库”，并通过唯一二维码实现“一码贯通”全过程追溯。</w:t>
      </w:r>
      <w:bookmarkStart w:id="0" w:name="_GoBack"/>
      <w:bookmarkEnd w:id="0"/>
    </w:p>
    <w:p>
      <w:pPr>
        <w:pStyle w:val="2"/>
        <w:spacing w:line="560" w:lineRule="exact"/>
        <w:ind w:firstLine="640" w:firstLineChars="200"/>
        <w:rPr>
          <w:rFonts w:hint="default" w:ascii="CESI黑体-GB2312" w:hAnsi="CESI黑体-GB2312" w:eastAsia="CESI黑体-GB2312" w:cs="CESI黑体-GB2312"/>
          <w:snapToGrid w:val="0"/>
          <w:color w:val="auto"/>
          <w:sz w:val="32"/>
          <w:szCs w:val="32"/>
        </w:rPr>
      </w:pPr>
      <w:r>
        <w:rPr>
          <w:rFonts w:ascii="CESI黑体-GB2312" w:hAnsi="CESI黑体-GB2312" w:eastAsia="CESI黑体-GB2312" w:cs="CESI黑体-GB2312"/>
          <w:snapToGrid w:val="0"/>
          <w:color w:val="auto"/>
          <w:sz w:val="32"/>
          <w:szCs w:val="32"/>
        </w:rPr>
        <w:t>二、危险废物收集许可证材料清单</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楷体" w:eastAsia="楷体" w:cs="黑体"/>
          <w:snapToGrid w:val="0"/>
          <w:kern w:val="0"/>
          <w:sz w:val="32"/>
          <w:szCs w:val="32"/>
        </w:rPr>
        <w:t xml:space="preserve">（一）具备独立法人资格； </w:t>
      </w:r>
    </w:p>
    <w:p>
      <w:pPr>
        <w:autoSpaceDE w:val="0"/>
        <w:autoSpaceDN w:val="0"/>
        <w:adjustRightInd w:val="0"/>
        <w:snapToGrid w:val="0"/>
        <w:spacing w:line="560" w:lineRule="exact"/>
        <w:ind w:firstLine="640" w:firstLineChars="200"/>
        <w:rPr>
          <w:rFonts w:ascii="Times New Roman" w:hAnsi="Times New Roman" w:eastAsia="仿宋_GB2312"/>
          <w:b/>
          <w:bCs/>
          <w:sz w:val="32"/>
          <w:szCs w:val="32"/>
          <w:shd w:val="clear" w:color="auto" w:fill="FFFFFF"/>
          <w:lang w:bidi="ar"/>
        </w:rPr>
      </w:pPr>
      <w:r>
        <w:rPr>
          <w:rFonts w:hint="eastAsia" w:ascii="仿宋" w:eastAsia="仿宋" w:cs="仿宋_GB2312"/>
          <w:snapToGrid w:val="0"/>
          <w:kern w:val="0"/>
          <w:sz w:val="32"/>
          <w:szCs w:val="32"/>
        </w:rPr>
        <w:t>《企业法人营业执照》复印件</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楷体" w:eastAsia="楷体" w:cs="黑体"/>
          <w:snapToGrid w:val="0"/>
          <w:kern w:val="0"/>
          <w:sz w:val="32"/>
          <w:szCs w:val="32"/>
        </w:rPr>
        <w:t>（二）有1名以上环境工程专业或者相关专业中级以上职称的专职技术人员；</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1.环境工程或者化工、冶金、分析测试等相关专业技术人员的学历和学位证书、职称证书复印件。</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Times New Roman" w:hAnsi="Times New Roman" w:eastAsia="仿宋_GB2312"/>
          <w:sz w:val="32"/>
          <w:szCs w:val="32"/>
        </w:rPr>
      </w:pPr>
      <w:r>
        <w:rPr>
          <w:rFonts w:hint="eastAsia" w:ascii="仿宋" w:eastAsia="仿宋" w:cs="仿宋_GB2312"/>
          <w:snapToGrid w:val="0"/>
          <w:kern w:val="0"/>
          <w:sz w:val="32"/>
          <w:szCs w:val="32"/>
        </w:rPr>
        <w:t>2.技术人员与申请单位签订的劳动合同等能证明劳动关系的证明材料，如合同聘用文本及聘期、合同期间社保证明等。</w:t>
      </w:r>
      <w:r>
        <w:rPr>
          <w:rFonts w:ascii="仿宋" w:eastAsia="仿宋" w:cs="仿宋_GB2312"/>
          <w:snapToGrid w:val="0"/>
          <w:kern w:val="0"/>
          <w:sz w:val="32"/>
          <w:szCs w:val="32"/>
        </w:rPr>
        <w:t xml:space="preserve"> </w:t>
      </w:r>
    </w:p>
    <w:p>
      <w:pPr>
        <w:pStyle w:val="6"/>
        <w:widowControl/>
        <w:spacing w:before="0" w:beforeAutospacing="0" w:after="0" w:afterAutospacing="0" w:line="560" w:lineRule="exact"/>
        <w:ind w:firstLine="640" w:firstLineChars="200"/>
        <w:jc w:val="both"/>
        <w:rPr>
          <w:rFonts w:ascii="Times New Roman" w:hAnsi="Times New Roman" w:eastAsia="仿宋_GB2312"/>
          <w:b/>
          <w:bCs/>
          <w:sz w:val="32"/>
          <w:szCs w:val="32"/>
          <w:shd w:val="clear" w:color="auto" w:fill="FFFFFF"/>
          <w:lang w:bidi="ar"/>
        </w:rPr>
      </w:pPr>
      <w:r>
        <w:rPr>
          <w:rFonts w:hint="eastAsia" w:ascii="楷体" w:eastAsia="楷体" w:cs="黑体"/>
          <w:snapToGrid w:val="0"/>
          <w:sz w:val="32"/>
          <w:szCs w:val="32"/>
        </w:rPr>
        <w:t>（三）有与所从事的危险废物收集类别、能力相适应的，符合国家或者地方环境保护标准要求的贮存场所、设施、设备、包装和配套的污染防治设施；</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1.包装工具照片或图样及文字说明。</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2.厂区平面布置图（应绘出：设施法定边界；进货和出货装置的地点；各危险废物处置设施、贮存设施、配套污染防治设施以及事故应急池、雨水收集池的位置、排污口位置、地下水监测井的位置等）。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危险废物经营单位应确保有足够道路空间，以保障在紧急状态下，相关的救援人员、消防、泄漏控制、去污设备通行无阻。</w:t>
      </w:r>
      <w:r>
        <w:rPr>
          <w:rFonts w:ascii="仿宋" w:eastAsia="仿宋" w:cs="仿宋_GB2312"/>
          <w:snapToGrid w:val="0"/>
          <w:kern w:val="0"/>
          <w:sz w:val="32"/>
          <w:szCs w:val="32"/>
        </w:rPr>
        <w:t xml:space="preserve"> </w:t>
      </w:r>
    </w:p>
    <w:p>
      <w:pPr>
        <w:pStyle w:val="2"/>
        <w:spacing w:line="560" w:lineRule="exact"/>
        <w:ind w:firstLine="640" w:firstLineChars="200"/>
        <w:jc w:val="both"/>
        <w:rPr>
          <w:rFonts w:hint="default" w:ascii="仿宋" w:hAnsi="Calibri" w:eastAsia="仿宋" w:cs="仿宋_GB2312"/>
          <w:snapToGrid w:val="0"/>
          <w:color w:val="auto"/>
          <w:sz w:val="32"/>
          <w:szCs w:val="32"/>
        </w:rPr>
      </w:pPr>
      <w:r>
        <w:rPr>
          <w:rFonts w:ascii="仿宋" w:hAnsi="Calibri" w:eastAsia="仿宋" w:cs="仿宋_GB2312"/>
          <w:snapToGrid w:val="0"/>
          <w:color w:val="auto"/>
          <w:sz w:val="32"/>
          <w:szCs w:val="32"/>
        </w:rPr>
        <w:t>临时存放设施符合《危险废物贮存污染控制标准》（GB18597-2001）的贮存设施图纸（平面图、泄露液体收集装置示意图、气体导出口和净化系统示意图以及防渗系统的设计图）和文字说明材料，尤其要说明贮存设施防渗系统所使用的材质及其防渗系数（废矿物油贮存需为罐装设施）。</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3.处置设施、设备，以及配套污染防治设施的设计文件及文字说明。</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4.环境影响评价文件及批复的复印件</w:t>
      </w:r>
      <w:r>
        <w:rPr>
          <w:rFonts w:hint="eastAsia" w:ascii="仿宋" w:eastAsia="仿宋" w:cs="宋体"/>
          <w:snapToGrid w:val="0"/>
          <w:spacing w:val="15"/>
          <w:kern w:val="0"/>
          <w:sz w:val="32"/>
          <w:szCs w:val="44"/>
        </w:rPr>
        <w:t>。</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5.现有设施最近一年内的监督性监测报告的复印件。提供企业自行监测报告的，应当提供关于其符合相关监测质量要求的证明材料。</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6.有关应急装备、设施和器材的清单，包括种类、名称、数量、存放位置、规格、性能、用途和用法等信息。</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7.建设项目工程质量、消防、安全验收合格的证明材料。</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楷体" w:eastAsia="楷体" w:cs="黑体"/>
          <w:snapToGrid w:val="0"/>
          <w:kern w:val="0"/>
          <w:sz w:val="32"/>
          <w:szCs w:val="32"/>
        </w:rPr>
        <w:t>（四）有符合国务院交通主管部门有关危险货物运输安全要求的运输工具。需提供的证明材料：</w:t>
      </w:r>
    </w:p>
    <w:p>
      <w:pPr>
        <w:autoSpaceDE w:val="0"/>
        <w:autoSpaceDN w:val="0"/>
        <w:adjustRightInd w:val="0"/>
        <w:snapToGrid w:val="0"/>
        <w:spacing w:line="560" w:lineRule="exact"/>
        <w:ind w:firstLine="640" w:firstLineChars="200"/>
        <w:rPr>
          <w:rFonts w:hint="eastAsia" w:ascii="仿宋" w:eastAsia="仿宋" w:cs="仿宋_GB2312"/>
          <w:snapToGrid w:val="0"/>
          <w:kern w:val="0"/>
          <w:sz w:val="32"/>
          <w:szCs w:val="32"/>
        </w:rPr>
      </w:pPr>
      <w:r>
        <w:rPr>
          <w:rFonts w:hint="eastAsia" w:ascii="仿宋" w:eastAsia="仿宋" w:cs="仿宋_GB2312"/>
          <w:snapToGrid w:val="0"/>
          <w:kern w:val="0"/>
          <w:sz w:val="32"/>
          <w:szCs w:val="32"/>
          <w:lang w:val="en-US" w:eastAsia="zh-CN"/>
        </w:rPr>
        <w:t>1.</w:t>
      </w:r>
      <w:r>
        <w:rPr>
          <w:rFonts w:hint="eastAsia" w:ascii="仿宋" w:eastAsia="仿宋" w:cs="仿宋_GB2312"/>
          <w:snapToGrid w:val="0"/>
          <w:kern w:val="0"/>
          <w:sz w:val="32"/>
          <w:szCs w:val="32"/>
        </w:rPr>
        <w:t>无危险货物运输资质的申请单位应提供与拥有相关危险货物运输资质的单位签订的运输协议（或合同）的复印件。</w:t>
      </w:r>
    </w:p>
    <w:p>
      <w:pPr>
        <w:pStyle w:val="2"/>
        <w:ind w:firstLine="640" w:firstLineChars="200"/>
        <w:rPr>
          <w:rFonts w:hint="eastAsia" w:eastAsia="仿宋"/>
          <w:lang w:eastAsia="zh-CN"/>
        </w:rPr>
      </w:pPr>
      <w:r>
        <w:rPr>
          <w:rFonts w:hint="eastAsia" w:ascii="仿宋" w:eastAsia="仿宋" w:cs="仿宋_GB2312"/>
          <w:snapToGrid w:val="0"/>
          <w:kern w:val="0"/>
          <w:sz w:val="32"/>
          <w:szCs w:val="32"/>
          <w:lang w:val="en-US" w:eastAsia="zh-CN"/>
        </w:rPr>
        <w:t>2.运输单位提供的</w:t>
      </w:r>
      <w:r>
        <w:rPr>
          <w:rFonts w:hint="eastAsia" w:ascii="仿宋" w:eastAsia="仿宋" w:cs="仿宋_GB2312"/>
          <w:snapToGrid w:val="0"/>
          <w:kern w:val="0"/>
          <w:sz w:val="32"/>
          <w:szCs w:val="32"/>
          <w:lang w:eastAsia="zh-CN"/>
        </w:rPr>
        <w:t>危险废物运输污染防治承诺书。</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楷体" w:eastAsia="楷体" w:cs="黑体"/>
          <w:snapToGrid w:val="0"/>
          <w:kern w:val="0"/>
          <w:sz w:val="32"/>
          <w:szCs w:val="32"/>
        </w:rPr>
        <w:t>（五）有配套的危险废物环境管理规章制度、污染防治措施和突发环境事件应急救援措施。</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1.安保措施。危险废物经营单位应当防止无关人员进入厂区，特别是危险废物利用处置区。比如：控制进入危险废物贮存、处置设施的安全措施。如设置</w:t>
      </w:r>
      <w:r>
        <w:rPr>
          <w:rFonts w:ascii="仿宋" w:eastAsia="仿宋" w:cs="仿宋_GB2312"/>
          <w:snapToGrid w:val="0"/>
          <w:kern w:val="0"/>
          <w:sz w:val="32"/>
          <w:szCs w:val="32"/>
        </w:rPr>
        <w:t>24</w:t>
      </w:r>
      <w:r>
        <w:rPr>
          <w:rFonts w:hint="eastAsia" w:ascii="仿宋" w:eastAsia="仿宋" w:cs="仿宋_GB2312"/>
          <w:snapToGrid w:val="0"/>
          <w:kern w:val="0"/>
          <w:sz w:val="32"/>
          <w:szCs w:val="32"/>
        </w:rPr>
        <w:t>小时监控系统，对进出危险废物贮存、处置设施进行不间断监控；或在危险废物贮存、处置设施周围设置人工或天然的障碍物（如栅栏），控制出入等等。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2.内部监督管理措施和制度。为及时纠正问题防止危害环境和人体健康，危险废物经营单位应当制定检查方案，针对可能导致危险废物组分泄漏到环境中，以及对人体健康造成威胁的设备故障和老化，操作错误，有意或无意的危险废物溢出、泄漏等情况，以及预防、侦测或应对有关环境或人体健康威胁的重要设施和设备（如监测设备、安全及应急设备、保安设施、操作设备（如泵）等）进行检查。检查方案应当包括拟检查的问题类型及检查频率。如：对危险废物装卸区等易发生泄漏的区域是否存在泄漏，焚烧炉及附属设备（如泵、阀门、传送设施、管道）是否存在泄漏和无组织排放（可肉眼观察）等每天至少检查一次。对防火通道是否畅通，去污设备是否充足等每周至少检查一次等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3.意外突发事故应急救援措施、相关设备及备案情况。可参见《危险废物经营单位编制应急预案指南》（原国家环境保护总局公告</w:t>
      </w:r>
      <w:r>
        <w:rPr>
          <w:rFonts w:ascii="仿宋" w:eastAsia="仿宋" w:cs="仿宋_GB2312"/>
          <w:snapToGrid w:val="0"/>
          <w:kern w:val="0"/>
          <w:sz w:val="32"/>
          <w:szCs w:val="32"/>
        </w:rPr>
        <w:t>2007</w:t>
      </w:r>
      <w:r>
        <w:rPr>
          <w:rFonts w:hint="eastAsia" w:ascii="仿宋" w:eastAsia="仿宋" w:cs="仿宋_GB2312"/>
          <w:snapToGrid w:val="0"/>
          <w:kern w:val="0"/>
          <w:sz w:val="32"/>
          <w:szCs w:val="32"/>
        </w:rPr>
        <w:t>年第</w:t>
      </w:r>
      <w:r>
        <w:rPr>
          <w:rFonts w:ascii="仿宋" w:eastAsia="仿宋" w:cs="仿宋_GB2312"/>
          <w:snapToGrid w:val="0"/>
          <w:kern w:val="0"/>
          <w:sz w:val="32"/>
          <w:szCs w:val="32"/>
        </w:rPr>
        <w:t>48</w:t>
      </w:r>
      <w:r>
        <w:rPr>
          <w:rFonts w:hint="eastAsia" w:ascii="仿宋" w:eastAsia="仿宋" w:cs="仿宋_GB2312"/>
          <w:snapToGrid w:val="0"/>
          <w:kern w:val="0"/>
          <w:sz w:val="32"/>
          <w:szCs w:val="32"/>
        </w:rPr>
        <w:t>号）和</w:t>
      </w:r>
      <w:r>
        <w:rPr>
          <w:rFonts w:hint="eastAsia" w:ascii="仿宋" w:eastAsia="仿宋" w:cs="Times New Roman"/>
          <w:snapToGrid w:val="0"/>
          <w:kern w:val="0"/>
          <w:sz w:val="32"/>
        </w:rPr>
        <w:t>《环境保护部关于贯彻实施&lt;突发环境事件应急预案管理办法&gt;的通知》（环办函[2011]379号）。</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4.有关预防风险的措施（包括相关应对程序和硬件设施）。如：在危险废物装卸操作时预防风险的措施（如特殊的叉车）。防止危险废物处理区域的废水流入其他区域或环境中，以及防止雨水侵入危险废物处理区域的措施（如排水沟或阻水堤）。防止污染水源的措施。降低设备故障或断电影响的措施。防止人体不适当暴露于危险废物的措施（如防护服、呼吸器、防毒面具、防毒口罩、安全帽、防酸碱手套及长统靴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5.人员培训制度及计划。危险废物经营单位应当清晰描述涉及危险废物管理的每个岗位的职责，并依此制定各个岗位从业人员的培训计划，培训计划应当包括针对该岗位的危险废物管理程序和应急预案的实施等。培训可分为课堂培训和现场操作培训。</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应急培训应当使得受训人员能够有效地应对紧急状态。这要求受训人员熟悉：（1）应急程序、应急设备、应急系统，包括使用、检查、修理和更换设施内应急及监测设备的程序；（2）自动进料切断系统的主要参数；（3）通讯联络或警报系统；（4）火灾或爆炸的应对；（5）地表水污染事件的应对等。</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6.环境监测制度。危险废物经营单位应当制定环境监测方案，对废水处理、大气污染物排放、噪声、地下水等定期监测。环境监测方案应确定监测指标和频率。危险废物经营单位自行监测的，还应当制定监测仪器的维护和标定方案，定期维护，标定并记录结果。</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7.新产生危险废物的管理计划。</w:t>
      </w:r>
      <w:r>
        <w:rPr>
          <w:rFonts w:ascii="仿宋" w:eastAsia="仿宋" w:cs="仿宋_GB2312"/>
          <w:snapToGrid w:val="0"/>
          <w:kern w:val="0"/>
          <w:sz w:val="32"/>
          <w:szCs w:val="32"/>
        </w:rPr>
        <w:t xml:space="preserve"> </w:t>
      </w:r>
      <w:r>
        <w:rPr>
          <w:rFonts w:hint="eastAsia"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8.发生意外突发事件或正常操作下，造成土壤等环境污染时消除污染的保障措施。</w:t>
      </w:r>
      <w:r>
        <w:rPr>
          <w:rFonts w:ascii="仿宋" w:eastAsia="仿宋" w:cs="仿宋_GB2312"/>
          <w:snapToGrid w:val="0"/>
          <w:kern w:val="0"/>
          <w:sz w:val="32"/>
          <w:szCs w:val="32"/>
        </w:rPr>
        <w:t xml:space="preserve"> </w:t>
      </w:r>
    </w:p>
    <w:p>
      <w:pPr>
        <w:autoSpaceDE w:val="0"/>
        <w:autoSpaceDN w:val="0"/>
        <w:adjustRightInd w:val="0"/>
        <w:snapToGrid w:val="0"/>
        <w:spacing w:line="560" w:lineRule="exact"/>
        <w:ind w:firstLine="640" w:firstLineChars="200"/>
        <w:rPr>
          <w:rFonts w:ascii="楷体" w:eastAsia="楷体" w:cs="黑体"/>
          <w:snapToGrid w:val="0"/>
          <w:kern w:val="0"/>
          <w:sz w:val="32"/>
          <w:szCs w:val="32"/>
        </w:rPr>
      </w:pPr>
      <w:r>
        <w:rPr>
          <w:rFonts w:hint="eastAsia" w:ascii="楷体" w:eastAsia="楷体" w:cs="黑体"/>
          <w:snapToGrid w:val="0"/>
          <w:kern w:val="0"/>
          <w:sz w:val="32"/>
          <w:szCs w:val="32"/>
        </w:rPr>
        <w:t>（六）其他</w:t>
      </w:r>
    </w:p>
    <w:p>
      <w:pPr>
        <w:autoSpaceDE w:val="0"/>
        <w:autoSpaceDN w:val="0"/>
        <w:adjustRightInd w:val="0"/>
        <w:snapToGrid w:val="0"/>
        <w:spacing w:line="560" w:lineRule="exact"/>
        <w:ind w:firstLine="640" w:firstLineChars="200"/>
        <w:rPr>
          <w:rFonts w:ascii="仿宋" w:eastAsia="仿宋" w:cs="仿宋_GB2312"/>
          <w:snapToGrid w:val="0"/>
          <w:kern w:val="0"/>
          <w:sz w:val="32"/>
          <w:szCs w:val="32"/>
        </w:rPr>
      </w:pPr>
      <w:r>
        <w:rPr>
          <w:rFonts w:hint="eastAsia" w:ascii="仿宋" w:eastAsia="仿宋" w:cs="仿宋_GB2312"/>
          <w:snapToGrid w:val="0"/>
          <w:kern w:val="0"/>
          <w:sz w:val="32"/>
          <w:szCs w:val="32"/>
        </w:rPr>
        <w:t>1.与处置单位签订的合同（接受意向书或者协议书），以保证收集的废矿物油和废镍镉电池在90天内提供或者委托给资质单位进行处置。</w:t>
      </w:r>
    </w:p>
    <w:p>
      <w:pPr>
        <w:autoSpaceDE w:val="0"/>
        <w:autoSpaceDN w:val="0"/>
        <w:adjustRightInd w:val="0"/>
        <w:snapToGrid w:val="0"/>
        <w:spacing w:line="560" w:lineRule="exact"/>
        <w:ind w:firstLine="640" w:firstLineChars="200"/>
      </w:pPr>
      <w:r>
        <w:rPr>
          <w:rFonts w:hint="eastAsia" w:ascii="仿宋" w:eastAsia="仿宋" w:cs="仿宋_GB2312"/>
          <w:snapToGrid w:val="0"/>
          <w:kern w:val="0"/>
          <w:sz w:val="32"/>
          <w:szCs w:val="32"/>
        </w:rPr>
        <w:t>2.智能监控设备</w:t>
      </w:r>
      <w:r>
        <w:rPr>
          <w:rFonts w:hint="eastAsia" w:ascii="仿宋" w:eastAsia="仿宋" w:cs="仿宋_GB2312"/>
          <w:snapToGrid w:val="0"/>
          <w:kern w:val="0"/>
          <w:sz w:val="32"/>
          <w:szCs w:val="32"/>
          <w:lang w:eastAsia="zh-CN"/>
        </w:rPr>
        <w:t>和</w:t>
      </w:r>
      <w:r>
        <w:rPr>
          <w:rFonts w:hint="eastAsia" w:ascii="仿宋" w:eastAsia="仿宋" w:cs="仿宋_GB2312"/>
          <w:snapToGrid w:val="0"/>
          <w:kern w:val="0"/>
          <w:sz w:val="32"/>
          <w:szCs w:val="32"/>
          <w:lang w:val="en-US" w:eastAsia="zh-CN"/>
        </w:rPr>
        <w:t>“五即”规范化建设情况。</w:t>
      </w:r>
      <w:r>
        <w:rPr>
          <w:rFonts w:hint="eastAsia" w:ascii="仿宋" w:eastAsia="仿宋" w:cs="仿宋_GB2312"/>
          <w:snapToGrid w:val="0"/>
          <w:kern w:val="0"/>
          <w:sz w:val="32"/>
          <w:szCs w:val="32"/>
        </w:rPr>
        <w:t>按照《关于建设全省危险废物智能监控体系的通知》（冀环办字函〔2018〕203号）和《关于印发全省危险废物智能监控体系数据联网规范的通知》（冀环办字函〔2018〕203号）要求，安装智能监控设备的证明材料。</w:t>
      </w:r>
      <w:r>
        <w:rPr>
          <w:rFonts w:hint="eastAsia" w:ascii="仿宋" w:eastAsia="仿宋" w:cs="仿宋_GB2312"/>
          <w:snapToGrid w:val="0"/>
          <w:kern w:val="0"/>
          <w:sz w:val="32"/>
          <w:szCs w:val="32"/>
          <w:lang w:eastAsia="zh-CN"/>
        </w:rPr>
        <w:t>以及</w:t>
      </w:r>
      <w:r>
        <w:rPr>
          <w:rFonts w:hint="eastAsia" w:ascii="仿宋" w:eastAsia="仿宋" w:cs="仿宋_GB2312"/>
          <w:snapToGrid w:val="0"/>
          <w:kern w:val="0"/>
          <w:sz w:val="32"/>
          <w:szCs w:val="32"/>
          <w:lang w:val="en-US" w:eastAsia="zh-CN"/>
        </w:rPr>
        <w:t>危险废物须做到“即产生、即包装、即称重、即打码、即入库”，并通过唯一二维码实现“一码贯通”全过程追溯。</w:t>
      </w:r>
    </w:p>
    <w:p>
      <w:pPr>
        <w:pStyle w:val="2"/>
        <w:rPr>
          <w:rFonts w:hint="default" w:eastAsia="仿宋"/>
          <w:lang w:val="en-US" w:eastAsia="zh-CN"/>
        </w:rPr>
      </w:pP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Nimbus Roman No9 L"/>
    <w:panose1 w:val="020B0604020202020204"/>
    <w:charset w:val="00"/>
    <w:family w:val="swiss"/>
    <w:pitch w:val="default"/>
    <w:sig w:usb0="00000000" w:usb1="00000000" w:usb2="00000009" w:usb3="00000000" w:csb0="000001FF" w:csb1="00000000"/>
  </w:font>
  <w:font w:name="楷体_GB2312">
    <w:altName w:val="方正楷体_GBK"/>
    <w:panose1 w:val="00000000000000000000"/>
    <w:charset w:val="86"/>
    <w:family w:val="modern"/>
    <w:pitch w:val="default"/>
    <w:sig w:usb0="00000000" w:usb1="00000000"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CESI黑体-GB2312">
    <w:panose1 w:val="02000500000000000000"/>
    <w:charset w:val="86"/>
    <w:family w:val="auto"/>
    <w:pitch w:val="default"/>
    <w:sig w:usb0="800002BF" w:usb1="184F6CF8" w:usb2="00000012" w:usb3="00000000" w:csb0="0004000F"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1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PAGE   \* MERGEFORMAT</w:instrText>
                          </w:r>
                          <w:r>
                            <w:rPr>
                              <w:rFonts w:hint="eastAsia" w:ascii="宋体" w:hAnsi="宋体" w:cs="宋体"/>
                              <w:sz w:val="28"/>
                              <w:szCs w:val="28"/>
                            </w:rPr>
                            <w:fldChar w:fldCharType="separate"/>
                          </w:r>
                          <w:r>
                            <w:rPr>
                              <w:rFonts w:ascii="宋体" w:hAnsi="宋体" w:cs="宋体"/>
                              <w:sz w:val="28"/>
                              <w:szCs w:val="28"/>
                              <w:lang w:val="zh-CN"/>
                            </w:rPr>
                            <w:t>-</w:t>
                          </w:r>
                          <w:r>
                            <w:rPr>
                              <w:rFonts w:ascii="宋体" w:hAnsi="宋体" w:cs="宋体"/>
                              <w:sz w:val="28"/>
                              <w:szCs w:val="28"/>
                            </w:rPr>
                            <w:t xml:space="preserve"> 10 -</w:t>
                          </w:r>
                          <w:r>
                            <w:rPr>
                              <w:rFonts w:hint="eastAsia" w:ascii="宋体" w:hAnsi="宋体" w:cs="宋体"/>
                              <w:sz w:val="28"/>
                              <w:szCs w:val="28"/>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4"/>
                      <w:jc w:val="center"/>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PAGE   \* MERGEFORMAT</w:instrText>
                    </w:r>
                    <w:r>
                      <w:rPr>
                        <w:rFonts w:hint="eastAsia" w:ascii="宋体" w:hAnsi="宋体" w:cs="宋体"/>
                        <w:sz w:val="28"/>
                        <w:szCs w:val="28"/>
                      </w:rPr>
                      <w:fldChar w:fldCharType="separate"/>
                    </w:r>
                    <w:r>
                      <w:rPr>
                        <w:rFonts w:ascii="宋体" w:hAnsi="宋体" w:cs="宋体"/>
                        <w:sz w:val="28"/>
                        <w:szCs w:val="28"/>
                        <w:lang w:val="zh-CN"/>
                      </w:rPr>
                      <w:t>-</w:t>
                    </w:r>
                    <w:r>
                      <w:rPr>
                        <w:rFonts w:ascii="宋体" w:hAnsi="宋体" w:cs="宋体"/>
                        <w:sz w:val="28"/>
                        <w:szCs w:val="28"/>
                      </w:rPr>
                      <w:t xml:space="preserve"> 10 -</w:t>
                    </w:r>
                    <w:r>
                      <w:rPr>
                        <w:rFonts w:hint="eastAsia" w:ascii="宋体" w:hAnsi="宋体" w:cs="宋体"/>
                        <w:sz w:val="28"/>
                        <w:szCs w:val="28"/>
                      </w:rPr>
                      <w:fldChar w:fldCharType="end"/>
                    </w:r>
                  </w:p>
                </w:txbxContent>
              </v:textbox>
            </v:shape>
          </w:pict>
        </mc:Fallback>
      </mc:AlternateContent>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52E"/>
    <w:rsid w:val="000E5B1B"/>
    <w:rsid w:val="002975BE"/>
    <w:rsid w:val="00345560"/>
    <w:rsid w:val="0059149B"/>
    <w:rsid w:val="0059756F"/>
    <w:rsid w:val="0078664C"/>
    <w:rsid w:val="00847B33"/>
    <w:rsid w:val="008B3B86"/>
    <w:rsid w:val="00BE0A56"/>
    <w:rsid w:val="00C809E9"/>
    <w:rsid w:val="00E2052E"/>
    <w:rsid w:val="00E56C60"/>
    <w:rsid w:val="00E703C0"/>
    <w:rsid w:val="00F63F82"/>
    <w:rsid w:val="04C67791"/>
    <w:rsid w:val="05CA150D"/>
    <w:rsid w:val="0D037D46"/>
    <w:rsid w:val="137F032C"/>
    <w:rsid w:val="1A8F2BF3"/>
    <w:rsid w:val="29785A75"/>
    <w:rsid w:val="2EAF1571"/>
    <w:rsid w:val="37F735C0"/>
    <w:rsid w:val="456953AC"/>
    <w:rsid w:val="4EE81FF9"/>
    <w:rsid w:val="4F8950AF"/>
    <w:rsid w:val="580E2A2F"/>
    <w:rsid w:val="5CF91DAE"/>
    <w:rsid w:val="665DC7D3"/>
    <w:rsid w:val="6B3F5D6C"/>
    <w:rsid w:val="6CDFD6AD"/>
    <w:rsid w:val="7232020D"/>
    <w:rsid w:val="7FDF26F2"/>
    <w:rsid w:val="973C34DB"/>
    <w:rsid w:val="AD6B4F9A"/>
    <w:rsid w:val="D3F9BE8F"/>
    <w:rsid w:val="D9EE43F3"/>
    <w:rsid w:val="E5EFAEA0"/>
    <w:rsid w:val="EB7EF7BD"/>
    <w:rsid w:val="F3FDA259"/>
    <w:rsid w:val="FCDECE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Arial"/>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楷体_GB2312" w:hAnsi="楷体_GB2312" w:eastAsia="楷体_GB2312" w:cs="Times New Roman"/>
      <w:color w:val="000000"/>
      <w:sz w:val="24"/>
      <w:szCs w:val="22"/>
      <w:lang w:val="en-US" w:eastAsia="zh-CN" w:bidi="ar-SA"/>
    </w:rPr>
  </w:style>
  <w:style w:type="paragraph" w:styleId="3">
    <w:name w:val="Balloon Text"/>
    <w:basedOn w:val="1"/>
    <w:link w:val="12"/>
    <w:qFormat/>
    <w:uiPriority w:val="0"/>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character" w:styleId="11">
    <w:name w:val="Hyperlink"/>
    <w:basedOn w:val="9"/>
    <w:qFormat/>
    <w:uiPriority w:val="0"/>
    <w:rPr>
      <w:color w:val="0000FF"/>
      <w:u w:val="single"/>
    </w:rPr>
  </w:style>
  <w:style w:type="character" w:customStyle="1" w:styleId="12">
    <w:name w:val="批注框文本 Char"/>
    <w:basedOn w:val="9"/>
    <w:link w:val="3"/>
    <w:qFormat/>
    <w:uiPriority w:val="0"/>
    <w:rPr>
      <w:rFonts w:ascii="Calibri" w:hAnsi="Calibri" w:cs="Arial"/>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791</Words>
  <Characters>4513</Characters>
  <Lines>37</Lines>
  <Paragraphs>10</Paragraphs>
  <TotalTime>0</TotalTime>
  <ScaleCrop>false</ScaleCrop>
  <LinksUpToDate>false</LinksUpToDate>
  <CharactersWithSpaces>5294</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2014-10-31T20:08:00Z</dcterms:created>
  <dc:creator>Administrator</dc:creator>
  <cp:lastModifiedBy>uos</cp:lastModifiedBy>
  <cp:lastPrinted>2022-07-06T15:13:00Z</cp:lastPrinted>
  <dcterms:modified xsi:type="dcterms:W3CDTF">2026-05-25T14:36:03Z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FAF222FE1CE641FF9DAC735698CBC7AA</vt:lpwstr>
  </property>
</Properties>
</file>