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关于石家庄市温室气体清单编制工作项目</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的询价信息公告</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eastAsia="zh-CN"/>
        </w:rPr>
        <w:t>石家庄市温室气体清单编制工作</w:t>
      </w:r>
      <w:r>
        <w:rPr>
          <w:rFonts w:hint="eastAsia" w:ascii="仿宋_GB2312" w:hAnsi="仿宋_GB2312" w:eastAsia="仿宋_GB2312" w:cs="仿宋_GB2312"/>
          <w:bCs/>
          <w:sz w:val="32"/>
          <w:szCs w:val="32"/>
          <w:lang w:val="en-US" w:eastAsia="zh-CN"/>
        </w:rPr>
        <w:t>项目（预算金额：</w:t>
      </w:r>
      <w:r>
        <w:rPr>
          <w:rFonts w:hint="eastAsia" w:ascii="仿宋_GB2312" w:hAnsi="仿宋_GB2312" w:eastAsia="仿宋_GB2312" w:cs="仿宋_GB2312"/>
          <w:sz w:val="32"/>
          <w:szCs w:val="32"/>
          <w:highlight w:val="none"/>
          <w:lang w:val="en-US" w:eastAsia="zh-CN"/>
        </w:rPr>
        <w:t>66.9</w:t>
      </w:r>
      <w:r>
        <w:rPr>
          <w:rFonts w:hint="eastAsia" w:ascii="仿宋_GB2312" w:hAnsi="仿宋_GB2312" w:eastAsia="仿宋_GB2312" w:cs="仿宋_GB2312"/>
          <w:bCs/>
          <w:sz w:val="32"/>
          <w:szCs w:val="32"/>
          <w:lang w:val="en-US" w:eastAsia="zh-CN"/>
        </w:rPr>
        <w:t>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
          <w:sz w:val="32"/>
          <w:szCs w:val="32"/>
          <w:highlight w:val="none"/>
        </w:rPr>
      </w:pPr>
      <w:r>
        <w:rPr>
          <w:rFonts w:hint="eastAsia" w:ascii="仿宋_GB2312" w:hAnsi="仿宋_GB2312" w:eastAsia="仿宋_GB2312" w:cs="仿宋_GB2312"/>
          <w:b/>
          <w:bCs w:val="0"/>
          <w:color w:val="auto"/>
          <w:sz w:val="32"/>
          <w:szCs w:val="32"/>
          <w:highlight w:val="none"/>
        </w:rPr>
        <w:t>询价会时间：</w:t>
      </w:r>
      <w:r>
        <w:rPr>
          <w:rFonts w:hint="eastAsia" w:ascii="仿宋_GB2312" w:hAnsi="仿宋_GB2312" w:eastAsia="仿宋_GB2312" w:cs="仿宋_GB2312"/>
          <w:b/>
          <w:color w:val="auto"/>
          <w:sz w:val="32"/>
          <w:szCs w:val="32"/>
          <w:highlight w:val="none"/>
        </w:rPr>
        <w:t>202</w:t>
      </w:r>
      <w:r>
        <w:rPr>
          <w:rFonts w:hint="eastAsia" w:ascii="仿宋_GB2312" w:hAnsi="仿宋_GB2312" w:eastAsia="仿宋_GB2312" w:cs="仿宋_GB2312"/>
          <w:b/>
          <w:color w:val="auto"/>
          <w:sz w:val="32"/>
          <w:szCs w:val="32"/>
          <w:highlight w:val="none"/>
          <w:lang w:val="en-US" w:eastAsia="zh-CN"/>
        </w:rPr>
        <w:t>6</w:t>
      </w:r>
      <w:r>
        <w:rPr>
          <w:rFonts w:hint="eastAsia" w:ascii="仿宋_GB2312" w:hAnsi="仿宋_GB2312" w:eastAsia="仿宋_GB2312" w:cs="仿宋_GB2312"/>
          <w:b/>
          <w:color w:val="auto"/>
          <w:sz w:val="32"/>
          <w:szCs w:val="32"/>
          <w:highlight w:val="none"/>
        </w:rPr>
        <w:t>年</w:t>
      </w:r>
      <w:r>
        <w:rPr>
          <w:rFonts w:hint="eastAsia" w:ascii="仿宋_GB2312" w:hAnsi="仿宋_GB2312" w:eastAsia="仿宋_GB2312" w:cs="仿宋_GB2312"/>
          <w:b/>
          <w:color w:val="auto"/>
          <w:sz w:val="32"/>
          <w:szCs w:val="32"/>
          <w:highlight w:val="none"/>
          <w:lang w:val="en-US" w:eastAsia="zh-CN"/>
        </w:rPr>
        <w:t>5</w:t>
      </w:r>
      <w:r>
        <w:rPr>
          <w:rFonts w:hint="eastAsia" w:ascii="仿宋_GB2312" w:hAnsi="仿宋_GB2312" w:eastAsia="仿宋_GB2312" w:cs="仿宋_GB2312"/>
          <w:b/>
          <w:color w:val="auto"/>
          <w:sz w:val="32"/>
          <w:szCs w:val="32"/>
          <w:highlight w:val="none"/>
        </w:rPr>
        <w:t>月</w:t>
      </w:r>
      <w:r>
        <w:rPr>
          <w:rFonts w:hint="eastAsia" w:ascii="仿宋_GB2312" w:hAnsi="仿宋_GB2312" w:eastAsia="仿宋_GB2312" w:cs="仿宋_GB2312"/>
          <w:b/>
          <w:color w:val="auto"/>
          <w:sz w:val="32"/>
          <w:szCs w:val="32"/>
          <w:highlight w:val="none"/>
          <w:lang w:val="en-US" w:eastAsia="zh-CN"/>
        </w:rPr>
        <w:t>21</w:t>
      </w:r>
      <w:r>
        <w:rPr>
          <w:rFonts w:hint="eastAsia" w:ascii="仿宋_GB2312" w:hAnsi="仿宋_GB2312" w:eastAsia="仿宋_GB2312" w:cs="仿宋_GB2312"/>
          <w:b/>
          <w:color w:val="auto"/>
          <w:sz w:val="32"/>
          <w:szCs w:val="32"/>
          <w:highlight w:val="none"/>
        </w:rPr>
        <w:t>日（星期</w:t>
      </w:r>
      <w:r>
        <w:rPr>
          <w:rFonts w:hint="eastAsia" w:ascii="仿宋_GB2312" w:hAnsi="仿宋_GB2312" w:eastAsia="仿宋_GB2312" w:cs="仿宋_GB2312"/>
          <w:b/>
          <w:color w:val="auto"/>
          <w:sz w:val="32"/>
          <w:szCs w:val="32"/>
          <w:highlight w:val="none"/>
          <w:lang w:eastAsia="zh-CN"/>
        </w:rPr>
        <w:t>四</w:t>
      </w:r>
      <w:r>
        <w:rPr>
          <w:rFonts w:hint="eastAsia" w:ascii="仿宋_GB2312" w:hAnsi="仿宋_GB2312" w:eastAsia="仿宋_GB2312" w:cs="仿宋_GB2312"/>
          <w:b/>
          <w:color w:val="auto"/>
          <w:sz w:val="32"/>
          <w:szCs w:val="32"/>
          <w:highlight w:val="none"/>
        </w:rPr>
        <w:t>）</w:t>
      </w:r>
      <w:r>
        <w:rPr>
          <w:rFonts w:hint="eastAsia" w:ascii="仿宋_GB2312" w:hAnsi="仿宋_GB2312" w:eastAsia="仿宋_GB2312" w:cs="仿宋_GB2312"/>
          <w:b/>
          <w:color w:val="auto"/>
          <w:sz w:val="32"/>
          <w:szCs w:val="32"/>
          <w:highlight w:val="none"/>
          <w:lang w:val="en-US" w:eastAsia="zh-CN"/>
        </w:rPr>
        <w:t>15：30</w:t>
      </w:r>
      <w:r>
        <w:rPr>
          <w:rFonts w:hint="eastAsia" w:ascii="仿宋_GB2312" w:hAnsi="仿宋_GB2312" w:eastAsia="仿宋_GB2312" w:cs="仿宋_GB2312"/>
          <w:b/>
          <w:color w:val="auto"/>
          <w:sz w:val="32"/>
          <w:szCs w:val="32"/>
          <w:highlight w:val="none"/>
        </w:rPr>
        <w:t>，</w:t>
      </w:r>
      <w:r>
        <w:rPr>
          <w:rFonts w:hint="eastAsia" w:ascii="仿宋_GB2312" w:hAnsi="仿宋_GB2312" w:eastAsia="仿宋_GB2312" w:cs="仿宋_GB2312"/>
          <w:b/>
          <w:sz w:val="32"/>
          <w:szCs w:val="32"/>
          <w:highlight w:val="none"/>
        </w:rPr>
        <w:t>地点：石家庄市生态环境局</w:t>
      </w:r>
      <w:r>
        <w:rPr>
          <w:rFonts w:hint="eastAsia" w:ascii="仿宋_GB2312" w:hAnsi="仿宋_GB2312" w:eastAsia="仿宋_GB2312" w:cs="仿宋_GB2312"/>
          <w:b/>
          <w:sz w:val="32"/>
          <w:szCs w:val="32"/>
          <w:highlight w:val="none"/>
          <w:lang w:val="en-US" w:eastAsia="zh-CN"/>
        </w:rPr>
        <w:t>402</w:t>
      </w:r>
      <w:r>
        <w:rPr>
          <w:rFonts w:hint="eastAsia" w:ascii="仿宋_GB2312" w:hAnsi="仿宋_GB2312" w:eastAsia="仿宋_GB2312" w:cs="仿宋_GB2312"/>
          <w:b/>
          <w:sz w:val="32"/>
          <w:szCs w:val="32"/>
          <w:highlight w:val="none"/>
        </w:rPr>
        <w:t>会议室。</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default"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w:t>
      </w:r>
      <w:r>
        <w:rPr>
          <w:rFonts w:hint="eastAsia" w:ascii="仿宋_GB2312" w:hAnsi="仿宋_GB2312" w:eastAsia="仿宋_GB2312" w:cs="仿宋_GB2312"/>
          <w:bCs/>
          <w:sz w:val="32"/>
          <w:szCs w:val="32"/>
          <w:highlight w:val="none"/>
          <w:lang w:val="en-US" w:eastAsia="zh-CN"/>
        </w:rPr>
        <w:t>李寒冰</w:t>
      </w:r>
      <w:r>
        <w:rPr>
          <w:rFonts w:hint="eastAsia" w:ascii="仿宋_GB2312" w:hAnsi="仿宋_GB2312" w:eastAsia="仿宋_GB2312" w:cs="仿宋_GB2312"/>
          <w:bCs/>
          <w:sz w:val="32"/>
          <w:szCs w:val="32"/>
          <w:highlight w:val="none"/>
        </w:rPr>
        <w:t>，联系电话：</w:t>
      </w:r>
      <w:r>
        <w:rPr>
          <w:rFonts w:hint="eastAsia" w:ascii="仿宋_GB2312" w:hAnsi="仿宋_GB2312" w:eastAsia="仿宋_GB2312" w:cs="仿宋_GB2312"/>
          <w:bCs/>
          <w:sz w:val="32"/>
          <w:szCs w:val="32"/>
          <w:highlight w:val="none"/>
          <w:lang w:val="en-US" w:eastAsia="zh-CN"/>
        </w:rPr>
        <w:t>85874474</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default" w:ascii="仿宋_GB2312" w:hAnsi="仿宋_GB2312" w:eastAsia="仿宋_GB2312" w:cs="仿宋_GB2312"/>
          <w:bCs/>
          <w:sz w:val="32"/>
          <w:szCs w:val="32"/>
          <w:highlight w:val="none"/>
          <w:lang w:val="en-US"/>
        </w:rPr>
      </w:pPr>
      <w:r>
        <w:rPr>
          <w:rFonts w:hint="eastAsia" w:ascii="仿宋_GB2312" w:hAnsi="仿宋_GB2312" w:eastAsia="仿宋_GB2312" w:cs="仿宋_GB2312"/>
          <w:bCs/>
          <w:sz w:val="32"/>
          <w:szCs w:val="32"/>
          <w:highlight w:val="none"/>
          <w:lang w:val="en-US" w:eastAsia="zh-CN"/>
        </w:rPr>
        <w:t xml:space="preserve">        师晓威，联系电话：85880697</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textAlignment w:val="auto"/>
        <w:rPr>
          <w:rFonts w:hint="eastAsia"/>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pStyle w:val="2"/>
        <w:keepNext w:val="0"/>
        <w:keepLines w:val="0"/>
        <w:pageBreakBefore w:val="0"/>
        <w:widowControl w:val="0"/>
        <w:kinsoku/>
        <w:overflowPunct/>
        <w:topLinePunct w:val="0"/>
        <w:autoSpaceDE/>
        <w:autoSpaceDN/>
        <w:bidi w:val="0"/>
        <w:adjustRightInd/>
        <w:snapToGrid/>
        <w:spacing w:line="560" w:lineRule="exact"/>
        <w:textAlignment w:val="auto"/>
        <w:rPr>
          <w:rFonts w:hint="eastAsia"/>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right="0" w:rightChars="0"/>
        <w:jc w:val="right"/>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石家庄市生态环境局         </w:t>
      </w:r>
    </w:p>
    <w:p>
      <w:pPr>
        <w:keepNext w:val="0"/>
        <w:keepLines w:val="0"/>
        <w:pageBreakBefore w:val="0"/>
        <w:widowControl w:val="0"/>
        <w:kinsoku/>
        <w:wordWrap w:val="0"/>
        <w:overflowPunct/>
        <w:topLinePunct w:val="0"/>
        <w:autoSpaceDE/>
        <w:autoSpaceDN/>
        <w:bidi w:val="0"/>
        <w:adjustRightInd/>
        <w:snapToGrid/>
        <w:spacing w:line="560" w:lineRule="exact"/>
        <w:ind w:right="0" w:rightChars="0"/>
        <w:jc w:val="center"/>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highlight w:val="none"/>
          <w:lang w:val="en-US" w:eastAsia="zh-CN"/>
        </w:rPr>
        <w:t xml:space="preserve">  2026</w:t>
      </w:r>
      <w:r>
        <w:rPr>
          <w:rFonts w:hint="eastAsia" w:ascii="仿宋_GB2312" w:hAnsi="仿宋_GB2312" w:eastAsia="仿宋_GB2312" w:cs="仿宋_GB2312"/>
          <w:bCs/>
          <w:color w:val="auto"/>
          <w:sz w:val="32"/>
          <w:szCs w:val="32"/>
          <w:highlight w:val="none"/>
        </w:rPr>
        <w:t>年</w:t>
      </w:r>
      <w:r>
        <w:rPr>
          <w:rFonts w:hint="eastAsia" w:ascii="仿宋_GB2312" w:hAnsi="仿宋_GB2312" w:eastAsia="仿宋_GB2312" w:cs="仿宋_GB2312"/>
          <w:bCs/>
          <w:color w:val="auto"/>
          <w:sz w:val="32"/>
          <w:szCs w:val="32"/>
          <w:highlight w:val="none"/>
          <w:lang w:val="en-US" w:eastAsia="zh-CN"/>
        </w:rPr>
        <w:t>5</w:t>
      </w:r>
      <w:r>
        <w:rPr>
          <w:rFonts w:hint="eastAsia" w:ascii="仿宋_GB2312" w:hAnsi="仿宋_GB2312" w:eastAsia="仿宋_GB2312" w:cs="仿宋_GB2312"/>
          <w:bCs/>
          <w:color w:val="auto"/>
          <w:sz w:val="32"/>
          <w:szCs w:val="32"/>
          <w:highlight w:val="none"/>
        </w:rPr>
        <w:t>月</w:t>
      </w:r>
      <w:r>
        <w:rPr>
          <w:rFonts w:hint="eastAsia" w:ascii="仿宋_GB2312" w:hAnsi="仿宋_GB2312" w:eastAsia="仿宋_GB2312" w:cs="仿宋_GB2312"/>
          <w:bCs/>
          <w:color w:val="auto"/>
          <w:sz w:val="32"/>
          <w:szCs w:val="32"/>
          <w:highlight w:val="none"/>
          <w:lang w:val="en-US" w:eastAsia="zh-CN"/>
        </w:rPr>
        <w:t>15</w:t>
      </w:r>
      <w:r>
        <w:rPr>
          <w:rFonts w:hint="eastAsia" w:ascii="仿宋_GB2312" w:hAnsi="仿宋_GB2312" w:eastAsia="仿宋_GB2312" w:cs="仿宋_GB2312"/>
          <w:bCs/>
          <w:color w:val="auto"/>
          <w:sz w:val="32"/>
          <w:szCs w:val="32"/>
          <w:highlight w:val="none"/>
        </w:rPr>
        <w:t>日</w:t>
      </w:r>
      <w:r>
        <w:rPr>
          <w:rFonts w:hint="eastAsia" w:ascii="仿宋_GB2312" w:hAnsi="仿宋_GB2312" w:eastAsia="仿宋_GB2312" w:cs="仿宋_GB2312"/>
          <w:bCs/>
          <w:color w:val="auto"/>
          <w:sz w:val="32"/>
          <w:szCs w:val="32"/>
          <w:highlight w:val="none"/>
          <w:lang w:val="en-US" w:eastAsia="zh-CN"/>
        </w:rPr>
        <w:t xml:space="preserve">  </w:t>
      </w:r>
      <w:r>
        <w:rPr>
          <w:rFonts w:hint="eastAsia" w:ascii="仿宋_GB2312" w:hAnsi="仿宋_GB2312" w:eastAsia="仿宋_GB2312" w:cs="仿宋_GB2312"/>
          <w:bCs/>
          <w:color w:val="auto"/>
          <w:sz w:val="32"/>
          <w:szCs w:val="32"/>
          <w:lang w:val="en-US" w:eastAsia="zh-CN"/>
        </w:rPr>
        <w:t xml:space="preserve">      </w:t>
      </w:r>
    </w:p>
    <w:p>
      <w:pPr>
        <w:rPr>
          <w:rFonts w:hint="eastAsia"/>
        </w:rPr>
        <w:sectPr>
          <w:headerReference r:id="rId3" w:type="default"/>
          <w:footerReference r:id="rId4" w:type="default"/>
          <w:pgSz w:w="11906" w:h="16838"/>
          <w:pgMar w:top="2154" w:right="1474" w:bottom="1984" w:left="1587" w:header="851" w:footer="992" w:gutter="0"/>
          <w:cols w:space="425" w:num="1"/>
          <w:docGrid w:type="lines" w:linePitch="312" w:charSpace="0"/>
        </w:sectPr>
      </w:pPr>
      <w:r>
        <w:rPr>
          <w:rFonts w:hint="eastAsia" w:ascii="仿宋_GB2312" w:hAnsi="仿宋_GB2312" w:eastAsia="仿宋_GB2312" w:cs="仿宋_GB2312"/>
          <w:bCs/>
          <w:color w:val="auto"/>
          <w:sz w:val="32"/>
          <w:szCs w:val="32"/>
        </w:rPr>
        <w:br w:type="page"/>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石家庄市温室气体清单编制工作项目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询价要求及流程</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2"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2"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jc w:val="center"/>
        <w:textAlignment w:val="auto"/>
        <w:rPr>
          <w:rFonts w:hint="eastAsia" w:ascii="宋体" w:hAnsi="宋体" w:eastAsia="宋体"/>
          <w:b/>
          <w:color w:val="000000"/>
          <w:sz w:val="44"/>
          <w:szCs w:val="36"/>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石家庄市温室气体清单编制工作项目工作方案</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60" w:lineRule="exact"/>
        <w:ind w:right="0" w:rightChars="0" w:firstLine="1920" w:firstLineChars="600"/>
        <w:textAlignment w:val="auto"/>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sz w:val="32"/>
          <w:szCs w:val="32"/>
        </w:rPr>
        <w:t>为全面贯彻落实习近平生态文明思想，按照国家、省应对气候变化有关工作部署，依据《关于加快建立统一规范的碳排放统计核算体系实施方案》</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《省级温室气体清单编制指南（</w:t>
      </w:r>
      <w:r>
        <w:rPr>
          <w:rFonts w:hint="eastAsia" w:ascii="仿宋_GB2312" w:hAnsi="仿宋_GB2312" w:eastAsia="仿宋_GB2312" w:cs="仿宋_GB2312"/>
          <w:sz w:val="32"/>
          <w:szCs w:val="32"/>
          <w:lang w:val="en-US" w:eastAsia="zh-CN"/>
        </w:rPr>
        <w:t>2025年版</w:t>
      </w:r>
      <w:r>
        <w:rPr>
          <w:rFonts w:hint="eastAsia" w:ascii="仿宋_GB2312" w:hAnsi="仿宋_GB2312" w:eastAsia="仿宋_GB2312" w:cs="仿宋_GB2312"/>
          <w:sz w:val="32"/>
          <w:szCs w:val="32"/>
        </w:rPr>
        <w:t>）》要求,</w:t>
      </w:r>
      <w:r>
        <w:rPr>
          <w:rFonts w:hint="eastAsia" w:ascii="仿宋_GB2312" w:hAnsi="仿宋_GB2312" w:eastAsia="仿宋_GB2312" w:cs="仿宋_GB2312"/>
          <w:b w:val="0"/>
          <w:bCs/>
          <w:sz w:val="32"/>
          <w:szCs w:val="32"/>
          <w:lang w:val="en-US" w:eastAsia="zh-CN"/>
        </w:rPr>
        <w:t>计划通过政府购买服务的方式开展</w:t>
      </w:r>
      <w:r>
        <w:rPr>
          <w:rFonts w:hint="eastAsia" w:ascii="仿宋_GB2312" w:hAnsi="仿宋_GB2312" w:eastAsia="仿宋_GB2312" w:cs="仿宋_GB2312"/>
          <w:sz w:val="32"/>
          <w:szCs w:val="32"/>
        </w:rPr>
        <w:t>石家庄市温室气体清单编制工作</w:t>
      </w:r>
      <w:r>
        <w:rPr>
          <w:rFonts w:hint="eastAsia" w:ascii="仿宋_GB2312" w:hAnsi="仿宋_GB2312" w:eastAsia="仿宋_GB2312" w:cs="仿宋_GB2312"/>
          <w:b w:val="0"/>
          <w:bCs/>
          <w:sz w:val="32"/>
          <w:szCs w:val="32"/>
          <w:lang w:val="en-US" w:eastAsia="zh-CN"/>
        </w:rPr>
        <w:t>。为顺利完成该项目工作，特制定如下工作方案。</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楷体_GB2312" w:hAnsi="楷体_GB2312" w:eastAsia="楷体_GB2312" w:cs="楷体_GB2312"/>
          <w:sz w:val="32"/>
          <w:szCs w:val="32"/>
          <w:highlight w:val="none"/>
        </w:rPr>
      </w:pPr>
      <w:r>
        <w:rPr>
          <w:rFonts w:hint="eastAsia" w:ascii="黑体" w:hAnsi="黑体" w:eastAsia="黑体" w:cs="黑体"/>
          <w:sz w:val="32"/>
          <w:szCs w:val="32"/>
          <w:lang w:eastAsia="zh-CN"/>
        </w:rPr>
        <w:t>一、</w:t>
      </w:r>
      <w:r>
        <w:rPr>
          <w:rFonts w:hint="eastAsia" w:ascii="黑体" w:hAnsi="黑体" w:eastAsia="黑体" w:cs="黑体"/>
          <w:sz w:val="32"/>
          <w:szCs w:val="32"/>
          <w:highlight w:val="none"/>
        </w:rPr>
        <w:t>项目概况</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仿宋_GB2312" w:eastAsia="仿宋_GB2312" w:cs="宋体"/>
          <w:sz w:val="32"/>
          <w:szCs w:val="32"/>
          <w:lang w:eastAsia="zh-CN"/>
        </w:rPr>
      </w:pPr>
      <w:r>
        <w:rPr>
          <w:rFonts w:hint="eastAsia" w:ascii="楷体_GB2312" w:hAnsi="楷体_GB2312" w:eastAsia="楷体_GB2312" w:cs="楷体_GB2312"/>
          <w:b w:val="0"/>
          <w:bCs w:val="0"/>
          <w:sz w:val="32"/>
          <w:szCs w:val="32"/>
          <w:highlight w:val="none"/>
          <w:u w:val="none"/>
          <w:lang w:val="en-US" w:eastAsia="zh-CN"/>
        </w:rPr>
        <w:t>（一）主要内容</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lang w:eastAsia="zh-CN"/>
        </w:rPr>
      </w:pPr>
      <w:r>
        <w:rPr>
          <w:rFonts w:hint="eastAsia" w:ascii="仿宋_GB2312" w:eastAsia="仿宋_GB2312" w:cs="宋体"/>
          <w:sz w:val="32"/>
          <w:szCs w:val="32"/>
          <w:lang w:eastAsia="zh-CN"/>
        </w:rPr>
        <w:t>对能源活动、工业</w:t>
      </w:r>
      <w:r>
        <w:rPr>
          <w:rFonts w:hint="eastAsia" w:ascii="仿宋_GB2312" w:eastAsia="仿宋_GB2312" w:cs="宋体"/>
          <w:sz w:val="32"/>
          <w:szCs w:val="32"/>
          <w:lang w:val="en-US" w:eastAsia="zh-CN"/>
        </w:rPr>
        <w:t>生产</w:t>
      </w:r>
      <w:r>
        <w:rPr>
          <w:rFonts w:hint="eastAsia" w:ascii="仿宋_GB2312" w:eastAsia="仿宋_GB2312" w:cs="宋体"/>
          <w:sz w:val="32"/>
          <w:szCs w:val="32"/>
          <w:lang w:eastAsia="zh-CN"/>
        </w:rPr>
        <w:t>过程</w:t>
      </w:r>
      <w:r>
        <w:rPr>
          <w:rFonts w:hint="eastAsia" w:ascii="仿宋_GB2312" w:eastAsia="仿宋_GB2312" w:cs="宋体"/>
          <w:sz w:val="32"/>
          <w:szCs w:val="32"/>
          <w:lang w:val="en-US" w:eastAsia="zh-CN"/>
        </w:rPr>
        <w:t>和产品使用</w:t>
      </w:r>
      <w:r>
        <w:rPr>
          <w:rFonts w:hint="eastAsia" w:ascii="仿宋_GB2312" w:eastAsia="仿宋_GB2312" w:cs="宋体"/>
          <w:sz w:val="32"/>
          <w:szCs w:val="32"/>
          <w:lang w:eastAsia="zh-CN"/>
        </w:rPr>
        <w:t>、农业活动、土地利用、土地利用变化和林业、废弃物处理等领域进行调研，同时参照《浙江省温室气体清单编制指南（2022年修订版）》深化编制内容，增加“趋势分析及对策建议、温室气体排放预测、低碳项目情况、重大项目情况”等章节，分别编制202</w:t>
      </w:r>
      <w:r>
        <w:rPr>
          <w:rFonts w:hint="eastAsia" w:ascii="仿宋_GB2312" w:eastAsia="仿宋_GB2312" w:cs="宋体"/>
          <w:sz w:val="32"/>
          <w:szCs w:val="32"/>
          <w:lang w:val="en-US" w:eastAsia="zh-CN"/>
        </w:rPr>
        <w:t>5</w:t>
      </w:r>
      <w:r>
        <w:rPr>
          <w:rFonts w:hint="eastAsia" w:ascii="仿宋_GB2312" w:eastAsia="仿宋_GB2312" w:cs="宋体"/>
          <w:sz w:val="32"/>
          <w:szCs w:val="32"/>
          <w:lang w:eastAsia="zh-CN"/>
        </w:rPr>
        <w:t>年五大领域温室气体清单报告及石家庄市202</w:t>
      </w:r>
      <w:r>
        <w:rPr>
          <w:rFonts w:hint="eastAsia" w:ascii="仿宋_GB2312" w:eastAsia="仿宋_GB2312" w:cs="宋体"/>
          <w:sz w:val="32"/>
          <w:szCs w:val="32"/>
          <w:lang w:val="en-US" w:eastAsia="zh-CN"/>
        </w:rPr>
        <w:t>5</w:t>
      </w:r>
      <w:r>
        <w:rPr>
          <w:rFonts w:hint="eastAsia" w:ascii="仿宋_GB2312" w:eastAsia="仿宋_GB2312" w:cs="宋体"/>
          <w:sz w:val="32"/>
          <w:szCs w:val="32"/>
          <w:lang w:eastAsia="zh-CN"/>
        </w:rPr>
        <w:t>年温室气体清单总报告，为识别石家庄市主要温室气体排放源及预测未来减排潜力提供支撑。</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default"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（二）</w:t>
      </w:r>
      <w:r>
        <w:rPr>
          <w:rFonts w:hint="default" w:ascii="楷体_GB2312" w:hAnsi="楷体_GB2312" w:eastAsia="楷体_GB2312" w:cs="楷体_GB2312"/>
          <w:b w:val="0"/>
          <w:bCs w:val="0"/>
          <w:sz w:val="32"/>
          <w:szCs w:val="32"/>
          <w:highlight w:val="none"/>
          <w:u w:val="none"/>
          <w:lang w:val="en-US" w:eastAsia="zh-CN"/>
        </w:rPr>
        <w:t>政策依据</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1.国家发改委等部门《关于加快建立统一规范的碳排放统计核算体系实施方案》（发改环资〔2022〕622号）</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2.《关于推动能耗双控逐步转向碳排放双控的意见》</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3.石家庄市生态环境局、市发改委等六部门《石家庄市减污降碳协同增效实施方案》（石环发〔2023〕11号）</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（三）必要性分析</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开展</w:t>
      </w:r>
      <w:r>
        <w:rPr>
          <w:rFonts w:hint="eastAsia" w:ascii="仿宋_GB2312" w:hAnsi="仿宋_GB2312" w:eastAsia="仿宋_GB2312" w:cs="仿宋_GB2312"/>
          <w:sz w:val="32"/>
          <w:szCs w:val="32"/>
        </w:rPr>
        <w:t>石家庄市温室气体清单编制工作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助于了解石家庄市整体的温室气体排放情况，掌握各行业、各领域排放现状及特征，识别全市的控碳重点领域。清单结果有利于政府针对不同部门、行业的排放特征制定切合实际的控排目标和任务措施，为石家庄市制定减排目标提供基础数据，也为实施针对性的减排措施提供依据。同时，通过对不同年份温室气体排放变化来评估政策行动的效果，强化温室气体排放形式分析，以便及时调整本地控制温室气体排放相关政策和行动</w:t>
      </w:r>
      <w:r>
        <w:rPr>
          <w:rFonts w:hint="eastAsia" w:ascii="仿宋_GB2312" w:hAnsi="仿宋_GB2312" w:eastAsia="仿宋_GB2312" w:cs="仿宋_GB2312"/>
          <w:sz w:val="32"/>
          <w:szCs w:val="32"/>
          <w:lang w:eastAsia="zh-CN"/>
        </w:rPr>
        <w:t>。</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二、采购项目预（概）算</w:t>
      </w:r>
    </w:p>
    <w:p>
      <w:pPr>
        <w:keepNext w:val="0"/>
        <w:keepLines w:val="0"/>
        <w:pageBreakBefore w:val="0"/>
        <w:widowControl w:val="0"/>
        <w:numPr>
          <w:ilvl w:val="0"/>
          <w:numId w:val="0"/>
        </w:numPr>
        <w:tabs>
          <w:tab w:val="left" w:pos="2031"/>
        </w:tabs>
        <w:kinsoku/>
        <w:wordWrap/>
        <w:overflowPunct/>
        <w:topLinePunct w:val="0"/>
        <w:autoSpaceDE/>
        <w:autoSpaceDN/>
        <w:bidi w:val="0"/>
        <w:adjustRightInd/>
        <w:snapToGrid/>
        <w:spacing w:beforeAutospacing="0" w:afterAutospacing="0" w:line="560" w:lineRule="exact"/>
        <w:ind w:left="0" w:leftChars="0" w:right="0" w:rightChars="0" w:firstLine="640" w:firstLineChars="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总预算：</w:t>
      </w:r>
      <w:r>
        <w:rPr>
          <w:rFonts w:hint="eastAsia" w:ascii="仿宋_GB2312" w:hAnsi="仿宋_GB2312" w:eastAsia="仿宋_GB2312" w:cs="仿宋_GB2312"/>
          <w:sz w:val="32"/>
          <w:szCs w:val="32"/>
          <w:lang w:val="en-US" w:eastAsia="zh-CN"/>
        </w:rPr>
        <w:t>66.9</w:t>
      </w:r>
      <w:r>
        <w:rPr>
          <w:rFonts w:hint="eastAsia" w:ascii="仿宋_GB2312" w:hAnsi="仿宋_GB2312" w:eastAsia="仿宋_GB2312" w:cs="仿宋_GB2312"/>
          <w:sz w:val="32"/>
          <w:szCs w:val="32"/>
          <w:lang w:eastAsia="zh-CN"/>
        </w:rPr>
        <w:t>万元。</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三、项目技术商务要求</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（一）技术要求</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rPr>
        <w:t>依据《省级温室气体清单编制指南（2025年版）》、《浙江省温室气体清单编制指南（2022年修订版）》以及相关政策、文件要求，全面梳理石家庄市2025年能源活动、工业生产过程和产品使用、农业活动、土地利用、土地利用变化和林业、废弃物处理等领域，形成工作技术路线，结合对发电、建材、钢铁等行业以及对统计局、发改委、畜牧局、林业局等各管理部门的现场调研，编制2025年度五大领域温室气体清单报告及温室气体清单总报告，并结合石家庄市历史年份基本情况进行趋势分析，并有针对性的提出建议与措施。</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楷体_GB2312" w:hAnsi="楷体_GB2312" w:eastAsia="楷体_GB2312" w:cs="楷体_GB2312"/>
          <w:b w:val="0"/>
          <w:bCs w:val="0"/>
          <w:sz w:val="32"/>
          <w:szCs w:val="32"/>
          <w:highlight w:val="none"/>
          <w:u w:val="none"/>
          <w:lang w:val="en-US" w:eastAsia="zh-CN"/>
        </w:rPr>
      </w:pPr>
      <w:r>
        <w:rPr>
          <w:rFonts w:hint="eastAsia" w:ascii="楷体_GB2312" w:hAnsi="楷体_GB2312" w:eastAsia="楷体_GB2312" w:cs="楷体_GB2312"/>
          <w:b w:val="0"/>
          <w:bCs w:val="0"/>
          <w:sz w:val="32"/>
          <w:szCs w:val="32"/>
          <w:highlight w:val="none"/>
          <w:u w:val="none"/>
          <w:lang w:val="en-US" w:eastAsia="zh-CN"/>
        </w:rPr>
        <w:t>（二）商务要求</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1.服务期限:合同签订之日起至</w:t>
      </w:r>
      <w:r>
        <w:rPr>
          <w:rFonts w:hint="eastAsia" w:ascii="仿宋_GB2312" w:hAnsi="仿宋_GB2312" w:eastAsia="仿宋_GB2312" w:cs="仿宋_GB2312"/>
          <w:sz w:val="32"/>
          <w:szCs w:val="32"/>
          <w:highlight w:val="none"/>
          <w:lang w:val="en-US" w:eastAsia="zh-CN"/>
        </w:rPr>
        <w:t>2025年11月30日前</w:t>
      </w:r>
      <w:r>
        <w:rPr>
          <w:rFonts w:hint="eastAsia" w:ascii="仿宋_GB2312" w:hAnsi="仿宋_GB2312" w:eastAsia="仿宋_GB2312" w:cs="仿宋_GB2312"/>
          <w:i w:val="0"/>
          <w:iCs/>
          <w:sz w:val="32"/>
          <w:szCs w:val="32"/>
          <w:highlight w:val="none"/>
          <w:u w:val="none"/>
          <w:lang w:val="en-US" w:eastAsia="zh-CN"/>
        </w:rPr>
        <w:t>。</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2.地点：石家庄市</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3.付款条件:</w:t>
      </w:r>
    </w:p>
    <w:p>
      <w:pPr>
        <w:spacing w:line="540" w:lineRule="exact"/>
        <w:ind w:firstLine="640" w:firstLineChars="200"/>
        <w:rPr>
          <w:rFonts w:hint="eastAsia" w:ascii="仿宋_GB2312" w:hAnsi="仿宋_GB2312" w:eastAsia="仿宋_GB2312" w:cs="仿宋_GB2312"/>
          <w:iCs/>
          <w:sz w:val="32"/>
          <w:szCs w:val="32"/>
          <w:lang w:eastAsia="zh-CN"/>
        </w:rPr>
      </w:pPr>
      <w:r>
        <w:rPr>
          <w:rFonts w:hint="eastAsia" w:ascii="仿宋_GB2312" w:hAnsi="仿宋_GB2312" w:eastAsia="仿宋_GB2312" w:cs="仿宋_GB2312"/>
          <w:iCs/>
          <w:sz w:val="32"/>
          <w:szCs w:val="32"/>
          <w:lang w:eastAsia="zh-CN"/>
        </w:rPr>
        <w:t>按合同约定执行。</w:t>
      </w:r>
      <w:bookmarkStart w:id="0" w:name="_GoBack"/>
      <w:bookmarkEnd w:id="0"/>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i w:val="0"/>
          <w:iCs/>
          <w:sz w:val="32"/>
          <w:szCs w:val="32"/>
          <w:highlight w:val="none"/>
          <w:u w:val="none"/>
          <w:lang w:val="en-US" w:eastAsia="zh-CN"/>
        </w:rPr>
      </w:pPr>
      <w:r>
        <w:rPr>
          <w:rFonts w:hint="eastAsia" w:ascii="仿宋_GB2312" w:hAnsi="仿宋_GB2312" w:eastAsia="仿宋_GB2312" w:cs="仿宋_GB2312"/>
          <w:i w:val="0"/>
          <w:iCs/>
          <w:sz w:val="32"/>
          <w:szCs w:val="32"/>
          <w:highlight w:val="none"/>
          <w:u w:val="none"/>
          <w:lang w:val="en-US" w:eastAsia="zh-CN"/>
        </w:rPr>
        <w:t>4.本项目的特定资格要求：</w:t>
      </w:r>
    </w:p>
    <w:p>
      <w:pPr>
        <w:keepNext w:val="0"/>
        <w:keepLines w:val="0"/>
        <w:pageBreakBefore w:val="0"/>
        <w:widowControl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lang w:val="en-US" w:eastAsia="zh-CN"/>
        </w:rPr>
        <w:t>1.</w:t>
      </w:r>
      <w:r>
        <w:rPr>
          <w:rFonts w:hint="eastAsia" w:ascii="仿宋_GB2312" w:hAnsi="仿宋_GB2312" w:eastAsia="仿宋_GB2312" w:cs="仿宋_GB2312"/>
          <w:iCs/>
          <w:sz w:val="32"/>
          <w:szCs w:val="32"/>
        </w:rPr>
        <w:t>符合《中华人民共和国政府采购法》第二十二条规定；</w:t>
      </w:r>
    </w:p>
    <w:p>
      <w:pPr>
        <w:keepNext w:val="0"/>
        <w:keepLines w:val="0"/>
        <w:pageBreakBefore w:val="0"/>
        <w:widowControl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lang w:val="en-US" w:eastAsia="zh-CN"/>
        </w:rPr>
        <w:t>2.</w:t>
      </w:r>
      <w:r>
        <w:rPr>
          <w:rFonts w:hint="eastAsia" w:ascii="仿宋_GB2312" w:hAnsi="仿宋_GB2312" w:eastAsia="仿宋_GB2312" w:cs="仿宋_GB2312"/>
          <w:iCs/>
          <w:sz w:val="32"/>
          <w:szCs w:val="32"/>
        </w:rPr>
        <w:t>需要落实的政府采购政策：专门面向</w:t>
      </w:r>
      <w:r>
        <w:rPr>
          <w:rFonts w:hint="eastAsia" w:ascii="仿宋_GB2312" w:hAnsi="仿宋_GB2312" w:eastAsia="仿宋_GB2312" w:cs="仿宋_GB2312"/>
          <w:iCs/>
          <w:sz w:val="32"/>
          <w:szCs w:val="32"/>
          <w:lang w:eastAsia="zh-CN"/>
        </w:rPr>
        <w:t>中小</w:t>
      </w:r>
      <w:r>
        <w:rPr>
          <w:rFonts w:hint="eastAsia" w:ascii="仿宋_GB2312" w:hAnsi="仿宋_GB2312" w:eastAsia="仿宋_GB2312" w:cs="仿宋_GB2312"/>
          <w:iCs/>
          <w:sz w:val="32"/>
          <w:szCs w:val="32"/>
        </w:rPr>
        <w:t>企业采购的项目；</w:t>
      </w:r>
    </w:p>
    <w:p>
      <w:pPr>
        <w:keepNext w:val="0"/>
        <w:keepLines w:val="0"/>
        <w:pageBreakBefore w:val="0"/>
        <w:widowControl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lang w:val="en-US" w:eastAsia="zh-CN"/>
        </w:rPr>
        <w:t>3.</w:t>
      </w:r>
      <w:r>
        <w:rPr>
          <w:rFonts w:hint="eastAsia" w:ascii="仿宋_GB2312" w:hAnsi="仿宋_GB2312" w:eastAsia="仿宋_GB2312" w:cs="仿宋_GB2312"/>
          <w:iCs/>
          <w:sz w:val="32"/>
          <w:szCs w:val="32"/>
        </w:rPr>
        <w:t>未被列入“信用中国”网站(www.creditchina.gov.cn)失信被执行人、重大税收违法案件当事人名单、政府采购严重违法失信行为记录名单，且未被列入中国政府采购网(www.ccgp.gov.cn)政府采购严重违法失信行为记录名单；</w:t>
      </w:r>
    </w:p>
    <w:p>
      <w:pPr>
        <w:keepNext w:val="0"/>
        <w:keepLines w:val="0"/>
        <w:pageBreakBefore w:val="0"/>
        <w:widowControl w:val="0"/>
        <w:kinsoku/>
        <w:wordWrap/>
        <w:overflowPunct/>
        <w:topLinePunct w:val="0"/>
        <w:autoSpaceDE/>
        <w:autoSpaceDN/>
        <w:bidi w:val="0"/>
        <w:snapToGrid/>
        <w:spacing w:line="560" w:lineRule="exact"/>
        <w:ind w:firstLine="640" w:firstLineChars="200"/>
        <w:jc w:val="left"/>
        <w:textAlignment w:val="auto"/>
        <w:rPr>
          <w:rFonts w:hint="eastAsia" w:ascii="仿宋_GB2312" w:hAnsi="仿宋_GB2312" w:eastAsia="仿宋_GB2312" w:cs="仿宋_GB2312"/>
          <w:iCs/>
          <w:sz w:val="32"/>
          <w:szCs w:val="32"/>
        </w:rPr>
      </w:pPr>
      <w:r>
        <w:rPr>
          <w:rFonts w:hint="eastAsia" w:ascii="仿宋_GB2312" w:hAnsi="仿宋_GB2312" w:eastAsia="仿宋_GB2312" w:cs="仿宋_GB2312"/>
          <w:iCs/>
          <w:sz w:val="32"/>
          <w:szCs w:val="32"/>
          <w:lang w:val="en-US" w:eastAsia="zh-CN"/>
        </w:rPr>
        <w:t>4.</w:t>
      </w:r>
      <w:r>
        <w:rPr>
          <w:rFonts w:hint="eastAsia" w:ascii="仿宋_GB2312" w:hAnsi="仿宋_GB2312" w:eastAsia="仿宋_GB2312" w:cs="仿宋_GB2312"/>
          <w:iCs/>
          <w:sz w:val="32"/>
          <w:szCs w:val="32"/>
        </w:rPr>
        <w:t>与采购人存在利害关系可能影响招标公正性的法人、其他组织或者个人，不得参加本次采购项目的投标；单位负责人为同一人或者存在直接控股、管理关系的不同供应商，不得参加同一合同项下的政府采购活动。违反本款规定的，相关投标均无效；</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iCs/>
          <w:sz w:val="32"/>
          <w:szCs w:val="32"/>
          <w:lang w:val="en-US" w:eastAsia="zh-CN"/>
        </w:rPr>
        <w:t>5.</w:t>
      </w:r>
      <w:r>
        <w:rPr>
          <w:rFonts w:hint="eastAsia" w:ascii="仿宋_GB2312" w:hAnsi="仿宋_GB2312" w:eastAsia="仿宋_GB2312" w:cs="仿宋_GB2312"/>
          <w:iCs/>
          <w:sz w:val="32"/>
          <w:szCs w:val="32"/>
        </w:rPr>
        <w:t>本项目不接受联合体投标，不得分包和转包。</w:t>
      </w:r>
    </w:p>
    <w:p>
      <w:pPr>
        <w:keepNext w:val="0"/>
        <w:keepLines w:val="0"/>
        <w:pageBreakBefore w:val="0"/>
        <w:widowControl w:val="0"/>
        <w:shd w:val="clear" w:color="auto" w:fill="auto"/>
        <w:kinsoku/>
        <w:wordWrap/>
        <w:overflowPunct/>
        <w:topLinePunct w:val="0"/>
        <w:autoSpaceDE/>
        <w:autoSpaceDN/>
        <w:bidi w:val="0"/>
        <w:snapToGrid/>
        <w:spacing w:line="560" w:lineRule="exact"/>
        <w:ind w:firstLine="640" w:firstLineChars="200"/>
        <w:jc w:val="left"/>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四、项目绩效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项目实施后，</w:t>
      </w:r>
      <w:r>
        <w:rPr>
          <w:rFonts w:hint="eastAsia" w:ascii="仿宋_GB2312" w:eastAsia="仿宋_GB2312" w:cs="宋体"/>
          <w:sz w:val="32"/>
          <w:szCs w:val="32"/>
          <w:lang w:eastAsia="zh-CN"/>
        </w:rPr>
        <w:t>形成石家庄市2025年能源活动，工业生产过程和产品使用，农业活动，土地利用、土地利用变化和林业，废弃物处理等五大领域温室气体清单报告及石家庄市2025年温室气体清单总报告，可较为清晰地掌握石家庄市温室气体排放结构和组分，辨识温室气体排放量及其排放特征，跟踪温室气体增减变化及发展趋势，有利于政府针对不同部门、行业的排放特征制定切合实际的控排目标和任务措施。同时，通过对不同年份温室气体排放变化来评估政策行动的效果，以便及时调整本地控制温室气体排放相关政策和行动，提出建议措施</w:t>
      </w:r>
      <w:r>
        <w:rPr>
          <w:rFonts w:hint="eastAsia" w:ascii="仿宋_GB2312" w:eastAsia="仿宋_GB2312"/>
          <w:sz w:val="32"/>
          <w:szCs w:val="32"/>
          <w:lang w:eastAsia="zh-CN"/>
        </w:rPr>
        <w:t>。</w:t>
      </w:r>
    </w:p>
    <w:p>
      <w:pPr>
        <w:pStyle w:val="11"/>
        <w:keepNext w:val="0"/>
        <w:keepLines w:val="0"/>
        <w:pageBreakBefore w:val="0"/>
        <w:widowControl w:val="0"/>
        <w:kinsoku/>
        <w:wordWrap/>
        <w:overflowPunct/>
        <w:topLinePunct w:val="0"/>
        <w:autoSpaceDE/>
        <w:autoSpaceDN/>
        <w:bidi w:val="0"/>
        <w:adjustRightInd w:val="0"/>
        <w:snapToGrid/>
        <w:spacing w:line="560" w:lineRule="exact"/>
        <w:ind w:right="0" w:rightChars="0" w:firstLine="640"/>
        <w:jc w:val="left"/>
        <w:textAlignment w:val="auto"/>
        <w:rPr>
          <w:rFonts w:hint="eastAsia" w:ascii="黑体" w:hAnsi="黑体" w:eastAsia="黑体" w:cs="黑体"/>
          <w:b w:val="0"/>
          <w:bCs/>
          <w:sz w:val="32"/>
          <w:szCs w:val="32"/>
        </w:rPr>
      </w:pPr>
      <w:r>
        <w:rPr>
          <w:rFonts w:hint="eastAsia" w:ascii="黑体" w:hAnsi="黑体" w:eastAsia="黑体" w:cs="黑体"/>
          <w:b w:val="0"/>
          <w:bCs/>
          <w:sz w:val="32"/>
          <w:szCs w:val="32"/>
        </w:rPr>
        <w:br w:type="page"/>
      </w:r>
    </w:p>
    <w:p>
      <w:pPr>
        <w:pStyle w:val="11"/>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23"/>
        <w:rPr>
          <w:rFonts w:ascii="仿宋_GB2312" w:hAnsi="仿宋_GB2312" w:eastAsia="仿宋_GB2312" w:cs="仿宋_GB2312"/>
          <w:b/>
          <w:sz w:val="48"/>
        </w:rPr>
      </w:pPr>
    </w:p>
    <w:p>
      <w:pPr>
        <w:pStyle w:val="24"/>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3"/>
      </w:pPr>
    </w:p>
    <w:p>
      <w:pPr>
        <w:pStyle w:val="24"/>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3"/>
      </w:pPr>
    </w:p>
    <w:p>
      <w:pPr>
        <w:pStyle w:val="24"/>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3"/>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3"/>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3"/>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11"/>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11"/>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5"/>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11"/>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11"/>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3"/>
        <w:rPr>
          <w:rFonts w:hint="eastAsia" w:ascii="仿宋_GB2312" w:hAnsi="仿宋_GB2312" w:eastAsia="仿宋_GB2312" w:cs="仿宋_GB2312"/>
          <w:sz w:val="28"/>
        </w:rPr>
      </w:pPr>
    </w:p>
    <w:p>
      <w:pPr>
        <w:pStyle w:val="24"/>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3"/>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石家庄市温室气体清单编制工作项目</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询价告知卡</w:t>
      </w:r>
    </w:p>
    <w:p>
      <w:pPr>
        <w:pStyle w:val="34"/>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11"/>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1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11"/>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我单位官网发布的“石家庄市温室气体清单编制工作</w:t>
      </w:r>
      <w:r>
        <w:rPr>
          <w:rFonts w:hint="eastAsia" w:ascii="方正小标宋_GBK" w:hAnsi="方正小标宋_GBK" w:eastAsia="方正小标宋_GBK" w:cs="方正小标宋_GBK"/>
          <w:b w:val="0"/>
          <w:bCs/>
          <w:sz w:val="32"/>
          <w:szCs w:val="32"/>
          <w:lang w:val="en-US" w:eastAsia="zh-CN"/>
        </w:rPr>
        <w:t>项目</w:t>
      </w:r>
      <w:r>
        <w:rPr>
          <w:rFonts w:hint="eastAsia" w:ascii="方正小标宋_GBK" w:hAnsi="方正小标宋_GBK" w:eastAsia="方正小标宋_GBK" w:cs="方正小标宋_GBK"/>
          <w:b w:val="0"/>
          <w:bCs/>
          <w:sz w:val="32"/>
          <w:szCs w:val="32"/>
        </w:rPr>
        <w:t>的询价信息公告”是否阅知？</w:t>
      </w: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1"/>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我单位官网发布的“石家庄市温室气体清单编制工作</w:t>
      </w:r>
      <w:r>
        <w:rPr>
          <w:rFonts w:hint="eastAsia" w:ascii="方正小标宋_GBK" w:hAnsi="方正小标宋_GBK" w:eastAsia="方正小标宋_GBK" w:cs="方正小标宋_GBK"/>
          <w:b w:val="0"/>
          <w:bCs/>
          <w:sz w:val="32"/>
          <w:szCs w:val="32"/>
          <w:lang w:val="en-US" w:eastAsia="zh-CN"/>
        </w:rPr>
        <w:t>项目询价程序</w:t>
      </w:r>
      <w:r>
        <w:rPr>
          <w:rFonts w:hint="eastAsia" w:ascii="方正小标宋_GBK" w:hAnsi="方正小标宋_GBK" w:eastAsia="方正小标宋_GBK" w:cs="方正小标宋_GBK"/>
          <w:b w:val="0"/>
          <w:bCs/>
          <w:sz w:val="32"/>
          <w:szCs w:val="32"/>
        </w:rPr>
        <w:t>”是否阅知？</w:t>
      </w: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1"/>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我单位官网发布的“石家庄市温室气体清单编制工作”</w:t>
      </w:r>
      <w:r>
        <w:rPr>
          <w:rFonts w:hint="eastAsia" w:ascii="方正小标宋_GBK" w:hAnsi="方正小标宋_GBK" w:eastAsia="方正小标宋_GBK" w:cs="方正小标宋_GBK"/>
          <w:b w:val="0"/>
          <w:bCs/>
          <w:sz w:val="32"/>
          <w:szCs w:val="32"/>
          <w:lang w:val="en-US" w:eastAsia="zh-CN"/>
        </w:rPr>
        <w:t>项目</w:t>
      </w:r>
      <w:r>
        <w:rPr>
          <w:rFonts w:hint="eastAsia" w:ascii="方正小标宋_GBK" w:hAnsi="方正小标宋_GBK" w:eastAsia="方正小标宋_GBK" w:cs="方正小标宋_GBK"/>
          <w:b w:val="0"/>
          <w:bCs/>
          <w:sz w:val="32"/>
          <w:szCs w:val="32"/>
        </w:rPr>
        <w:t>及采购需求是否阅知？</w:t>
      </w: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11"/>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11"/>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0000000000000000000"/>
    <w:charset w:val="01"/>
    <w:family w:val="auto"/>
    <w:pitch w:val="default"/>
    <w:sig w:usb0="00000000" w:usb1="00000000" w:usb2="00000000" w:usb3="00000000" w:csb0="00000000"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Cambria">
    <w:altName w:val="Noto Sans Syriac Eastern"/>
    <w:panose1 w:val="02040503050406030204"/>
    <w:charset w:val="00"/>
    <w:family w:val="roman"/>
    <w:pitch w:val="default"/>
    <w:sig w:usb0="00000000" w:usb1="00000000" w:usb2="02000000" w:usb3="00000000" w:csb0="2000019F" w:csb1="00000000"/>
  </w:font>
  <w:font w:name="仿宋">
    <w:altName w:val="方正仿宋_GBK"/>
    <w:panose1 w:val="02010609060101010101"/>
    <w:charset w:val="86"/>
    <w:family w:val="auto"/>
    <w:pitch w:val="default"/>
    <w:sig w:usb0="00000000" w:usb1="00000000"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华文仿宋">
    <w:altName w:val="方正仿宋_GBK"/>
    <w:panose1 w:val="02010600040101010101"/>
    <w:charset w:val="86"/>
    <w:family w:val="auto"/>
    <w:pitch w:val="default"/>
    <w:sig w:usb0="00000000" w:usb1="00000000" w:usb2="00000000" w:usb3="00000000" w:csb0="0004009F" w:csb1="DFD7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Microsoft YaHei">
    <w:altName w:val="方正黑体_GBK"/>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Noto Sans Syriac Eastern">
    <w:panose1 w:val="02040503050306020203"/>
    <w:charset w:val="86"/>
    <w:family w:val="auto"/>
    <w:pitch w:val="default"/>
    <w:sig w:usb0="00000000" w:usb1="00000000" w:usb2="00000080" w:usb3="00000000" w:csb0="203E0161" w:csb1="D7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7"/>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dit="forms"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YwZWVhZGZmMWE0NjI4ODI4OGUwMTRlMWVlMDAwMDI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2810B4"/>
    <w:rsid w:val="01D53C37"/>
    <w:rsid w:val="02B80751"/>
    <w:rsid w:val="034E7427"/>
    <w:rsid w:val="054637EC"/>
    <w:rsid w:val="05AA1AAE"/>
    <w:rsid w:val="05C20325"/>
    <w:rsid w:val="06FF4152"/>
    <w:rsid w:val="0BA31992"/>
    <w:rsid w:val="0C63233E"/>
    <w:rsid w:val="0CD60C9A"/>
    <w:rsid w:val="0E88796A"/>
    <w:rsid w:val="0EA22822"/>
    <w:rsid w:val="0EC0759D"/>
    <w:rsid w:val="0EDF32A9"/>
    <w:rsid w:val="0F317B25"/>
    <w:rsid w:val="105B6A84"/>
    <w:rsid w:val="10BD0069"/>
    <w:rsid w:val="10E34450"/>
    <w:rsid w:val="11E76B9F"/>
    <w:rsid w:val="12684593"/>
    <w:rsid w:val="1320369B"/>
    <w:rsid w:val="13325751"/>
    <w:rsid w:val="135D040F"/>
    <w:rsid w:val="13621EEC"/>
    <w:rsid w:val="138564F0"/>
    <w:rsid w:val="13AA5E2B"/>
    <w:rsid w:val="13D73627"/>
    <w:rsid w:val="13E41600"/>
    <w:rsid w:val="15A52F2E"/>
    <w:rsid w:val="16F9F3CA"/>
    <w:rsid w:val="17C821C3"/>
    <w:rsid w:val="18C563ED"/>
    <w:rsid w:val="194A05B4"/>
    <w:rsid w:val="1AC66850"/>
    <w:rsid w:val="1B8D5C41"/>
    <w:rsid w:val="1E486234"/>
    <w:rsid w:val="1F012D15"/>
    <w:rsid w:val="1F6623C1"/>
    <w:rsid w:val="20304FD0"/>
    <w:rsid w:val="204E102B"/>
    <w:rsid w:val="213868ED"/>
    <w:rsid w:val="21967DBF"/>
    <w:rsid w:val="219A57C2"/>
    <w:rsid w:val="222840E4"/>
    <w:rsid w:val="22DF2C0B"/>
    <w:rsid w:val="238D0876"/>
    <w:rsid w:val="23973171"/>
    <w:rsid w:val="24BB6482"/>
    <w:rsid w:val="25B214B7"/>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00B62EF"/>
    <w:rsid w:val="3156643E"/>
    <w:rsid w:val="32BC67A5"/>
    <w:rsid w:val="32D76267"/>
    <w:rsid w:val="332609ED"/>
    <w:rsid w:val="33433250"/>
    <w:rsid w:val="346A24A1"/>
    <w:rsid w:val="36336D3C"/>
    <w:rsid w:val="37664A4B"/>
    <w:rsid w:val="376A10BB"/>
    <w:rsid w:val="37D31B27"/>
    <w:rsid w:val="3A3F6D53"/>
    <w:rsid w:val="3A9F725A"/>
    <w:rsid w:val="3B2535D0"/>
    <w:rsid w:val="3BFD628B"/>
    <w:rsid w:val="3C3314A1"/>
    <w:rsid w:val="3C771D8C"/>
    <w:rsid w:val="3E6532EA"/>
    <w:rsid w:val="3ED04B63"/>
    <w:rsid w:val="3F345B9D"/>
    <w:rsid w:val="3FC2791B"/>
    <w:rsid w:val="3FCD703E"/>
    <w:rsid w:val="403959A7"/>
    <w:rsid w:val="42B43088"/>
    <w:rsid w:val="43457534"/>
    <w:rsid w:val="44127729"/>
    <w:rsid w:val="45330549"/>
    <w:rsid w:val="45A54022"/>
    <w:rsid w:val="47D64CBF"/>
    <w:rsid w:val="486D2B74"/>
    <w:rsid w:val="48BA422E"/>
    <w:rsid w:val="49862862"/>
    <w:rsid w:val="49891591"/>
    <w:rsid w:val="4A103E4C"/>
    <w:rsid w:val="4B34396A"/>
    <w:rsid w:val="4B562B1E"/>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AD34DEF"/>
    <w:rsid w:val="5B00603C"/>
    <w:rsid w:val="5B4A3877"/>
    <w:rsid w:val="5B5F0B54"/>
    <w:rsid w:val="5B7F49C4"/>
    <w:rsid w:val="5B8649E8"/>
    <w:rsid w:val="5EAE0D08"/>
    <w:rsid w:val="5EDA3786"/>
    <w:rsid w:val="5F0919A4"/>
    <w:rsid w:val="60456754"/>
    <w:rsid w:val="617625B0"/>
    <w:rsid w:val="61817A1F"/>
    <w:rsid w:val="620F2B8A"/>
    <w:rsid w:val="622718D7"/>
    <w:rsid w:val="62517FC0"/>
    <w:rsid w:val="62720114"/>
    <w:rsid w:val="627853EA"/>
    <w:rsid w:val="638C03E2"/>
    <w:rsid w:val="64481E81"/>
    <w:rsid w:val="645131D3"/>
    <w:rsid w:val="659C40EE"/>
    <w:rsid w:val="66302E0F"/>
    <w:rsid w:val="66EB461E"/>
    <w:rsid w:val="672B0915"/>
    <w:rsid w:val="67AB00FD"/>
    <w:rsid w:val="67BE26CC"/>
    <w:rsid w:val="680A67C8"/>
    <w:rsid w:val="68837F16"/>
    <w:rsid w:val="68E07AEE"/>
    <w:rsid w:val="69006831"/>
    <w:rsid w:val="6A4A6515"/>
    <w:rsid w:val="6A640F76"/>
    <w:rsid w:val="6DD00BA9"/>
    <w:rsid w:val="6E2C46FB"/>
    <w:rsid w:val="6EB011EB"/>
    <w:rsid w:val="6F125D61"/>
    <w:rsid w:val="6FDF2DF4"/>
    <w:rsid w:val="70100B0B"/>
    <w:rsid w:val="70642025"/>
    <w:rsid w:val="70F652BC"/>
    <w:rsid w:val="71407CFA"/>
    <w:rsid w:val="721A7869"/>
    <w:rsid w:val="726C6ADB"/>
    <w:rsid w:val="73D7125A"/>
    <w:rsid w:val="751F4904"/>
    <w:rsid w:val="759706CC"/>
    <w:rsid w:val="762941A2"/>
    <w:rsid w:val="76536B40"/>
    <w:rsid w:val="76D36788"/>
    <w:rsid w:val="77D53717"/>
    <w:rsid w:val="784D55E5"/>
    <w:rsid w:val="78692099"/>
    <w:rsid w:val="79BD9DB0"/>
    <w:rsid w:val="7C115EE7"/>
    <w:rsid w:val="7D242C86"/>
    <w:rsid w:val="7DBE5B9D"/>
    <w:rsid w:val="7E1A6E9E"/>
    <w:rsid w:val="7F50046D"/>
    <w:rsid w:val="7FA935D7"/>
    <w:rsid w:val="7FB23D36"/>
    <w:rsid w:val="7FF7F460"/>
    <w:rsid w:val="AFFF926C"/>
    <w:rsid w:val="BAFE6063"/>
    <w:rsid w:val="DEBEE8E1"/>
    <w:rsid w:val="DFDA2F8C"/>
    <w:rsid w:val="EFBDB3FE"/>
    <w:rsid w:val="EFF73B92"/>
    <w:rsid w:val="F3EFDC10"/>
    <w:rsid w:val="F69DC261"/>
    <w:rsid w:val="FFFE6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jc w:val="left"/>
      <w:outlineLvl w:val="0"/>
    </w:pPr>
    <w:rPr>
      <w:rFonts w:ascii="宋体" w:hAnsi="宋体"/>
      <w:b/>
      <w:sz w:val="32"/>
      <w:szCs w:val="20"/>
    </w:rPr>
  </w:style>
  <w:style w:type="paragraph" w:styleId="6">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7">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8">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9">
    <w:name w:val="heading 5"/>
    <w:basedOn w:val="1"/>
    <w:next w:val="1"/>
    <w:unhideWhenUsed/>
    <w:qFormat/>
    <w:uiPriority w:val="0"/>
    <w:pPr>
      <w:keepNext/>
      <w:keepLines/>
      <w:spacing w:before="280" w:after="290" w:line="376" w:lineRule="atLeast"/>
      <w:outlineLvl w:val="4"/>
    </w:pPr>
    <w:rPr>
      <w:bCs/>
      <w:szCs w:val="28"/>
    </w:rPr>
  </w:style>
  <w:style w:type="character" w:default="1" w:styleId="27">
    <w:name w:val="Default Paragraph Font"/>
    <w:unhideWhenUsed/>
    <w:qFormat/>
    <w:uiPriority w:val="1"/>
  </w:style>
  <w:style w:type="table" w:default="1" w:styleId="25">
    <w:name w:val="Normal Table"/>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spacing w:line="360" w:lineRule="auto"/>
      <w:ind w:firstLine="420"/>
    </w:pPr>
    <w:rPr>
      <w:szCs w:val="20"/>
    </w:rPr>
  </w:style>
  <w:style w:type="paragraph" w:customStyle="1" w:styleId="3">
    <w:name w:val="Char Char Char Char Char Char Char Char Char1 Char"/>
    <w:basedOn w:val="1"/>
    <w:next w:val="4"/>
    <w:qFormat/>
    <w:uiPriority w:val="0"/>
    <w:pPr>
      <w:spacing w:line="360" w:lineRule="auto"/>
      <w:ind w:firstLine="200" w:firstLineChars="200"/>
    </w:pPr>
    <w:rPr>
      <w:rFonts w:hAnsi="宋体" w:cs="宋体"/>
      <w:spacing w:val="0"/>
      <w:sz w:val="24"/>
      <w:szCs w:val="24"/>
    </w:rPr>
  </w:style>
  <w:style w:type="paragraph" w:customStyle="1" w:styleId="4">
    <w:name w:val="Body Text First Indent1"/>
    <w:next w:val="1"/>
    <w:qFormat/>
    <w:uiPriority w:val="0"/>
    <w:pPr>
      <w:widowControl w:val="0"/>
      <w:spacing w:after="120"/>
      <w:ind w:firstLine="420"/>
      <w:jc w:val="both"/>
    </w:pPr>
    <w:rPr>
      <w:rFonts w:ascii="Times New Roman" w:hAnsi="Times New Roman" w:eastAsia="宋体" w:cs="Times New Roman"/>
      <w:sz w:val="21"/>
      <w:szCs w:val="22"/>
      <w:lang w:val="en-US" w:eastAsia="zh-CN" w:bidi="ar-SA"/>
    </w:rPr>
  </w:style>
  <w:style w:type="paragraph" w:styleId="10">
    <w:name w:val="annotation text"/>
    <w:basedOn w:val="1"/>
    <w:link w:val="43"/>
    <w:qFormat/>
    <w:uiPriority w:val="0"/>
    <w:pPr>
      <w:jc w:val="left"/>
    </w:pPr>
  </w:style>
  <w:style w:type="paragraph" w:styleId="11">
    <w:name w:val="Body Text"/>
    <w:basedOn w:val="1"/>
    <w:qFormat/>
    <w:uiPriority w:val="0"/>
    <w:pPr>
      <w:jc w:val="center"/>
    </w:pPr>
    <w:rPr>
      <w:rFonts w:ascii="宋体"/>
      <w:b/>
      <w:sz w:val="48"/>
    </w:rPr>
  </w:style>
  <w:style w:type="paragraph" w:styleId="12">
    <w:name w:val="Body Text Indent"/>
    <w:basedOn w:val="1"/>
    <w:unhideWhenUsed/>
    <w:qFormat/>
    <w:uiPriority w:val="99"/>
    <w:pPr>
      <w:spacing w:after="120"/>
      <w:ind w:left="420" w:leftChars="200"/>
    </w:pPr>
    <w:rPr>
      <w:rFonts w:ascii="Times New Roman" w:hAnsi="Times New Roman" w:eastAsia="宋体" w:cs="Times New Roman"/>
      <w:szCs w:val="24"/>
    </w:rPr>
  </w:style>
  <w:style w:type="paragraph" w:styleId="13">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4">
    <w:name w:val="Balloon Text"/>
    <w:basedOn w:val="1"/>
    <w:link w:val="45"/>
    <w:qFormat/>
    <w:uiPriority w:val="0"/>
    <w:rPr>
      <w:sz w:val="18"/>
      <w:szCs w:val="18"/>
    </w:rPr>
  </w:style>
  <w:style w:type="paragraph" w:styleId="15">
    <w:name w:val="footer"/>
    <w:basedOn w:val="1"/>
    <w:qFormat/>
    <w:uiPriority w:val="0"/>
    <w:pPr>
      <w:tabs>
        <w:tab w:val="center" w:pos="4153"/>
        <w:tab w:val="right" w:pos="8306"/>
      </w:tabs>
      <w:snapToGrid w:val="0"/>
      <w:jc w:val="left"/>
    </w:pPr>
    <w:rPr>
      <w:sz w:val="18"/>
    </w:rPr>
  </w:style>
  <w:style w:type="paragraph" w:styleId="1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7">
    <w:name w:val="toc 1"/>
    <w:basedOn w:val="1"/>
    <w:next w:val="1"/>
    <w:qFormat/>
    <w:uiPriority w:val="0"/>
    <w:pPr>
      <w:spacing w:before="120" w:after="120"/>
      <w:jc w:val="left"/>
    </w:pPr>
    <w:rPr>
      <w:b/>
      <w:bCs/>
      <w:caps/>
    </w:rPr>
  </w:style>
  <w:style w:type="paragraph" w:styleId="18">
    <w:name w:val="toc 4"/>
    <w:basedOn w:val="1"/>
    <w:next w:val="1"/>
    <w:qFormat/>
    <w:uiPriority w:val="0"/>
    <w:pPr>
      <w:ind w:left="1260" w:leftChars="600"/>
    </w:pPr>
  </w:style>
  <w:style w:type="paragraph" w:styleId="19">
    <w:name w:val="Body Text Indent 3"/>
    <w:basedOn w:val="1"/>
    <w:qFormat/>
    <w:uiPriority w:val="0"/>
    <w:pPr>
      <w:ind w:firstLine="560" w:firstLineChars="200"/>
    </w:pPr>
    <w:rPr>
      <w:rFonts w:ascii="仿宋_GB2312" w:eastAsia="仿宋_GB2312"/>
      <w:sz w:val="28"/>
    </w:rPr>
  </w:style>
  <w:style w:type="paragraph" w:styleId="20">
    <w:name w:val="toc 2"/>
    <w:basedOn w:val="1"/>
    <w:next w:val="1"/>
    <w:qFormat/>
    <w:uiPriority w:val="0"/>
    <w:pPr>
      <w:tabs>
        <w:tab w:val="right" w:leader="dot" w:pos="9038"/>
      </w:tabs>
      <w:spacing w:line="60" w:lineRule="atLeast"/>
      <w:ind w:left="210"/>
      <w:jc w:val="left"/>
    </w:pPr>
    <w:rPr>
      <w:smallCaps/>
    </w:rPr>
  </w:style>
  <w:style w:type="paragraph" w:styleId="21">
    <w:name w:val="Normal (Web)"/>
    <w:basedOn w:val="1"/>
    <w:qFormat/>
    <w:uiPriority w:val="0"/>
    <w:rPr>
      <w:rFonts w:ascii="Calibri" w:hAnsi="Calibri" w:eastAsia="宋体" w:cs="Times New Roman"/>
      <w:sz w:val="24"/>
    </w:rPr>
  </w:style>
  <w:style w:type="paragraph" w:styleId="22">
    <w:name w:val="annotation subject"/>
    <w:basedOn w:val="10"/>
    <w:next w:val="10"/>
    <w:link w:val="44"/>
    <w:qFormat/>
    <w:uiPriority w:val="0"/>
    <w:rPr>
      <w:b/>
      <w:bCs/>
    </w:rPr>
  </w:style>
  <w:style w:type="paragraph" w:styleId="23">
    <w:name w:val="Body Text First Indent"/>
    <w:basedOn w:val="11"/>
    <w:next w:val="24"/>
    <w:unhideWhenUsed/>
    <w:qFormat/>
    <w:uiPriority w:val="99"/>
    <w:pPr>
      <w:ind w:firstLine="420" w:firstLineChars="100"/>
    </w:pPr>
  </w:style>
  <w:style w:type="paragraph" w:styleId="24">
    <w:name w:val="Body Text First Indent 2"/>
    <w:basedOn w:val="12"/>
    <w:unhideWhenUsed/>
    <w:qFormat/>
    <w:uiPriority w:val="99"/>
    <w:pPr>
      <w:ind w:firstLine="420" w:firstLineChars="200"/>
    </w:p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page number"/>
    <w:basedOn w:val="27"/>
    <w:qFormat/>
    <w:uiPriority w:val="0"/>
  </w:style>
  <w:style w:type="character" w:styleId="29">
    <w:name w:val="Hyperlink"/>
    <w:basedOn w:val="27"/>
    <w:qFormat/>
    <w:uiPriority w:val="0"/>
    <w:rPr>
      <w:color w:val="0000FF"/>
      <w:u w:val="single"/>
    </w:rPr>
  </w:style>
  <w:style w:type="character" w:styleId="30">
    <w:name w:val="annotation reference"/>
    <w:basedOn w:val="27"/>
    <w:qFormat/>
    <w:uiPriority w:val="0"/>
    <w:rPr>
      <w:sz w:val="21"/>
      <w:szCs w:val="21"/>
    </w:rPr>
  </w:style>
  <w:style w:type="paragraph" w:customStyle="1" w:styleId="31">
    <w:name w:val="NormalIndent"/>
    <w:next w:val="32"/>
    <w:qFormat/>
    <w:uiPriority w:val="99"/>
    <w:pPr>
      <w:widowControl w:val="0"/>
      <w:ind w:firstLine="420" w:firstLineChars="200"/>
      <w:jc w:val="both"/>
    </w:pPr>
    <w:rPr>
      <w:rFonts w:ascii="Times New Roman" w:hAnsi="Times New Roman" w:eastAsia="仿宋" w:cs="Times New Roman"/>
      <w:kern w:val="2"/>
      <w:sz w:val="21"/>
      <w:szCs w:val="24"/>
      <w:lang w:val="en-US" w:eastAsia="zh-CN" w:bidi="ar-SA"/>
    </w:rPr>
  </w:style>
  <w:style w:type="paragraph" w:customStyle="1" w:styleId="32">
    <w:name w:val="Heading4"/>
    <w:next w:val="31"/>
    <w:qFormat/>
    <w:uiPriority w:val="99"/>
    <w:pPr>
      <w:keepNext/>
      <w:keepLines/>
      <w:widowControl w:val="0"/>
      <w:spacing w:before="280" w:after="290" w:line="376" w:lineRule="auto"/>
      <w:jc w:val="both"/>
    </w:pPr>
    <w:rPr>
      <w:rFonts w:ascii="Cambria" w:hAnsi="Cambria" w:eastAsia="宋体" w:cs="Times New Roman"/>
      <w:b/>
      <w:kern w:val="2"/>
      <w:sz w:val="28"/>
      <w:szCs w:val="24"/>
      <w:lang w:val="en-US" w:eastAsia="zh-CN" w:bidi="ar-SA"/>
    </w:rPr>
  </w:style>
  <w:style w:type="paragraph" w:customStyle="1" w:styleId="33">
    <w:name w:val="Char"/>
    <w:basedOn w:val="1"/>
    <w:qFormat/>
    <w:uiPriority w:val="0"/>
    <w:rPr>
      <w:szCs w:val="20"/>
    </w:rPr>
  </w:style>
  <w:style w:type="paragraph" w:customStyle="1" w:styleId="34">
    <w:name w:val="表格文字"/>
    <w:basedOn w:val="1"/>
    <w:next w:val="11"/>
    <w:qFormat/>
    <w:uiPriority w:val="0"/>
    <w:pPr>
      <w:spacing w:line="360" w:lineRule="auto"/>
      <w:jc w:val="left"/>
    </w:pPr>
    <w:rPr>
      <w:rFonts w:ascii="Times New Roman" w:hAnsi="Times New Roman"/>
      <w:bCs/>
      <w:spacing w:val="10"/>
      <w:kern w:val="0"/>
      <w:szCs w:val="21"/>
    </w:rPr>
  </w:style>
  <w:style w:type="paragraph" w:customStyle="1" w:styleId="35">
    <w:name w:val="正文1"/>
    <w:basedOn w:val="36"/>
    <w:qFormat/>
    <w:uiPriority w:val="0"/>
    <w:pPr>
      <w:jc w:val="both"/>
    </w:pPr>
    <w:rPr>
      <w:rFonts w:ascii="Times New Roman" w:hAnsi="Times New Roman" w:eastAsia="Times New Roman"/>
      <w:sz w:val="21"/>
    </w:rPr>
  </w:style>
  <w:style w:type="paragraph" w:customStyle="1" w:styleId="36">
    <w:name w:val="[Normal]"/>
    <w:qFormat/>
    <w:uiPriority w:val="0"/>
    <w:rPr>
      <w:rFonts w:ascii="宋体" w:hAnsi="宋体" w:eastAsiaTheme="minorEastAsia" w:cstheme="minorBidi"/>
      <w:sz w:val="24"/>
      <w:szCs w:val="22"/>
      <w:lang w:val="en-US" w:eastAsia="en-US" w:bidi="ar-SA"/>
    </w:rPr>
  </w:style>
  <w:style w:type="paragraph" w:customStyle="1" w:styleId="37">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8">
    <w:name w:val="C503-正文格式"/>
    <w:basedOn w:val="1"/>
    <w:qFormat/>
    <w:uiPriority w:val="0"/>
    <w:pPr>
      <w:spacing w:line="360" w:lineRule="auto"/>
      <w:ind w:firstLine="480" w:firstLineChars="200"/>
    </w:pPr>
    <w:rPr>
      <w:rFonts w:cs="宋体"/>
      <w:sz w:val="24"/>
      <w:szCs w:val="22"/>
    </w:rPr>
  </w:style>
  <w:style w:type="character" w:customStyle="1" w:styleId="39">
    <w:name w:val="font51"/>
    <w:basedOn w:val="27"/>
    <w:qFormat/>
    <w:uiPriority w:val="0"/>
    <w:rPr>
      <w:rFonts w:hint="eastAsia" w:ascii="仿宋" w:hAnsi="仿宋" w:eastAsia="仿宋" w:cs="仿宋"/>
      <w:color w:val="000000"/>
      <w:sz w:val="22"/>
      <w:szCs w:val="22"/>
      <w:u w:val="none"/>
    </w:rPr>
  </w:style>
  <w:style w:type="table" w:customStyle="1" w:styleId="40">
    <w:name w:val="网格型8"/>
    <w:basedOn w:val="2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1">
    <w:name w:val="列出段落1"/>
    <w:basedOn w:val="1"/>
    <w:qFormat/>
    <w:uiPriority w:val="34"/>
    <w:pPr>
      <w:ind w:firstLine="420"/>
    </w:pPr>
  </w:style>
  <w:style w:type="character" w:customStyle="1" w:styleId="42">
    <w:name w:val="font31"/>
    <w:basedOn w:val="27"/>
    <w:qFormat/>
    <w:uiPriority w:val="0"/>
    <w:rPr>
      <w:rFonts w:hint="eastAsia" w:ascii="宋体" w:hAnsi="宋体" w:eastAsia="宋体" w:cs="宋体"/>
      <w:color w:val="000000"/>
      <w:sz w:val="24"/>
      <w:szCs w:val="24"/>
      <w:u w:val="none"/>
    </w:rPr>
  </w:style>
  <w:style w:type="character" w:customStyle="1" w:styleId="43">
    <w:name w:val="批注文字 字符"/>
    <w:basedOn w:val="27"/>
    <w:link w:val="10"/>
    <w:qFormat/>
    <w:uiPriority w:val="0"/>
    <w:rPr>
      <w:rFonts w:asciiTheme="minorHAnsi" w:hAnsiTheme="minorHAnsi" w:eastAsiaTheme="minorEastAsia" w:cstheme="minorBidi"/>
      <w:kern w:val="2"/>
      <w:sz w:val="21"/>
      <w:szCs w:val="24"/>
    </w:rPr>
  </w:style>
  <w:style w:type="character" w:customStyle="1" w:styleId="44">
    <w:name w:val="批注主题 字符"/>
    <w:basedOn w:val="43"/>
    <w:link w:val="22"/>
    <w:qFormat/>
    <w:uiPriority w:val="0"/>
    <w:rPr>
      <w:rFonts w:asciiTheme="minorHAnsi" w:hAnsiTheme="minorHAnsi" w:eastAsiaTheme="minorEastAsia" w:cstheme="minorBidi"/>
      <w:b/>
      <w:bCs/>
      <w:kern w:val="2"/>
      <w:sz w:val="21"/>
      <w:szCs w:val="24"/>
    </w:rPr>
  </w:style>
  <w:style w:type="character" w:customStyle="1" w:styleId="45">
    <w:name w:val="批注框文本 字符"/>
    <w:basedOn w:val="27"/>
    <w:link w:val="14"/>
    <w:qFormat/>
    <w:uiPriority w:val="0"/>
    <w:rPr>
      <w:rFonts w:asciiTheme="minorHAnsi" w:hAnsiTheme="minorHAnsi" w:eastAsiaTheme="minorEastAsia" w:cstheme="minorBidi"/>
      <w:kern w:val="2"/>
      <w:sz w:val="18"/>
      <w:szCs w:val="18"/>
    </w:rPr>
  </w:style>
  <w:style w:type="paragraph" w:customStyle="1" w:styleId="46">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7">
    <w:name w:val="列表段落1"/>
    <w:basedOn w:val="1"/>
    <w:qFormat/>
    <w:uiPriority w:val="99"/>
    <w:pPr>
      <w:ind w:firstLine="420" w:firstLineChars="200"/>
    </w:pPr>
  </w:style>
  <w:style w:type="character" w:customStyle="1" w:styleId="48">
    <w:name w:val="未处理的提及1"/>
    <w:basedOn w:val="27"/>
    <w:unhideWhenUsed/>
    <w:qFormat/>
    <w:uiPriority w:val="99"/>
    <w:rPr>
      <w:color w:val="605E5C"/>
      <w:shd w:val="clear" w:color="auto" w:fill="E1DFDD"/>
    </w:rPr>
  </w:style>
  <w:style w:type="paragraph" w:customStyle="1" w:styleId="49">
    <w:name w:val="正文缩进1"/>
    <w:basedOn w:val="1"/>
    <w:qFormat/>
    <w:uiPriority w:val="0"/>
    <w:pPr>
      <w:ind w:firstLine="420"/>
    </w:pPr>
  </w:style>
  <w:style w:type="paragraph" w:customStyle="1" w:styleId="50">
    <w:name w:val="样式3"/>
    <w:basedOn w:val="7"/>
    <w:next w:val="1"/>
    <w:qFormat/>
    <w:uiPriority w:val="0"/>
    <w:pPr>
      <w:spacing w:line="415" w:lineRule="auto"/>
    </w:pPr>
    <w:rPr>
      <w:rFonts w:eastAsia="Arial"/>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3574</Words>
  <Characters>3720</Characters>
  <Lines>38</Lines>
  <Paragraphs>10</Paragraphs>
  <TotalTime>0</TotalTime>
  <ScaleCrop>false</ScaleCrop>
  <LinksUpToDate>false</LinksUpToDate>
  <CharactersWithSpaces>4594</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2019-11-02T00:51:00Z</dcterms:created>
  <dc:creator>Administrator</dc:creator>
  <cp:lastModifiedBy>uoc</cp:lastModifiedBy>
  <cp:lastPrinted>2023-03-10T10:41:00Z</cp:lastPrinted>
  <dcterms:modified xsi:type="dcterms:W3CDTF">2026-05-15T10:19:49Z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745FE1D383774749ACE7C6C97E6E0E4D_13</vt:lpwstr>
  </property>
  <property fmtid="{D5CDD505-2E9C-101B-9397-08002B2CF9AE}" pid="4" name="KSOTemplateDocerSaveRecord">
    <vt:lpwstr>eyJoZGlkIjoiZTU5NDNmOWI5YmU2NzgyNTU4ZDFmM2FhNTdjNWMzMmIiLCJ1c2VySWQiOiIzMDg4NjQ3NTYifQ==</vt:lpwstr>
  </property>
</Properties>
</file>