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5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石家庄市环境保护宣传教育中心</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仿宋" w:hAnsi="仿宋" w:eastAsia="仿宋" w:cs="仿宋"/>
          <w:bCs/>
          <w:sz w:val="44"/>
          <w:szCs w:val="44"/>
        </w:rPr>
      </w:pPr>
      <w:r>
        <w:rPr>
          <w:rFonts w:hint="eastAsia" w:ascii="方正小标宋简体" w:hAnsi="方正小标宋_GBK" w:eastAsia="方正小标宋简体" w:cs="方正小标宋_GBK"/>
          <w:bCs/>
          <w:sz w:val="44"/>
          <w:szCs w:val="44"/>
          <w:lang w:val="en-US" w:eastAsia="zh-CN"/>
        </w:rPr>
        <w:t>关于环境保护宣传教育项目的询价信息公告</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w:t>
      </w:r>
      <w:r>
        <w:rPr>
          <w:rFonts w:hint="eastAsia" w:ascii="仿宋_GB2312" w:hAnsi="仿宋_GB2312" w:eastAsia="仿宋_GB2312" w:cs="仿宋_GB2312"/>
          <w:bCs/>
          <w:sz w:val="32"/>
          <w:szCs w:val="32"/>
          <w:lang w:eastAsia="zh-CN"/>
        </w:rPr>
        <w:t>政府采购相关规定及</w:t>
      </w:r>
      <w:r>
        <w:rPr>
          <w:rFonts w:hint="eastAsia" w:ascii="仿宋_GB2312" w:hAnsi="仿宋_GB2312" w:eastAsia="仿宋_GB2312" w:cs="仿宋_GB2312"/>
          <w:bCs/>
          <w:sz w:val="32"/>
          <w:szCs w:val="32"/>
        </w:rPr>
        <w:t>市财政局要求，现开展石家庄市环境保护宣传教育中心</w:t>
      </w:r>
      <w:r>
        <w:rPr>
          <w:rFonts w:hint="eastAsia" w:ascii="仿宋_GB2312" w:hAnsi="仿宋_GB2312" w:eastAsia="仿宋_GB2312" w:cs="仿宋_GB2312"/>
          <w:bCs/>
          <w:sz w:val="32"/>
          <w:szCs w:val="32"/>
          <w:lang w:val="en-US" w:eastAsia="zh-CN"/>
        </w:rPr>
        <w:t>环境保护宣传教育项目（预算金额：</w:t>
      </w:r>
      <w:r>
        <w:rPr>
          <w:rFonts w:hint="eastAsia" w:ascii="仿宋_GB2312" w:hAnsi="仿宋_GB2312" w:eastAsia="仿宋_GB2312" w:cs="仿宋_GB2312"/>
          <w:bCs/>
          <w:sz w:val="32"/>
          <w:szCs w:val="32"/>
          <w:u w:val="single"/>
          <w:lang w:val="en-US" w:eastAsia="zh-CN"/>
        </w:rPr>
        <w:t>124.62</w:t>
      </w:r>
      <w:r>
        <w:rPr>
          <w:rFonts w:hint="eastAsia" w:ascii="仿宋_GB2312" w:hAnsi="仿宋_GB2312" w:eastAsia="仿宋_GB2312" w:cs="仿宋_GB2312"/>
          <w:bCs/>
          <w:sz w:val="32"/>
          <w:szCs w:val="32"/>
          <w:lang w:val="en-US" w:eastAsia="zh-CN"/>
        </w:rPr>
        <w:t>万）</w:t>
      </w:r>
      <w:r>
        <w:rPr>
          <w:rFonts w:hint="eastAsia" w:ascii="仿宋_GB2312" w:hAnsi="仿宋_GB2312" w:eastAsia="仿宋_GB2312" w:cs="仿宋_GB2312"/>
          <w:bCs/>
          <w:sz w:val="32"/>
          <w:szCs w:val="32"/>
        </w:rPr>
        <w:t>询价工作，请有意参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的社会主体单位和组织自行下载有关附件，并按要求做好准备工作。</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
          <w:bCs w:val="0"/>
          <w:sz w:val="32"/>
          <w:szCs w:val="32"/>
          <w:u w:val="none"/>
          <w:lang w:val="en-US" w:eastAsia="zh-CN"/>
        </w:rPr>
      </w:pPr>
      <w:r>
        <w:rPr>
          <w:rFonts w:hint="eastAsia" w:ascii="仿宋_GB2312" w:hAnsi="仿宋_GB2312" w:eastAsia="仿宋_GB2312" w:cs="仿宋_GB2312"/>
          <w:b/>
          <w:bCs w:val="0"/>
          <w:color w:val="auto"/>
          <w:sz w:val="32"/>
          <w:szCs w:val="32"/>
        </w:rPr>
        <w:t>询价会时间：</w:t>
      </w:r>
      <w:r>
        <w:rPr>
          <w:rFonts w:hint="eastAsia" w:ascii="仿宋_GB2312" w:hAnsi="仿宋_GB2312" w:eastAsia="仿宋_GB2312" w:cs="仿宋_GB2312"/>
          <w:b/>
          <w:bCs w:val="0"/>
          <w:color w:val="auto"/>
          <w:sz w:val="32"/>
          <w:szCs w:val="32"/>
          <w:u w:val="single"/>
        </w:rPr>
        <w:t>20</w:t>
      </w:r>
      <w:r>
        <w:rPr>
          <w:rFonts w:hint="eastAsia" w:ascii="仿宋_GB2312" w:hAnsi="仿宋_GB2312" w:eastAsia="仿宋_GB2312" w:cs="仿宋_GB2312"/>
          <w:b/>
          <w:bCs w:val="0"/>
          <w:color w:val="auto"/>
          <w:sz w:val="32"/>
          <w:szCs w:val="32"/>
          <w:u w:val="single"/>
          <w:lang w:val="en-US" w:eastAsia="zh-CN"/>
        </w:rPr>
        <w:t>26</w:t>
      </w:r>
      <w:r>
        <w:rPr>
          <w:rFonts w:hint="eastAsia" w:ascii="仿宋_GB2312" w:hAnsi="仿宋_GB2312" w:eastAsia="仿宋_GB2312" w:cs="仿宋_GB2312"/>
          <w:b/>
          <w:bCs w:val="0"/>
          <w:color w:val="auto"/>
          <w:sz w:val="32"/>
          <w:szCs w:val="32"/>
          <w:u w:val="single"/>
        </w:rPr>
        <w:t>年</w:t>
      </w:r>
      <w:r>
        <w:rPr>
          <w:rFonts w:hint="eastAsia" w:ascii="仿宋_GB2312" w:hAnsi="仿宋_GB2312" w:eastAsia="仿宋_GB2312" w:cs="仿宋_GB2312"/>
          <w:b/>
          <w:bCs w:val="0"/>
          <w:color w:val="auto"/>
          <w:sz w:val="32"/>
          <w:szCs w:val="32"/>
          <w:u w:val="single"/>
          <w:lang w:val="en-US" w:eastAsia="zh-CN"/>
        </w:rPr>
        <w:t>5</w:t>
      </w:r>
      <w:r>
        <w:rPr>
          <w:rFonts w:hint="eastAsia" w:ascii="仿宋_GB2312" w:hAnsi="仿宋_GB2312" w:eastAsia="仿宋_GB2312" w:cs="仿宋_GB2312"/>
          <w:b/>
          <w:bCs w:val="0"/>
          <w:color w:val="auto"/>
          <w:sz w:val="32"/>
          <w:szCs w:val="32"/>
          <w:u w:val="single"/>
        </w:rPr>
        <w:t>月</w:t>
      </w:r>
      <w:r>
        <w:rPr>
          <w:rFonts w:hint="eastAsia" w:ascii="仿宋_GB2312" w:hAnsi="仿宋_GB2312" w:eastAsia="仿宋_GB2312" w:cs="仿宋_GB2312"/>
          <w:b/>
          <w:bCs w:val="0"/>
          <w:color w:val="auto"/>
          <w:sz w:val="32"/>
          <w:szCs w:val="32"/>
          <w:u w:val="single"/>
          <w:lang w:val="en-US" w:eastAsia="zh-CN"/>
        </w:rPr>
        <w:t>7</w:t>
      </w:r>
      <w:r>
        <w:rPr>
          <w:rFonts w:hint="eastAsia" w:ascii="仿宋_GB2312" w:hAnsi="仿宋_GB2312" w:eastAsia="仿宋_GB2312" w:cs="仿宋_GB2312"/>
          <w:b/>
          <w:bCs w:val="0"/>
          <w:color w:val="auto"/>
          <w:sz w:val="32"/>
          <w:szCs w:val="32"/>
          <w:u w:val="single"/>
        </w:rPr>
        <w:t>日（星期</w:t>
      </w:r>
      <w:r>
        <w:rPr>
          <w:rFonts w:hint="eastAsia" w:ascii="仿宋_GB2312" w:hAnsi="仿宋_GB2312" w:eastAsia="仿宋_GB2312" w:cs="仿宋_GB2312"/>
          <w:b/>
          <w:bCs w:val="0"/>
          <w:color w:val="auto"/>
          <w:sz w:val="32"/>
          <w:szCs w:val="32"/>
          <w:u w:val="single"/>
          <w:lang w:val="en-US" w:eastAsia="zh-CN"/>
        </w:rPr>
        <w:t>四</w:t>
      </w:r>
      <w:r>
        <w:rPr>
          <w:rFonts w:hint="eastAsia" w:ascii="仿宋_GB2312" w:hAnsi="仿宋_GB2312" w:eastAsia="仿宋_GB2312" w:cs="仿宋_GB2312"/>
          <w:b/>
          <w:bCs w:val="0"/>
          <w:color w:val="auto"/>
          <w:sz w:val="32"/>
          <w:szCs w:val="32"/>
          <w:u w:val="single"/>
        </w:rPr>
        <w:t>）</w:t>
      </w:r>
      <w:r>
        <w:rPr>
          <w:rFonts w:hint="eastAsia" w:ascii="仿宋_GB2312" w:hAnsi="仿宋_GB2312" w:eastAsia="仿宋_GB2312" w:cs="仿宋_GB2312"/>
          <w:b/>
          <w:bCs w:val="0"/>
          <w:color w:val="auto"/>
          <w:sz w:val="32"/>
          <w:szCs w:val="32"/>
          <w:u w:val="single"/>
          <w:lang w:eastAsia="zh-CN"/>
        </w:rPr>
        <w:t>上午</w:t>
      </w:r>
      <w:r>
        <w:rPr>
          <w:rFonts w:hint="eastAsia" w:ascii="仿宋_GB2312" w:hAnsi="仿宋_GB2312" w:eastAsia="仿宋_GB2312" w:cs="仿宋_GB2312"/>
          <w:b/>
          <w:bCs w:val="0"/>
          <w:color w:val="auto"/>
          <w:sz w:val="32"/>
          <w:szCs w:val="32"/>
          <w:u w:val="single"/>
          <w:lang w:val="en-US" w:eastAsia="zh-CN"/>
        </w:rPr>
        <w:t>10</w:t>
      </w:r>
      <w:r>
        <w:rPr>
          <w:rFonts w:hint="eastAsia" w:ascii="仿宋_GB2312" w:hAnsi="仿宋_GB2312" w:eastAsia="仿宋_GB2312" w:cs="仿宋_GB2312"/>
          <w:b/>
          <w:bCs w:val="0"/>
          <w:color w:val="auto"/>
          <w:sz w:val="32"/>
          <w:szCs w:val="32"/>
          <w:u w:val="single"/>
        </w:rPr>
        <w:t>：</w:t>
      </w:r>
      <w:r>
        <w:rPr>
          <w:rFonts w:hint="eastAsia" w:ascii="仿宋_GB2312" w:hAnsi="仿宋_GB2312" w:eastAsia="仿宋_GB2312" w:cs="仿宋_GB2312"/>
          <w:b/>
          <w:bCs w:val="0"/>
          <w:color w:val="auto"/>
          <w:sz w:val="32"/>
          <w:szCs w:val="32"/>
          <w:u w:val="single"/>
          <w:lang w:val="en-US" w:eastAsia="zh-CN"/>
        </w:rPr>
        <w:t>00</w:t>
      </w:r>
      <w:r>
        <w:rPr>
          <w:rFonts w:hint="eastAsia" w:ascii="仿宋_GB2312" w:hAnsi="仿宋_GB2312" w:eastAsia="仿宋_GB2312" w:cs="仿宋_GB2312"/>
          <w:b/>
          <w:bCs w:val="0"/>
          <w:color w:val="auto"/>
          <w:sz w:val="32"/>
          <w:szCs w:val="32"/>
          <w:u w:val="none"/>
        </w:rPr>
        <w:t>；</w:t>
      </w:r>
      <w:r>
        <w:rPr>
          <w:rFonts w:hint="eastAsia" w:ascii="仿宋_GB2312" w:hAnsi="仿宋_GB2312" w:eastAsia="仿宋_GB2312" w:cs="仿宋_GB2312"/>
          <w:b/>
          <w:bCs w:val="0"/>
          <w:color w:val="auto"/>
          <w:sz w:val="32"/>
          <w:szCs w:val="32"/>
        </w:rPr>
        <w:t>地点：</w:t>
      </w:r>
      <w:r>
        <w:rPr>
          <w:rFonts w:hint="eastAsia" w:ascii="仿宋_GB2312" w:hAnsi="仿宋_GB2312" w:eastAsia="仿宋_GB2312" w:cs="仿宋_GB2312"/>
          <w:b/>
          <w:bCs w:val="0"/>
          <w:color w:val="auto"/>
          <w:sz w:val="32"/>
          <w:szCs w:val="32"/>
          <w:lang w:eastAsia="zh-CN"/>
        </w:rPr>
        <w:t>石家庄市生态环境局西配楼</w:t>
      </w:r>
      <w:r>
        <w:rPr>
          <w:rFonts w:hint="eastAsia" w:ascii="仿宋_GB2312" w:hAnsi="仿宋_GB2312" w:eastAsia="仿宋_GB2312" w:cs="仿宋_GB2312"/>
          <w:b/>
          <w:bCs w:val="0"/>
          <w:color w:val="auto"/>
          <w:sz w:val="32"/>
          <w:szCs w:val="32"/>
          <w:lang w:val="en-US" w:eastAsia="zh-CN"/>
        </w:rPr>
        <w:t>501会议室（新华区赵陵铺路街道中华北大街559号）</w:t>
      </w:r>
      <w:r>
        <w:rPr>
          <w:rFonts w:hint="eastAsia" w:ascii="仿宋_GB2312" w:hAnsi="仿宋_GB2312" w:eastAsia="仿宋_GB2312" w:cs="仿宋_GB2312"/>
          <w:b/>
          <w:bCs w:val="0"/>
          <w:color w:val="auto"/>
          <w:sz w:val="32"/>
          <w:szCs w:val="32"/>
        </w:rPr>
        <w:t>。</w:t>
      </w:r>
    </w:p>
    <w:p>
      <w:pPr>
        <w:keepNext w:val="0"/>
        <w:keepLines w:val="0"/>
        <w:pageBreakBefore w:val="0"/>
        <w:widowControl w:val="0"/>
        <w:kinsoku/>
        <w:wordWrap/>
        <w:overflowPunct/>
        <w:topLinePunct w:val="0"/>
        <w:autoSpaceDE/>
        <w:autoSpaceDN/>
        <w:bidi w:val="0"/>
        <w:adjustRightInd/>
        <w:snapToGrid/>
        <w:spacing w:line="550" w:lineRule="exact"/>
        <w:ind w:right="0" w:rightChars="0" w:firstLine="640"/>
        <w:textAlignment w:val="auto"/>
        <w:rPr>
          <w:rFonts w:hint="default" w:ascii="仿宋_GB2312" w:hAnsi="仿宋_GB2312" w:eastAsia="仿宋_GB2312" w:cs="仿宋_GB2312"/>
          <w:bCs/>
          <w:spacing w:val="-20"/>
          <w:sz w:val="32"/>
          <w:szCs w:val="32"/>
          <w:lang w:val="en-US" w:eastAsia="zh-CN"/>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Cs/>
          <w:sz w:val="32"/>
          <w:szCs w:val="32"/>
          <w:lang w:eastAsia="zh-CN"/>
        </w:rPr>
        <w:t>高莎</w:t>
      </w:r>
      <w:r>
        <w:rPr>
          <w:rFonts w:hint="eastAsia" w:ascii="仿宋_GB2312" w:hAnsi="仿宋_GB2312" w:eastAsia="仿宋_GB2312" w:cs="仿宋_GB2312"/>
          <w:bCs/>
          <w:sz w:val="32"/>
          <w:szCs w:val="32"/>
        </w:rPr>
        <w:t>，联系电话：</w:t>
      </w:r>
      <w:r>
        <w:rPr>
          <w:rFonts w:hint="eastAsia" w:ascii="仿宋_GB2312" w:hAnsi="仿宋_GB2312" w:eastAsia="仿宋_GB2312" w:cs="仿宋_GB2312"/>
          <w:bCs/>
          <w:sz w:val="32"/>
          <w:szCs w:val="32"/>
          <w:lang w:val="en-US" w:eastAsia="zh-CN"/>
        </w:rPr>
        <w:t>85814830</w:t>
      </w:r>
    </w:p>
    <w:p>
      <w:pPr>
        <w:keepNext w:val="0"/>
        <w:keepLines w:val="0"/>
        <w:pageBreakBefore w:val="0"/>
        <w:widowControl w:val="0"/>
        <w:kinsoku/>
        <w:wordWrap/>
        <w:overflowPunct/>
        <w:topLinePunct w:val="0"/>
        <w:autoSpaceDE/>
        <w:autoSpaceDN/>
        <w:bidi w:val="0"/>
        <w:adjustRightInd/>
        <w:snapToGrid/>
        <w:spacing w:line="55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val="en-US" w:eastAsia="zh-CN"/>
        </w:rPr>
        <w:t xml:space="preserve">        师晓威，联系电话：85880697</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pPr>
        <w:keepNext w:val="0"/>
        <w:keepLines w:val="0"/>
        <w:pageBreakBefore w:val="0"/>
        <w:kinsoku/>
        <w:wordWrap w:val="0"/>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color w:val="auto"/>
          <w:sz w:val="32"/>
          <w:szCs w:val="32"/>
          <w:highlight w:val="none"/>
          <w:lang w:val="en-US" w:eastAsia="zh-CN"/>
        </w:rPr>
        <w:t xml:space="preserve">石家庄市环境保护宣传教育中心         </w:t>
      </w:r>
    </w:p>
    <w:p>
      <w:pPr>
        <w:keepNext w:val="0"/>
        <w:keepLines w:val="0"/>
        <w:pageBreakBefore w:val="0"/>
        <w:kinsoku/>
        <w:wordWrap w:val="0"/>
        <w:overflowPunct/>
        <w:topLinePunct w:val="0"/>
        <w:autoSpaceDE/>
        <w:autoSpaceDN/>
        <w:bidi w:val="0"/>
        <w:spacing w:line="560" w:lineRule="exact"/>
        <w:ind w:right="0" w:rightChars="0"/>
        <w:jc w:val="center"/>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bCs/>
          <w:color w:val="auto"/>
          <w:sz w:val="32"/>
          <w:szCs w:val="32"/>
        </w:rPr>
        <w:t>20</w:t>
      </w:r>
      <w:r>
        <w:rPr>
          <w:rFonts w:hint="eastAsia" w:ascii="仿宋_GB2312" w:hAnsi="仿宋_GB2312" w:eastAsia="仿宋_GB2312" w:cs="仿宋_GB2312"/>
          <w:bCs/>
          <w:color w:val="auto"/>
          <w:sz w:val="32"/>
          <w:szCs w:val="32"/>
          <w:lang w:val="en-US" w:eastAsia="zh-CN"/>
        </w:rPr>
        <w:t>26</w:t>
      </w:r>
      <w:r>
        <w:rPr>
          <w:rFonts w:hint="eastAsia" w:ascii="仿宋_GB2312" w:hAnsi="仿宋_GB2312" w:eastAsia="仿宋_GB2312" w:cs="仿宋_GB2312"/>
          <w:bCs/>
          <w:color w:val="auto"/>
          <w:sz w:val="32"/>
          <w:szCs w:val="32"/>
        </w:rPr>
        <w:t>年</w:t>
      </w:r>
      <w:r>
        <w:rPr>
          <w:rFonts w:hint="eastAsia" w:ascii="仿宋_GB2312" w:hAnsi="仿宋_GB2312" w:eastAsia="仿宋_GB2312" w:cs="仿宋_GB2312"/>
          <w:bCs/>
          <w:color w:val="auto"/>
          <w:sz w:val="32"/>
          <w:szCs w:val="32"/>
          <w:lang w:val="en-US" w:eastAsia="zh-CN"/>
        </w:rPr>
        <w:t>4</w:t>
      </w:r>
      <w:r>
        <w:rPr>
          <w:rFonts w:hint="eastAsia" w:ascii="仿宋_GB2312" w:hAnsi="仿宋_GB2312" w:eastAsia="仿宋_GB2312" w:cs="仿宋_GB2312"/>
          <w:bCs/>
          <w:color w:val="auto"/>
          <w:sz w:val="32"/>
          <w:szCs w:val="32"/>
        </w:rPr>
        <w:t>月</w:t>
      </w:r>
      <w:r>
        <w:rPr>
          <w:rFonts w:hint="eastAsia" w:ascii="仿宋_GB2312" w:hAnsi="仿宋_GB2312" w:eastAsia="仿宋_GB2312" w:cs="仿宋_GB2312"/>
          <w:bCs/>
          <w:color w:val="auto"/>
          <w:sz w:val="32"/>
          <w:szCs w:val="32"/>
          <w:lang w:val="en-US" w:eastAsia="zh-CN"/>
        </w:rPr>
        <w:t>28</w:t>
      </w:r>
      <w:r>
        <w:rPr>
          <w:rFonts w:hint="eastAsia" w:ascii="仿宋_GB2312" w:hAnsi="仿宋_GB2312" w:eastAsia="仿宋_GB2312" w:cs="仿宋_GB2312"/>
          <w:bCs/>
          <w:color w:val="auto"/>
          <w:sz w:val="32"/>
          <w:szCs w:val="32"/>
        </w:rPr>
        <w:t>日</w:t>
      </w:r>
      <w:r>
        <w:rPr>
          <w:rFonts w:hint="eastAsia" w:ascii="仿宋_GB2312" w:hAnsi="仿宋_GB2312" w:eastAsia="仿宋_GB2312" w:cs="仿宋_GB2312"/>
          <w:bCs/>
          <w:color w:val="auto"/>
          <w:sz w:val="32"/>
          <w:szCs w:val="32"/>
          <w:lang w:val="en-US" w:eastAsia="zh-CN"/>
        </w:rPr>
        <w:t xml:space="preserve">        </w:t>
      </w:r>
    </w:p>
    <w:p>
      <w:pPr>
        <w:keepNext w:val="0"/>
        <w:keepLines w:val="0"/>
        <w:pageBreakBefore w:val="0"/>
        <w:kinsoku/>
        <w:wordWrap/>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sz w:val="32"/>
          <w:szCs w:val="32"/>
        </w:rPr>
      </w:pPr>
      <w:r>
        <w:rPr>
          <w:rFonts w:hint="eastAsia" w:ascii="黑体" w:hAnsi="黑体" w:eastAsia="黑体" w:cs="黑体"/>
          <w:bCs/>
          <w:sz w:val="32"/>
          <w:szCs w:val="32"/>
        </w:rPr>
        <w:t>附件1</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pPr>
        <w:keepNext w:val="0"/>
        <w:keepLines w:val="0"/>
        <w:pageBreakBefore w:val="0"/>
        <w:widowControl w:val="0"/>
        <w:kinsoku/>
        <w:wordWrap/>
        <w:overflowPunct/>
        <w:topLinePunct w:val="0"/>
        <w:autoSpaceDE/>
        <w:autoSpaceDN/>
        <w:bidi w:val="0"/>
        <w:adjustRightInd/>
        <w:snapToGrid/>
        <w:spacing w:line="55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石家庄市环境保护宣传教育中心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lang w:val="en-US" w:eastAsia="zh-CN"/>
        </w:rPr>
        <w:t>环境保护宣传教育项目</w:t>
      </w:r>
      <w:r>
        <w:rPr>
          <w:rFonts w:hint="eastAsia" w:ascii="方正小标宋简体" w:hAnsi="方正小标宋_GBK" w:eastAsia="方正小标宋简体" w:cs="方正小标宋_GBK"/>
          <w:bCs/>
          <w:sz w:val="44"/>
          <w:szCs w:val="44"/>
        </w:rPr>
        <w:t>询价要求及流程</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w:t>
      </w:r>
      <w:bookmarkStart w:id="0" w:name="_GoBack"/>
      <w:bookmarkEnd w:id="0"/>
      <w:r>
        <w:rPr>
          <w:rFonts w:hint="eastAsia" w:ascii="仿宋_GB2312" w:hAnsi="仿宋_GB2312" w:eastAsia="仿宋_GB2312" w:cs="仿宋_GB2312"/>
          <w:bCs/>
          <w:sz w:val="32"/>
          <w:szCs w:val="32"/>
        </w:rPr>
        <w:t>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pPr>
        <w:keepNext w:val="0"/>
        <w:keepLines w:val="0"/>
        <w:pageBreakBefore w:val="0"/>
        <w:kinsoku/>
        <w:wordWrap/>
        <w:overflowPunct/>
        <w:topLinePunct w:val="0"/>
        <w:autoSpaceDE/>
        <w:autoSpaceDN/>
        <w:bidi w:val="0"/>
        <w:spacing w:line="560" w:lineRule="exact"/>
        <w:ind w:right="0" w:rightChars="0" w:firstLine="642"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pPr>
        <w:keepNext w:val="0"/>
        <w:keepLines w:val="0"/>
        <w:pageBreakBefore w:val="0"/>
        <w:kinsoku/>
        <w:wordWrap/>
        <w:overflowPunct/>
        <w:topLinePunct w:val="0"/>
        <w:autoSpaceDE/>
        <w:autoSpaceDN/>
        <w:bidi w:val="0"/>
        <w:spacing w:line="560" w:lineRule="exact"/>
        <w:ind w:right="0" w:rightChars="0" w:firstLine="642"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pPr>
      <w:r>
        <w:rPr>
          <w:rFonts w:hint="eastAsia" w:ascii="黑体" w:hAnsi="黑体" w:eastAsia="黑体" w:cs="黑体"/>
          <w:bCs/>
          <w:sz w:val="32"/>
          <w:szCs w:val="32"/>
        </w:rPr>
        <w:t>附件2</w:t>
      </w:r>
    </w:p>
    <w:p>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right="0" w:rightChars="0"/>
        <w:jc w:val="center"/>
        <w:textAlignment w:val="auto"/>
        <w:rPr>
          <w:rFonts w:hint="eastAsia" w:ascii="宋体" w:hAnsi="宋体" w:eastAsia="宋体"/>
          <w:b/>
          <w:color w:val="000000"/>
          <w:sz w:val="44"/>
          <w:szCs w:val="36"/>
          <w:lang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石家庄市环境保护宣传教育中心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环境保护宣传教育项目工作方案</w:t>
      </w:r>
    </w:p>
    <w:p>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right="0" w:rightChars="0" w:firstLine="1920" w:firstLineChars="600"/>
        <w:textAlignment w:val="auto"/>
        <w:rPr>
          <w:rFonts w:ascii="仿宋" w:hAnsi="仿宋" w:eastAsia="仿宋" w:cs="仿宋"/>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Times New Roman"/>
          <w:sz w:val="32"/>
          <w:szCs w:val="32"/>
          <w:lang w:eastAsia="zh-CN"/>
        </w:rPr>
      </w:pPr>
      <w:r>
        <w:rPr>
          <w:rFonts w:hint="eastAsia" w:ascii="黑体" w:hAnsi="黑体" w:eastAsia="黑体" w:cs="Times New Roman"/>
          <w:sz w:val="32"/>
          <w:szCs w:val="32"/>
          <w:lang w:eastAsia="zh-CN"/>
        </w:rPr>
        <w:t>一、项目概况</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1.项目背景</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right="0" w:rightChars="0" w:firstLine="630"/>
        <w:textAlignment w:val="auto"/>
        <w:outlineLvl w:val="9"/>
        <w:rPr>
          <w:rFonts w:hint="eastAsia" w:ascii="仿宋_GB2312" w:hAnsi="Times New Roman" w:eastAsia="仿宋_GB2312" w:cs="Times New Roman"/>
          <w:color w:val="auto"/>
          <w:sz w:val="32"/>
          <w:szCs w:val="32"/>
          <w:highlight w:val="none"/>
          <w:lang w:val="en-US" w:eastAsia="zh-CN"/>
        </w:rPr>
      </w:pPr>
      <w:r>
        <w:rPr>
          <w:rFonts w:hint="eastAsia" w:ascii="仿宋_GB2312" w:hAnsi="仿宋_GB2312" w:eastAsia="仿宋_GB2312" w:cs="仿宋_GB2312"/>
          <w:color w:val="auto"/>
          <w:sz w:val="32"/>
          <w:szCs w:val="32"/>
          <w:highlight w:val="none"/>
        </w:rPr>
        <w:t>深入学习</w:t>
      </w:r>
      <w:r>
        <w:rPr>
          <w:rFonts w:hint="eastAsia" w:ascii="仿宋_GB2312" w:hAnsi="仿宋_GB2312" w:eastAsia="仿宋_GB2312" w:cs="仿宋_GB2312"/>
          <w:color w:val="auto"/>
          <w:sz w:val="32"/>
          <w:szCs w:val="32"/>
          <w:highlight w:val="none"/>
          <w:lang w:eastAsia="zh-CN"/>
        </w:rPr>
        <w:t>宣传</w:t>
      </w:r>
      <w:r>
        <w:rPr>
          <w:rFonts w:hint="eastAsia" w:ascii="仿宋_GB2312" w:hAnsi="仿宋_GB2312" w:eastAsia="仿宋_GB2312" w:cs="仿宋_GB2312"/>
          <w:color w:val="auto"/>
          <w:sz w:val="32"/>
          <w:szCs w:val="32"/>
          <w:highlight w:val="none"/>
        </w:rPr>
        <w:t>贯彻习近平生态文明思想，持续营造全社会共建美丽中国的浓厚氛围，为推进人与自然和谐共生的现代化凝聚广泛共识、注入宣教动能。立足工作实际，紧扣新闻宣传和社会宣传两大主线，不断创新形式、丰富载体，扎实做好生态环境保护宣传教育，稳步提升公众生态文明意识和行动自觉，为生态环境治理与保护工作奠定坚实的社会基础。同步强化生态环境网络舆情监测</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增强对生态环境舆论场的主导力和把控力，为有效防范化解生态环境领域舆情风险、维护社会稳定提供</w:t>
      </w:r>
      <w:r>
        <w:rPr>
          <w:rFonts w:hint="eastAsia" w:ascii="仿宋_GB2312" w:hAnsi="Calibri" w:eastAsia="仿宋_GB2312" w:cs="Times New Roman"/>
          <w:b w:val="0"/>
          <w:color w:val="auto"/>
          <w:kern w:val="2"/>
          <w:sz w:val="32"/>
          <w:szCs w:val="32"/>
          <w:highlight w:val="none"/>
          <w:lang w:val="en-US" w:eastAsia="zh-CN" w:bidi="ar-SA"/>
        </w:rPr>
        <w:t>参考</w:t>
      </w:r>
      <w:r>
        <w:rPr>
          <w:rFonts w:hint="eastAsia" w:ascii="仿宋_GB2312" w:hAnsi="仿宋_GB2312" w:eastAsia="仿宋_GB2312" w:cs="仿宋_GB2312"/>
          <w:color w:val="auto"/>
          <w:sz w:val="32"/>
          <w:szCs w:val="32"/>
          <w:highlight w:val="none"/>
        </w:rPr>
        <w:t>。</w:t>
      </w:r>
    </w:p>
    <w:p>
      <w:pPr>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left="0" w:leftChars="0" w:right="0" w:rightChars="0" w:firstLine="640" w:firstLineChars="200"/>
        <w:jc w:val="left"/>
        <w:textAlignment w:val="auto"/>
        <w:outlineLvl w:val="9"/>
        <w:rPr>
          <w:rFonts w:hint="eastAsia" w:ascii="仿宋_GB2312" w:hAnsi="Times New Roman" w:eastAsia="仿宋_GB2312" w:cs="Times New Roman"/>
          <w:color w:val="auto"/>
          <w:sz w:val="32"/>
          <w:szCs w:val="32"/>
          <w:highlight w:val="none"/>
          <w:lang w:val="en-US" w:eastAsia="zh-CN"/>
        </w:rPr>
      </w:pPr>
      <w:r>
        <w:rPr>
          <w:rFonts w:hint="eastAsia" w:ascii="仿宋_GB2312" w:hAnsi="Times New Roman" w:eastAsia="仿宋_GB2312" w:cs="Times New Roman"/>
          <w:color w:val="auto"/>
          <w:sz w:val="32"/>
          <w:szCs w:val="32"/>
          <w:highlight w:val="none"/>
          <w:lang w:val="en-US" w:eastAsia="zh-CN"/>
        </w:rPr>
        <w:t>2.政策依据</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right="0" w:rightChars="0" w:firstLine="630"/>
        <w:textAlignment w:val="auto"/>
        <w:outlineLvl w:val="9"/>
        <w:rPr>
          <w:rFonts w:hint="eastAsia" w:ascii="仿宋_GB2312" w:hAnsi="Calibri" w:eastAsia="仿宋_GB2312" w:cs="Times New Roman"/>
          <w:b w:val="0"/>
          <w:color w:val="auto"/>
          <w:kern w:val="2"/>
          <w:sz w:val="32"/>
          <w:szCs w:val="32"/>
          <w:lang w:val="en-US" w:eastAsia="zh-CN" w:bidi="ar-SA"/>
        </w:rPr>
      </w:pPr>
      <w:r>
        <w:rPr>
          <w:rFonts w:hint="eastAsia" w:ascii="仿宋_GB2312" w:eastAsia="仿宋_GB2312"/>
          <w:color w:val="auto"/>
          <w:sz w:val="32"/>
          <w:szCs w:val="32"/>
          <w:highlight w:val="none"/>
          <w:lang w:val="en-US" w:eastAsia="zh-CN"/>
        </w:rPr>
        <w:t>（1）</w:t>
      </w:r>
      <w:r>
        <w:rPr>
          <w:rFonts w:hint="eastAsia" w:ascii="仿宋_GB2312" w:hAnsi="Calibri" w:eastAsia="仿宋_GB2312" w:cs="Times New Roman"/>
          <w:b w:val="0"/>
          <w:color w:val="auto"/>
          <w:kern w:val="2"/>
          <w:sz w:val="32"/>
          <w:szCs w:val="32"/>
          <w:lang w:val="en-US" w:eastAsia="zh-CN" w:bidi="ar-SA"/>
        </w:rPr>
        <w:t>2024年5月11日，《中共河北省委 河北省人民政府关于加快建设天蓝、地绿、水秀的美丽河北 以实际行动全面推进美丽中国建设的实施意见》；2023年2月，河北省人民政府办公厅印发的《美丽河北建设行动方案（2023-2027年）》冀政办字〔2023〕17号。</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right="0" w:rightChars="0" w:firstLine="630"/>
        <w:textAlignment w:val="auto"/>
        <w:outlineLvl w:val="9"/>
        <w:rPr>
          <w:rFonts w:hint="eastAsia" w:ascii="仿宋_GB2312" w:hAnsi="Calibri" w:eastAsia="仿宋_GB2312" w:cs="Times New Roman"/>
          <w:b w:val="0"/>
          <w:color w:val="auto"/>
          <w:kern w:val="2"/>
          <w:sz w:val="32"/>
          <w:szCs w:val="32"/>
          <w:lang w:val="en-US" w:eastAsia="zh-CN" w:bidi="ar-SA"/>
        </w:rPr>
      </w:pPr>
      <w:r>
        <w:rPr>
          <w:rFonts w:hint="eastAsia" w:ascii="仿宋_GB2312" w:eastAsia="仿宋_GB2312"/>
          <w:color w:val="auto"/>
          <w:sz w:val="32"/>
          <w:szCs w:val="32"/>
          <w:highlight w:val="none"/>
          <w:lang w:val="en-US" w:eastAsia="zh-CN"/>
        </w:rPr>
        <w:t>（2）</w:t>
      </w:r>
      <w:r>
        <w:rPr>
          <w:rFonts w:hint="eastAsia" w:ascii="仿宋_GB2312" w:hAnsi="Calibri" w:eastAsia="仿宋_GB2312" w:cs="Times New Roman"/>
          <w:b w:val="0"/>
          <w:color w:val="auto"/>
          <w:kern w:val="2"/>
          <w:sz w:val="32"/>
          <w:szCs w:val="32"/>
          <w:lang w:val="en-US" w:eastAsia="zh-CN" w:bidi="ar-SA"/>
        </w:rPr>
        <w:t>河北省生态环境保护委员会办公室印发《〈关于加快建设天蓝、地绿、水秀的美丽河北 以实际行动全面推进美丽中国建设的实施意见〉分工方案》的通知（2024年6月16日）。</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color w:val="auto"/>
          <w:sz w:val="32"/>
          <w:szCs w:val="32"/>
          <w:highlight w:val="none"/>
          <w:lang w:val="en-US" w:eastAsia="zh-CN"/>
        </w:rPr>
      </w:pPr>
      <w:r>
        <w:rPr>
          <w:rFonts w:hint="eastAsia" w:ascii="仿宋_GB2312" w:eastAsia="仿宋_GB2312"/>
          <w:color w:val="auto"/>
          <w:sz w:val="32"/>
          <w:szCs w:val="32"/>
          <w:highlight w:val="none"/>
          <w:lang w:val="en-US" w:eastAsia="zh-CN"/>
        </w:rPr>
        <w:t>（3）依据《河北省生态环境厅关于建立河北省生态环境影像资料库的通知》（〔2022〕201）要求，加快建立生态环境影像资料库，并不断充实完善、加强管理。</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_GB2312" w:hAnsi="Calibri" w:eastAsia="仿宋_GB2312" w:cs="Times New Roman"/>
          <w:b w:val="0"/>
          <w:color w:val="auto"/>
          <w:kern w:val="2"/>
          <w:sz w:val="32"/>
          <w:szCs w:val="32"/>
          <w:lang w:val="en-US" w:eastAsia="zh-CN" w:bidi="ar-SA"/>
        </w:rPr>
      </w:pPr>
      <w:r>
        <w:rPr>
          <w:rFonts w:hint="eastAsia" w:ascii="仿宋_GB2312" w:eastAsia="仿宋_GB2312"/>
          <w:color w:val="auto"/>
          <w:sz w:val="32"/>
          <w:szCs w:val="32"/>
          <w:highlight w:val="none"/>
          <w:lang w:val="en-US" w:eastAsia="zh-CN"/>
        </w:rPr>
        <w:t>（4）</w:t>
      </w:r>
      <w:r>
        <w:rPr>
          <w:rFonts w:hint="eastAsia" w:ascii="仿宋_GB2312" w:hAnsi="Calibri" w:eastAsia="仿宋_GB2312" w:cs="Times New Roman"/>
          <w:b w:val="0"/>
          <w:color w:val="auto"/>
          <w:kern w:val="2"/>
          <w:sz w:val="32"/>
          <w:szCs w:val="32"/>
          <w:lang w:val="en-US" w:eastAsia="zh-CN" w:bidi="ar-SA"/>
        </w:rPr>
        <w:t>市委、市政府印发《关于进一步加强舆情处置引导工作的若干实施的通知》（涉密 〔2020〕17号）、中共石家庄市委网络安全和信息化委员会《关于印发石家庄市网络舆情应对处置工作制度的通知》（涉密 石网信发〔2021〕5号）：对如何做好舆情处置引导工作，深入推进政务公开，增强社会关切回应效果等方面提出了具体要求。</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_GB2312" w:hAnsi="Times New Roman" w:eastAsia="仿宋_GB2312" w:cs="Times New Roman"/>
          <w:b w:val="0"/>
          <w:color w:val="auto"/>
          <w:kern w:val="2"/>
          <w:sz w:val="32"/>
          <w:szCs w:val="32"/>
          <w:highlight w:val="none"/>
          <w:lang w:val="en-US" w:eastAsia="zh-CN" w:bidi="ar-SA"/>
        </w:rPr>
      </w:pPr>
      <w:r>
        <w:rPr>
          <w:rFonts w:hint="eastAsia" w:ascii="仿宋_GB2312" w:hAnsi="Times New Roman" w:eastAsia="仿宋_GB2312" w:cs="Times New Roman"/>
          <w:color w:val="auto"/>
          <w:sz w:val="32"/>
          <w:szCs w:val="32"/>
          <w:highlight w:val="none"/>
          <w:lang w:val="en-US" w:eastAsia="zh-CN"/>
        </w:rPr>
        <w:t>3.</w:t>
      </w:r>
      <w:r>
        <w:rPr>
          <w:rFonts w:hint="eastAsia" w:ascii="仿宋_GB2312" w:hAnsi="Times New Roman" w:eastAsia="仿宋_GB2312" w:cs="Times New Roman"/>
          <w:b w:val="0"/>
          <w:color w:val="auto"/>
          <w:kern w:val="2"/>
          <w:sz w:val="32"/>
          <w:szCs w:val="32"/>
          <w:highlight w:val="none"/>
          <w:lang w:val="en-US" w:eastAsia="zh-CN" w:bidi="ar-SA"/>
        </w:rPr>
        <w:t>项目由来</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color w:val="auto"/>
          <w:sz w:val="32"/>
          <w:szCs w:val="32"/>
          <w:highlight w:val="none"/>
          <w:lang w:val="en-US" w:eastAsia="zh-CN"/>
        </w:rPr>
      </w:pPr>
      <w:r>
        <w:rPr>
          <w:rFonts w:hint="eastAsia" w:ascii="仿宋_GB2312" w:hAnsi="Times New Roman" w:eastAsia="仿宋_GB2312" w:cs="Times New Roman"/>
          <w:b w:val="0"/>
          <w:color w:val="auto"/>
          <w:kern w:val="2"/>
          <w:sz w:val="32"/>
          <w:szCs w:val="32"/>
          <w:highlight w:val="none"/>
          <w:lang w:val="en-US" w:eastAsia="zh-CN" w:bidi="ar-SA"/>
        </w:rPr>
        <w:t>近年来，石家庄市生态环境宣传教育工作紧紧围绕全市生态环境工作任务，</w:t>
      </w:r>
      <w:r>
        <w:rPr>
          <w:rFonts w:hint="eastAsia" w:ascii="仿宋_GB2312" w:hAnsi="Calibri" w:eastAsia="仿宋_GB2312" w:cs="Times New Roman"/>
          <w:b w:val="0"/>
          <w:color w:val="auto"/>
          <w:kern w:val="2"/>
          <w:sz w:val="32"/>
          <w:szCs w:val="32"/>
          <w:highlight w:val="none"/>
          <w:lang w:val="en-US" w:eastAsia="zh-CN" w:bidi="ar-SA"/>
        </w:rPr>
        <w:t>以新闻宣传和社会宣传为两大主线，</w:t>
      </w:r>
      <w:r>
        <w:rPr>
          <w:rFonts w:hint="eastAsia" w:ascii="仿宋_GB2312" w:hAnsi="Times New Roman" w:eastAsia="仿宋_GB2312" w:cs="Times New Roman"/>
          <w:b w:val="0"/>
          <w:color w:val="auto"/>
          <w:kern w:val="2"/>
          <w:sz w:val="32"/>
          <w:szCs w:val="32"/>
          <w:highlight w:val="none"/>
          <w:lang w:val="en-US" w:eastAsia="zh-CN" w:bidi="ar-SA"/>
        </w:rPr>
        <w:t>积极收集素材，深度挖掘亮点，</w:t>
      </w:r>
      <w:r>
        <w:rPr>
          <w:rFonts w:hint="eastAsia" w:ascii="仿宋_GB2312" w:hAnsi="仿宋_GB2312" w:eastAsia="仿宋_GB2312" w:cs="仿宋_GB2312"/>
          <w:color w:val="auto"/>
          <w:sz w:val="32"/>
          <w:szCs w:val="32"/>
          <w:highlight w:val="none"/>
          <w:lang w:eastAsia="zh-CN"/>
        </w:rPr>
        <w:t>运用多种</w:t>
      </w:r>
      <w:r>
        <w:rPr>
          <w:rFonts w:hint="eastAsia" w:ascii="仿宋_GB2312" w:hAnsi="仿宋_GB2312" w:eastAsia="仿宋_GB2312" w:cs="仿宋_GB2312"/>
          <w:sz w:val="32"/>
          <w:szCs w:val="32"/>
          <w:highlight w:val="none"/>
          <w:lang w:val="en-US" w:eastAsia="zh-CN"/>
        </w:rPr>
        <w:t>媒体宣传平台</w:t>
      </w:r>
      <w:r>
        <w:rPr>
          <w:rFonts w:hint="eastAsia" w:ascii="仿宋_GB2312" w:hAnsi="Times New Roman" w:eastAsia="仿宋_GB2312" w:cs="Times New Roman"/>
          <w:b w:val="0"/>
          <w:color w:val="auto"/>
          <w:kern w:val="2"/>
          <w:sz w:val="32"/>
          <w:szCs w:val="32"/>
          <w:highlight w:val="none"/>
          <w:lang w:val="en-US" w:eastAsia="zh-CN" w:bidi="ar-SA"/>
        </w:rPr>
        <w:t>，正面引导、稳妥发声，</w:t>
      </w:r>
      <w:r>
        <w:rPr>
          <w:rFonts w:hint="eastAsia" w:ascii="仿宋_GB2312" w:hAnsi="仿宋_GB2312" w:eastAsia="仿宋_GB2312" w:cs="仿宋_GB2312"/>
          <w:color w:val="auto"/>
          <w:sz w:val="32"/>
          <w:szCs w:val="32"/>
          <w:highlight w:val="none"/>
          <w:lang w:eastAsia="zh-CN"/>
        </w:rPr>
        <w:t>结合重要环保节点，</w:t>
      </w:r>
      <w:r>
        <w:rPr>
          <w:rFonts w:hint="eastAsia" w:ascii="仿宋_GB2312" w:hAnsi="仿宋_GB2312" w:eastAsia="仿宋_GB2312" w:cs="仿宋_GB2312"/>
          <w:sz w:val="32"/>
          <w:szCs w:val="32"/>
          <w:highlight w:val="none"/>
          <w:lang w:val="en-US" w:eastAsia="zh-CN"/>
        </w:rPr>
        <w:t>积极</w:t>
      </w:r>
      <w:r>
        <w:rPr>
          <w:rFonts w:hint="eastAsia" w:ascii="仿宋_GB2312" w:hAnsi="仿宋_GB2312" w:eastAsia="仿宋_GB2312" w:cs="仿宋_GB2312"/>
          <w:color w:val="auto"/>
          <w:sz w:val="32"/>
          <w:szCs w:val="32"/>
          <w:highlight w:val="none"/>
          <w:lang w:eastAsia="zh-CN"/>
        </w:rPr>
        <w:t>开展</w:t>
      </w:r>
      <w:r>
        <w:rPr>
          <w:rFonts w:hint="eastAsia" w:ascii="仿宋_GB2312" w:hAnsi="仿宋_GB2312" w:eastAsia="仿宋_GB2312" w:cs="仿宋_GB2312"/>
          <w:color w:val="auto"/>
          <w:sz w:val="32"/>
          <w:szCs w:val="32"/>
          <w:highlight w:val="none"/>
        </w:rPr>
        <w:t>主题宣传活动，通过线上线下融合，</w:t>
      </w:r>
      <w:r>
        <w:rPr>
          <w:rFonts w:hint="eastAsia" w:ascii="仿宋_GB2312" w:hAnsi="仿宋_GB2312" w:eastAsia="仿宋_GB2312" w:cs="仿宋_GB2312"/>
          <w:sz w:val="32"/>
          <w:szCs w:val="32"/>
          <w:highlight w:val="none"/>
          <w:lang w:val="en-US" w:eastAsia="zh-CN"/>
        </w:rPr>
        <w:t>为公众参与生态环境保护提供更多更有效的渠道，</w:t>
      </w:r>
      <w:r>
        <w:rPr>
          <w:rFonts w:hint="eastAsia" w:ascii="仿宋_GB2312" w:hAnsi="仿宋_GB2312" w:eastAsia="仿宋_GB2312" w:cs="仿宋_GB2312"/>
          <w:color w:val="auto"/>
          <w:sz w:val="32"/>
          <w:szCs w:val="32"/>
          <w:highlight w:val="none"/>
          <w:lang w:eastAsia="zh-CN"/>
        </w:rPr>
        <w:t>为生态环境治理工作营造浓厚氛围</w:t>
      </w:r>
      <w:r>
        <w:rPr>
          <w:rFonts w:hint="eastAsia" w:ascii="仿宋_GB2312" w:hAnsi="Calibri" w:eastAsia="仿宋_GB2312" w:cs="Times New Roman"/>
          <w:b w:val="0"/>
          <w:color w:val="auto"/>
          <w:kern w:val="2"/>
          <w:sz w:val="32"/>
          <w:szCs w:val="32"/>
          <w:highlight w:val="none"/>
          <w:lang w:val="en-US" w:eastAsia="zh-CN" w:bidi="ar-SA"/>
        </w:rPr>
        <w:t>。</w:t>
      </w:r>
      <w:r>
        <w:rPr>
          <w:rFonts w:hint="eastAsia" w:ascii="仿宋_GB2312" w:hAnsi="Times New Roman" w:eastAsia="仿宋_GB2312" w:cs="Times New Roman"/>
          <w:b w:val="0"/>
          <w:color w:val="auto"/>
          <w:kern w:val="2"/>
          <w:sz w:val="32"/>
          <w:szCs w:val="32"/>
          <w:highlight w:val="none"/>
          <w:lang w:val="en-US" w:eastAsia="zh-CN" w:bidi="ar-SA"/>
        </w:rPr>
        <w:t>同时，</w:t>
      </w:r>
      <w:r>
        <w:rPr>
          <w:rFonts w:hint="eastAsia" w:ascii="仿宋_GB2312" w:hAnsi="仿宋_GB2312" w:eastAsia="仿宋_GB2312" w:cs="仿宋_GB2312"/>
          <w:color w:val="auto"/>
          <w:sz w:val="32"/>
          <w:szCs w:val="32"/>
          <w:highlight w:val="none"/>
        </w:rPr>
        <w:t>做好网络舆情收集监控工作，</w:t>
      </w:r>
      <w:r>
        <w:rPr>
          <w:rFonts w:hint="eastAsia" w:ascii="仿宋_GB2312" w:hAnsi="仿宋_GB2312" w:eastAsia="仿宋_GB2312" w:cs="仿宋_GB2312"/>
          <w:sz w:val="32"/>
          <w:szCs w:val="32"/>
          <w:highlight w:val="none"/>
          <w:lang w:val="en-US" w:eastAsia="zh-CN"/>
        </w:rPr>
        <w:t>防范生态环境舆情风险，</w:t>
      </w:r>
      <w:r>
        <w:rPr>
          <w:rFonts w:hint="eastAsia" w:ascii="仿宋_GB2312" w:hAnsi="仿宋_GB2312" w:eastAsia="仿宋_GB2312" w:cs="仿宋_GB2312"/>
          <w:color w:val="auto"/>
          <w:sz w:val="32"/>
          <w:szCs w:val="32"/>
          <w:highlight w:val="none"/>
        </w:rPr>
        <w:t>及时掌握动态、及时报告，为</w:t>
      </w:r>
      <w:r>
        <w:rPr>
          <w:rFonts w:hint="eastAsia" w:ascii="仿宋_GB2312" w:hAnsi="仿宋_GB2312" w:eastAsia="仿宋_GB2312" w:cs="仿宋_GB2312"/>
          <w:color w:val="auto"/>
          <w:sz w:val="32"/>
          <w:szCs w:val="32"/>
          <w:highlight w:val="none"/>
          <w:lang w:eastAsia="zh-CN"/>
        </w:rPr>
        <w:t>我市生态环境保护工作</w:t>
      </w:r>
      <w:r>
        <w:rPr>
          <w:rFonts w:hint="eastAsia" w:ascii="仿宋_GB2312" w:hAnsi="仿宋_GB2312" w:eastAsia="仿宋_GB2312" w:cs="仿宋_GB2312"/>
          <w:color w:val="auto"/>
          <w:sz w:val="32"/>
          <w:szCs w:val="32"/>
          <w:highlight w:val="none"/>
        </w:rPr>
        <w:t>提供技术支撑</w:t>
      </w:r>
      <w:r>
        <w:rPr>
          <w:rFonts w:hint="eastAsia" w:ascii="仿宋_GB2312" w:hAnsi="仿宋_GB2312" w:eastAsia="仿宋_GB2312" w:cs="仿宋_GB2312"/>
          <w:color w:val="auto"/>
          <w:sz w:val="32"/>
          <w:szCs w:val="32"/>
          <w:highlight w:val="none"/>
          <w:lang w:eastAsia="zh-CN"/>
        </w:rPr>
        <w:t>。因此，</w:t>
      </w:r>
      <w:r>
        <w:rPr>
          <w:rFonts w:hint="eastAsia" w:ascii="仿宋_GB2312" w:hAnsi="仿宋_GB2312" w:eastAsia="仿宋_GB2312" w:cs="仿宋_GB2312"/>
          <w:b w:val="0"/>
          <w:bCs/>
          <w:kern w:val="2"/>
          <w:sz w:val="32"/>
          <w:szCs w:val="32"/>
          <w:highlight w:val="none"/>
          <w:lang w:val="en-US" w:eastAsia="zh-CN" w:bidi="ar-SA"/>
        </w:rPr>
        <w:t>开展本项目。</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Times New Roman" w:eastAsia="仿宋_GB2312" w:cs="Times New Roman"/>
          <w:color w:val="auto"/>
          <w:sz w:val="32"/>
          <w:szCs w:val="32"/>
          <w:highlight w:val="none"/>
          <w:lang w:val="en-US" w:eastAsia="zh-CN"/>
        </w:rPr>
      </w:pPr>
      <w:r>
        <w:rPr>
          <w:rFonts w:hint="eastAsia" w:ascii="仿宋_GB2312" w:hAnsi="Times New Roman" w:eastAsia="仿宋_GB2312" w:cs="Times New Roman"/>
          <w:b w:val="0"/>
          <w:color w:val="auto"/>
          <w:kern w:val="2"/>
          <w:sz w:val="32"/>
          <w:szCs w:val="32"/>
          <w:highlight w:val="none"/>
          <w:lang w:val="en-US" w:eastAsia="zh-CN" w:bidi="ar-SA"/>
        </w:rPr>
        <w:t>4.</w:t>
      </w:r>
      <w:r>
        <w:rPr>
          <w:rFonts w:hint="eastAsia" w:ascii="仿宋_GB2312" w:hAnsi="Times New Roman" w:eastAsia="仿宋_GB2312" w:cs="Times New Roman"/>
          <w:color w:val="auto"/>
          <w:sz w:val="32"/>
          <w:szCs w:val="32"/>
          <w:highlight w:val="none"/>
          <w:lang w:val="en-US" w:eastAsia="zh-CN"/>
        </w:rPr>
        <w:t>项目主要内容</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right="0" w:rightChars="0" w:firstLine="640" w:firstLineChars="200"/>
        <w:textAlignment w:val="auto"/>
        <w:outlineLvl w:val="9"/>
        <w:rPr>
          <w:rFonts w:hint="default" w:ascii="仿宋_GB2312" w:hAnsi="Calibri" w:eastAsia="仿宋_GB2312" w:cs="Times New Roman"/>
          <w:b/>
          <w:bCs/>
          <w:color w:val="FF0000"/>
          <w:kern w:val="2"/>
          <w:sz w:val="32"/>
          <w:szCs w:val="32"/>
          <w:highlight w:val="none"/>
          <w:lang w:val="en-US" w:eastAsia="zh-CN" w:bidi="ar-SA"/>
        </w:rPr>
      </w:pPr>
      <w:r>
        <w:rPr>
          <w:rFonts w:hint="eastAsia" w:ascii="仿宋_GB2312" w:hAnsi="Times New Roman" w:eastAsia="仿宋_GB2312" w:cs="Times New Roman"/>
          <w:b w:val="0"/>
          <w:color w:val="auto"/>
          <w:kern w:val="2"/>
          <w:sz w:val="32"/>
          <w:szCs w:val="32"/>
          <w:highlight w:val="none"/>
          <w:lang w:val="en-US" w:eastAsia="zh-CN" w:bidi="ar-SA"/>
        </w:rPr>
        <w:t>环境保护宣传教育项目，</w:t>
      </w:r>
      <w:r>
        <w:rPr>
          <w:rFonts w:hint="eastAsia" w:ascii="仿宋_GB2312" w:hAnsi="Calibri" w:eastAsia="仿宋_GB2312" w:cs="Times New Roman"/>
          <w:b w:val="0"/>
          <w:color w:val="auto"/>
          <w:kern w:val="2"/>
          <w:sz w:val="32"/>
          <w:szCs w:val="32"/>
          <w:highlight w:val="none"/>
          <w:lang w:val="en-US" w:eastAsia="zh-CN" w:bidi="ar-SA"/>
        </w:rPr>
        <w:t>由三部分组成。分别为：一是环境保护宣传教育（1包：生态环境社会</w:t>
      </w:r>
      <w:r>
        <w:rPr>
          <w:rFonts w:hint="default" w:ascii="仿宋_GB2312" w:hAnsi="Calibri" w:eastAsia="仿宋_GB2312" w:cs="Times New Roman"/>
          <w:b w:val="0"/>
          <w:color w:val="auto"/>
          <w:kern w:val="2"/>
          <w:sz w:val="32"/>
          <w:szCs w:val="32"/>
          <w:highlight w:val="none"/>
          <w:lang w:val="en-US" w:eastAsia="zh-CN" w:bidi="ar-SA"/>
        </w:rPr>
        <w:t>宣传</w:t>
      </w:r>
      <w:r>
        <w:rPr>
          <w:rFonts w:hint="eastAsia" w:ascii="仿宋_GB2312" w:hAnsi="Calibri" w:eastAsia="仿宋_GB2312" w:cs="Times New Roman"/>
          <w:b w:val="0"/>
          <w:color w:val="auto"/>
          <w:kern w:val="2"/>
          <w:sz w:val="32"/>
          <w:szCs w:val="32"/>
          <w:highlight w:val="none"/>
          <w:lang w:val="en-US" w:eastAsia="zh-CN" w:bidi="ar-SA"/>
        </w:rPr>
        <w:t>及资料库维护）；二是环境保护宣传教育（2包：生态环境新闻</w:t>
      </w:r>
      <w:r>
        <w:rPr>
          <w:rFonts w:hint="default" w:ascii="仿宋_GB2312" w:hAnsi="Calibri" w:eastAsia="仿宋_GB2312" w:cs="Times New Roman"/>
          <w:b w:val="0"/>
          <w:color w:val="auto"/>
          <w:kern w:val="2"/>
          <w:sz w:val="32"/>
          <w:szCs w:val="32"/>
          <w:highlight w:val="none"/>
          <w:lang w:val="en-US" w:eastAsia="zh-CN" w:bidi="ar-SA"/>
        </w:rPr>
        <w:t>宣传</w:t>
      </w:r>
      <w:r>
        <w:rPr>
          <w:rFonts w:hint="eastAsia" w:ascii="仿宋_GB2312" w:hAnsi="Calibri" w:eastAsia="仿宋_GB2312" w:cs="Times New Roman"/>
          <w:b w:val="0"/>
          <w:color w:val="auto"/>
          <w:kern w:val="2"/>
          <w:sz w:val="32"/>
          <w:szCs w:val="32"/>
          <w:highlight w:val="none"/>
          <w:lang w:val="en-US" w:eastAsia="zh-CN" w:bidi="ar-SA"/>
        </w:rPr>
        <w:t>）；三是环境保护宣传教育（3包：生态环境网络舆情监控）。</w:t>
      </w:r>
    </w:p>
    <w:p>
      <w:pPr>
        <w:keepNext w:val="0"/>
        <w:keepLines w:val="0"/>
        <w:pageBreakBefore w:val="0"/>
        <w:widowControl w:val="0"/>
        <w:numPr>
          <w:ilvl w:val="0"/>
          <w:numId w:val="2"/>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环境保护宣传教育（1包：生态环境社会</w:t>
      </w:r>
      <w:r>
        <w:rPr>
          <w:rFonts w:hint="default" w:ascii="仿宋_GB2312" w:hAnsi="Calibri" w:eastAsia="仿宋_GB2312" w:cs="Times New Roman"/>
          <w:b w:val="0"/>
          <w:color w:val="auto"/>
          <w:kern w:val="2"/>
          <w:sz w:val="32"/>
          <w:szCs w:val="32"/>
          <w:highlight w:val="none"/>
          <w:lang w:val="en-US" w:eastAsia="zh-CN" w:bidi="ar-SA"/>
        </w:rPr>
        <w:t>宣传</w:t>
      </w:r>
      <w:r>
        <w:rPr>
          <w:rFonts w:hint="eastAsia" w:ascii="仿宋_GB2312" w:hAnsi="Calibri" w:eastAsia="仿宋_GB2312" w:cs="Times New Roman"/>
          <w:b w:val="0"/>
          <w:color w:val="auto"/>
          <w:kern w:val="2"/>
          <w:sz w:val="32"/>
          <w:szCs w:val="32"/>
          <w:highlight w:val="none"/>
          <w:lang w:val="en-US" w:eastAsia="zh-CN" w:bidi="ar-SA"/>
        </w:rPr>
        <w:t>及资料库维护）</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right="0" w:rightChars="0" w:firstLine="630"/>
        <w:textAlignment w:val="auto"/>
        <w:outlineLvl w:val="9"/>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lang w:val="en-US" w:eastAsia="zh-CN" w:bidi="ar-SA"/>
        </w:rPr>
        <w:t>围绕全年重要活动时间节点，开展生态环保相关主题活动，</w:t>
      </w:r>
      <w:r>
        <w:rPr>
          <w:rFonts w:hint="eastAsia" w:ascii="仿宋_GB2312" w:hAnsi="Calibri" w:eastAsia="仿宋_GB2312" w:cs="Times New Roman"/>
          <w:b w:val="0"/>
          <w:color w:val="auto"/>
          <w:kern w:val="2"/>
          <w:sz w:val="32"/>
          <w:szCs w:val="32"/>
          <w:highlight w:val="none"/>
          <w:lang w:val="en-US" w:eastAsia="zh-CN" w:bidi="ar-SA"/>
        </w:rPr>
        <w:t>面对不同受众人群有针对性地策划、执行生态环境主题社会宣传活动，</w:t>
      </w:r>
      <w:r>
        <w:rPr>
          <w:rFonts w:hint="eastAsia" w:ascii="仿宋_GB2312" w:hAnsi="仿宋_GB2312" w:eastAsia="仿宋_GB2312" w:cs="仿宋_GB2312"/>
          <w:color w:val="auto"/>
          <w:sz w:val="32"/>
          <w:szCs w:val="32"/>
          <w:highlight w:val="none"/>
          <w:lang w:val="en-US" w:eastAsia="zh-CN"/>
        </w:rPr>
        <w:t>并做好活动氛围营造</w:t>
      </w:r>
      <w:r>
        <w:rPr>
          <w:rFonts w:hint="eastAsia" w:ascii="仿宋_GB2312" w:hAnsi="Calibri" w:eastAsia="仿宋_GB2312" w:cs="Times New Roman"/>
          <w:b w:val="0"/>
          <w:color w:val="auto"/>
          <w:kern w:val="2"/>
          <w:sz w:val="32"/>
          <w:szCs w:val="32"/>
          <w:highlight w:val="none"/>
          <w:lang w:val="en-US" w:eastAsia="zh-CN" w:bidi="ar-SA"/>
        </w:rPr>
        <w:t>。同时，根据工作需要，持续开展生态环境相关宣传资料维护，包括每日固定点位、每月重点区域、社会宣传活动以及生态环境相关工作成效的宣传资料留存，并不断充实完善。加强资料管理，做好资料收录、整理等工作，适时对库内资料素材进行宣传作品转化。</w:t>
      </w:r>
    </w:p>
    <w:p>
      <w:pPr>
        <w:keepNext w:val="0"/>
        <w:keepLines w:val="0"/>
        <w:pageBreakBefore w:val="0"/>
        <w:widowControl/>
        <w:numPr>
          <w:ilvl w:val="0"/>
          <w:numId w:val="2"/>
        </w:numPr>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环境保护宣传教育（2包：生态环境新闻</w:t>
      </w:r>
      <w:r>
        <w:rPr>
          <w:rFonts w:hint="default" w:ascii="仿宋_GB2312" w:hAnsi="Calibri" w:eastAsia="仿宋_GB2312" w:cs="Times New Roman"/>
          <w:b w:val="0"/>
          <w:color w:val="auto"/>
          <w:kern w:val="2"/>
          <w:sz w:val="32"/>
          <w:szCs w:val="32"/>
          <w:highlight w:val="none"/>
          <w:lang w:val="en-US" w:eastAsia="zh-CN" w:bidi="ar-SA"/>
        </w:rPr>
        <w:t>宣传</w:t>
      </w:r>
      <w:r>
        <w:rPr>
          <w:rFonts w:hint="eastAsia" w:ascii="仿宋_GB2312" w:hAnsi="Calibri" w:eastAsia="仿宋_GB2312" w:cs="Times New Roman"/>
          <w:b w:val="0"/>
          <w:color w:val="auto"/>
          <w:kern w:val="2"/>
          <w:sz w:val="32"/>
          <w:szCs w:val="32"/>
          <w:highlight w:val="none"/>
          <w:lang w:val="en-US" w:eastAsia="zh-CN" w:bidi="ar-SA"/>
        </w:rPr>
        <w:t>）</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right="0" w:rightChars="0" w:firstLine="629"/>
        <w:textAlignment w:val="auto"/>
        <w:outlineLvl w:val="9"/>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围绕生态环境保护重点工作，多渠道开展生态环境新闻宣传，坚持正面导向、稳妥发声。继续依托主流媒体、政务新媒体、网络媒体等宣传平台，营造浓厚舆论氛围。</w:t>
      </w:r>
    </w:p>
    <w:p>
      <w:pPr>
        <w:keepNext w:val="0"/>
        <w:keepLines w:val="0"/>
        <w:pageBreakBefore w:val="0"/>
        <w:widowControl w:val="0"/>
        <w:numPr>
          <w:ilvl w:val="0"/>
          <w:numId w:val="2"/>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环境保护宣传教育（3包：生态环境网络舆情监控）</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right="0" w:rightChars="0" w:firstLine="630"/>
        <w:textAlignment w:val="auto"/>
        <w:outlineLvl w:val="9"/>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根据项目实际需要，依托生态环境舆情网络监测系统，进一步拓展监测范围，加密监测频次，及时发现，及时编制、推送舆情报告等相关资料，对重要舆情进行分析研判、妥善应对，为稳妥做好生态环境舆情应对工作提供参考。</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Times New Roman"/>
          <w:sz w:val="32"/>
          <w:szCs w:val="32"/>
          <w:lang w:eastAsia="zh-CN"/>
        </w:rPr>
      </w:pPr>
      <w:r>
        <w:rPr>
          <w:rFonts w:hint="eastAsia" w:ascii="黑体" w:hAnsi="黑体" w:eastAsia="黑体" w:cs="Times New Roman"/>
          <w:sz w:val="32"/>
          <w:szCs w:val="32"/>
          <w:lang w:eastAsia="zh-CN"/>
        </w:rPr>
        <w:t>二、采购项目预（概）算</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u w:val="single"/>
          <w:lang w:val="en-US" w:eastAsia="zh-CN"/>
        </w:rPr>
      </w:pPr>
      <w:r>
        <w:rPr>
          <w:rFonts w:hint="eastAsia" w:ascii="楷体_GB2312" w:hAnsi="楷体_GB2312" w:eastAsia="楷体_GB2312" w:cs="楷体_GB2312"/>
          <w:sz w:val="32"/>
          <w:szCs w:val="32"/>
          <w:highlight w:val="none"/>
        </w:rPr>
        <w:t>总 预 算：</w:t>
      </w:r>
      <w:r>
        <w:rPr>
          <w:rFonts w:hint="eastAsia" w:ascii="仿宋_GB2312" w:hAnsi="仿宋_GB2312" w:eastAsia="仿宋_GB2312" w:cs="仿宋_GB2312"/>
          <w:sz w:val="32"/>
          <w:szCs w:val="32"/>
          <w:highlight w:val="none"/>
          <w:u w:val="single"/>
        </w:rPr>
        <w:t xml:space="preserve">  12</w:t>
      </w:r>
      <w:r>
        <w:rPr>
          <w:rFonts w:hint="eastAsia" w:ascii="仿宋_GB2312" w:hAnsi="仿宋_GB2312" w:eastAsia="仿宋_GB2312" w:cs="仿宋_GB2312"/>
          <w:sz w:val="32"/>
          <w:szCs w:val="32"/>
          <w:highlight w:val="none"/>
          <w:u w:val="single"/>
          <w:lang w:val="en-US" w:eastAsia="zh-CN"/>
        </w:rPr>
        <w:t>4.62万元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u w:val="single"/>
        </w:rPr>
      </w:pPr>
      <w:r>
        <w:rPr>
          <w:rFonts w:hint="eastAsia" w:ascii="楷体_GB2312" w:hAnsi="楷体_GB2312" w:eastAsia="楷体_GB2312" w:cs="楷体_GB2312"/>
          <w:sz w:val="32"/>
          <w:szCs w:val="32"/>
          <w:highlight w:val="none"/>
        </w:rPr>
        <w:t>包1最高限价：</w:t>
      </w:r>
      <w:r>
        <w:rPr>
          <w:rFonts w:hint="eastAsia"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u w:val="single"/>
          <w:lang w:val="en-US" w:eastAsia="zh-CN"/>
        </w:rPr>
        <w:t>70万元</w:t>
      </w:r>
      <w:r>
        <w:rPr>
          <w:rFonts w:hint="eastAsia" w:ascii="仿宋_GB2312" w:hAnsi="仿宋_GB2312" w:eastAsia="仿宋_GB2312" w:cs="仿宋_GB2312"/>
          <w:sz w:val="32"/>
          <w:szCs w:val="32"/>
          <w:highlight w:val="none"/>
          <w:u w:val="single"/>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highlight w:val="none"/>
        </w:rPr>
      </w:pPr>
      <w:r>
        <w:rPr>
          <w:rFonts w:hint="eastAsia" w:ascii="楷体_GB2312" w:hAnsi="楷体_GB2312" w:eastAsia="楷体_GB2312" w:cs="楷体_GB2312"/>
          <w:sz w:val="32"/>
          <w:szCs w:val="32"/>
          <w:highlight w:val="none"/>
        </w:rPr>
        <w:t>包</w:t>
      </w:r>
      <w:r>
        <w:rPr>
          <w:rFonts w:hint="eastAsia" w:ascii="楷体_GB2312" w:hAnsi="楷体_GB2312" w:eastAsia="楷体_GB2312" w:cs="楷体_GB2312"/>
          <w:sz w:val="32"/>
          <w:szCs w:val="32"/>
          <w:highlight w:val="none"/>
          <w:lang w:val="en-US" w:eastAsia="zh-CN"/>
        </w:rPr>
        <w:t>2</w:t>
      </w:r>
      <w:r>
        <w:rPr>
          <w:rFonts w:hint="eastAsia" w:ascii="楷体_GB2312" w:hAnsi="楷体_GB2312" w:eastAsia="楷体_GB2312" w:cs="楷体_GB2312"/>
          <w:sz w:val="32"/>
          <w:szCs w:val="32"/>
          <w:highlight w:val="none"/>
        </w:rPr>
        <w:t>最高限价：</w:t>
      </w:r>
      <w:r>
        <w:rPr>
          <w:rFonts w:hint="eastAsia"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u w:val="single"/>
          <w:lang w:val="en-US" w:eastAsia="zh-CN"/>
        </w:rPr>
        <w:t>32万元</w:t>
      </w:r>
      <w:r>
        <w:rPr>
          <w:rFonts w:hint="eastAsia" w:ascii="仿宋_GB2312" w:hAnsi="仿宋_GB2312" w:eastAsia="仿宋_GB2312" w:cs="仿宋_GB2312"/>
          <w:sz w:val="32"/>
          <w:szCs w:val="32"/>
          <w:highlight w:val="none"/>
          <w:u w:val="single"/>
        </w:rPr>
        <w:t xml:space="preserve">       </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u w:val="single"/>
        </w:rPr>
      </w:pPr>
      <w:r>
        <w:rPr>
          <w:rFonts w:hint="eastAsia" w:ascii="楷体_GB2312" w:hAnsi="楷体_GB2312" w:eastAsia="楷体_GB2312" w:cs="楷体_GB2312"/>
          <w:sz w:val="32"/>
          <w:szCs w:val="32"/>
          <w:highlight w:val="none"/>
        </w:rPr>
        <w:t>包</w:t>
      </w:r>
      <w:r>
        <w:rPr>
          <w:rFonts w:hint="eastAsia" w:ascii="楷体_GB2312" w:hAnsi="楷体_GB2312" w:eastAsia="楷体_GB2312" w:cs="楷体_GB2312"/>
          <w:sz w:val="32"/>
          <w:szCs w:val="32"/>
          <w:highlight w:val="none"/>
          <w:lang w:val="en-US" w:eastAsia="zh-CN"/>
        </w:rPr>
        <w:t>3</w:t>
      </w:r>
      <w:r>
        <w:rPr>
          <w:rFonts w:hint="eastAsia" w:ascii="楷体_GB2312" w:hAnsi="楷体_GB2312" w:eastAsia="楷体_GB2312" w:cs="楷体_GB2312"/>
          <w:sz w:val="32"/>
          <w:szCs w:val="32"/>
          <w:highlight w:val="none"/>
        </w:rPr>
        <w:t>最高限价：</w:t>
      </w:r>
      <w:r>
        <w:rPr>
          <w:rFonts w:hint="eastAsia"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u w:val="single"/>
          <w:lang w:val="en-US" w:eastAsia="zh-CN"/>
        </w:rPr>
        <w:t>22.62万元</w:t>
      </w:r>
      <w:r>
        <w:rPr>
          <w:rFonts w:hint="eastAsia" w:ascii="仿宋_GB2312" w:hAnsi="仿宋_GB2312" w:eastAsia="仿宋_GB2312" w:cs="仿宋_GB2312"/>
          <w:sz w:val="32"/>
          <w:szCs w:val="32"/>
          <w:highlight w:val="none"/>
          <w:u w:val="single"/>
        </w:rPr>
        <w:t xml:space="preserve">   </w:t>
      </w:r>
    </w:p>
    <w:p>
      <w:pPr>
        <w:spacing w:line="560" w:lineRule="exact"/>
        <w:ind w:firstLine="640" w:firstLineChars="200"/>
        <w:jc w:val="left"/>
        <w:rPr>
          <w:rFonts w:hint="eastAsia" w:ascii="黑体" w:hAnsi="黑体" w:eastAsia="黑体" w:cs="Times New Roman"/>
          <w:sz w:val="32"/>
          <w:szCs w:val="32"/>
          <w:lang w:eastAsia="zh-CN"/>
        </w:rPr>
      </w:pPr>
      <w:r>
        <w:rPr>
          <w:rFonts w:hint="eastAsia" w:ascii="黑体" w:hAnsi="黑体" w:eastAsia="黑体" w:cs="Times New Roman"/>
          <w:sz w:val="32"/>
          <w:szCs w:val="32"/>
          <w:lang w:eastAsia="zh-CN"/>
        </w:rPr>
        <w:t>三、采购标的汇总表</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
        <w:gridCol w:w="922"/>
        <w:gridCol w:w="2063"/>
        <w:gridCol w:w="1847"/>
        <w:gridCol w:w="874"/>
        <w:gridCol w:w="972"/>
        <w:gridCol w:w="9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7" w:hRule="atLeast"/>
          <w:jc w:val="center"/>
        </w:trPr>
        <w:tc>
          <w:tcPr>
            <w:tcW w:w="906" w:type="dxa"/>
            <w:noWrap w:val="0"/>
            <w:vAlign w:val="center"/>
          </w:tcPr>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包号</w:t>
            </w:r>
          </w:p>
        </w:tc>
        <w:tc>
          <w:tcPr>
            <w:tcW w:w="922" w:type="dxa"/>
            <w:noWrap w:val="0"/>
            <w:vAlign w:val="center"/>
          </w:tcPr>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序号</w:t>
            </w:r>
          </w:p>
        </w:tc>
        <w:tc>
          <w:tcPr>
            <w:tcW w:w="2063" w:type="dxa"/>
            <w:noWrap w:val="0"/>
            <w:vAlign w:val="center"/>
          </w:tcPr>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标的名称</w:t>
            </w:r>
          </w:p>
        </w:tc>
        <w:tc>
          <w:tcPr>
            <w:tcW w:w="1847" w:type="dxa"/>
            <w:noWrap w:val="0"/>
            <w:vAlign w:val="center"/>
          </w:tcPr>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品目分类</w:t>
            </w:r>
          </w:p>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编码</w:t>
            </w:r>
            <w:r>
              <w:rPr>
                <w:rFonts w:hint="eastAsia" w:ascii="仿宋_GB2312" w:hAnsi="仿宋_GB2312" w:eastAsia="仿宋_GB2312" w:cs="仿宋_GB2312"/>
                <w:b/>
                <w:sz w:val="28"/>
                <w:szCs w:val="28"/>
                <w:highlight w:val="none"/>
                <w:lang w:eastAsia="zh-CN"/>
              </w:rPr>
              <w:t>及名称</w:t>
            </w:r>
          </w:p>
        </w:tc>
        <w:tc>
          <w:tcPr>
            <w:tcW w:w="874" w:type="dxa"/>
            <w:noWrap w:val="0"/>
            <w:vAlign w:val="center"/>
          </w:tcPr>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计量</w:t>
            </w:r>
          </w:p>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单位</w:t>
            </w:r>
          </w:p>
        </w:tc>
        <w:tc>
          <w:tcPr>
            <w:tcW w:w="972" w:type="dxa"/>
            <w:noWrap w:val="0"/>
            <w:vAlign w:val="center"/>
          </w:tcPr>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数量</w:t>
            </w:r>
          </w:p>
        </w:tc>
        <w:tc>
          <w:tcPr>
            <w:tcW w:w="973" w:type="dxa"/>
            <w:noWrap w:val="0"/>
            <w:vAlign w:val="center"/>
          </w:tcPr>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是否进口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906" w:type="dxa"/>
            <w:noWrap w:val="0"/>
            <w:vAlign w:val="center"/>
          </w:tcPr>
          <w:p>
            <w:pPr>
              <w:adjustRightInd w:val="0"/>
              <w:snapToGrid w:val="0"/>
              <w:spacing w:line="560" w:lineRule="exact"/>
              <w:jc w:val="center"/>
              <w:rPr>
                <w:rFonts w:hint="eastAsia" w:ascii="仿宋_GB2312" w:hAnsi="仿宋_GB2312" w:eastAsia="仿宋_GB2312" w:cs="仿宋_GB2312"/>
                <w:kern w:val="2"/>
                <w:sz w:val="28"/>
                <w:szCs w:val="28"/>
                <w:highlight w:val="none"/>
                <w:lang w:val="en-US" w:eastAsia="zh-CN" w:bidi="ar-SA"/>
              </w:rPr>
            </w:pPr>
            <w:r>
              <w:rPr>
                <w:rFonts w:hint="eastAsia" w:ascii="仿宋_GB2312" w:hAnsi="仿宋_GB2312" w:eastAsia="仿宋_GB2312" w:cs="仿宋_GB2312"/>
                <w:sz w:val="28"/>
                <w:szCs w:val="28"/>
                <w:highlight w:val="none"/>
                <w:lang w:val="en-US" w:eastAsia="zh-CN"/>
              </w:rPr>
              <w:t>1</w:t>
            </w:r>
          </w:p>
        </w:tc>
        <w:tc>
          <w:tcPr>
            <w:tcW w:w="922" w:type="dxa"/>
            <w:noWrap w:val="0"/>
            <w:vAlign w:val="center"/>
          </w:tcPr>
          <w:p>
            <w:pPr>
              <w:adjustRightInd w:val="0"/>
              <w:snapToGrid w:val="0"/>
              <w:spacing w:line="560" w:lineRule="exact"/>
              <w:jc w:val="center"/>
              <w:rPr>
                <w:rFonts w:hint="default" w:ascii="仿宋_GB2312" w:hAnsi="仿宋_GB2312" w:eastAsia="仿宋_GB2312" w:cs="仿宋_GB2312"/>
                <w:kern w:val="2"/>
                <w:sz w:val="28"/>
                <w:szCs w:val="28"/>
                <w:highlight w:val="none"/>
                <w:lang w:val="en-US" w:eastAsia="zh-CN" w:bidi="ar-SA"/>
              </w:rPr>
            </w:pPr>
            <w:r>
              <w:rPr>
                <w:rFonts w:hint="eastAsia" w:ascii="仿宋_GB2312" w:hAnsi="仿宋_GB2312" w:eastAsia="仿宋_GB2312" w:cs="仿宋_GB2312"/>
                <w:sz w:val="28"/>
                <w:szCs w:val="28"/>
                <w:highlight w:val="none"/>
                <w:lang w:val="en-US" w:eastAsia="zh-CN"/>
              </w:rPr>
              <w:t>1</w:t>
            </w:r>
          </w:p>
        </w:tc>
        <w:tc>
          <w:tcPr>
            <w:tcW w:w="2063" w:type="dxa"/>
            <w:noWrap w:val="0"/>
            <w:vAlign w:val="center"/>
          </w:tcPr>
          <w:p>
            <w:pPr>
              <w:adjustRightInd w:val="0"/>
              <w:snapToGrid w:val="0"/>
              <w:spacing w:line="560" w:lineRule="exact"/>
              <w:jc w:val="left"/>
              <w:rPr>
                <w:rFonts w:hint="eastAsia" w:ascii="仿宋_GB2312" w:hAnsi="仿宋_GB2312" w:eastAsia="仿宋_GB2312" w:cs="仿宋_GB2312"/>
                <w:color w:val="auto"/>
                <w:kern w:val="2"/>
                <w:sz w:val="28"/>
                <w:szCs w:val="28"/>
                <w:highlight w:val="none"/>
                <w:lang w:val="en-US" w:eastAsia="zh-CN" w:bidi="ar-SA"/>
              </w:rPr>
            </w:pPr>
            <w:r>
              <w:rPr>
                <w:rFonts w:hint="eastAsia" w:ascii="仿宋_GB2312" w:hAnsi="仿宋_GB2312" w:eastAsia="仿宋_GB2312" w:cs="仿宋_GB2312"/>
                <w:color w:val="auto"/>
                <w:sz w:val="28"/>
                <w:szCs w:val="28"/>
                <w:highlight w:val="none"/>
                <w:lang w:val="en-US" w:eastAsia="zh-CN"/>
              </w:rPr>
              <w:t>环境保护宣传教育（</w:t>
            </w:r>
            <w:r>
              <w:rPr>
                <w:rFonts w:hint="eastAsia" w:ascii="仿宋_GB2312" w:hAnsi="Calibri" w:eastAsia="仿宋_GB2312" w:cs="Times New Roman"/>
                <w:b w:val="0"/>
                <w:color w:val="auto"/>
                <w:kern w:val="2"/>
                <w:sz w:val="32"/>
                <w:szCs w:val="32"/>
                <w:highlight w:val="none"/>
                <w:lang w:val="en-US" w:eastAsia="zh-CN" w:bidi="ar-SA"/>
              </w:rPr>
              <w:t>1包：</w:t>
            </w:r>
            <w:r>
              <w:rPr>
                <w:rFonts w:hint="eastAsia" w:ascii="仿宋_GB2312" w:hAnsi="仿宋_GB2312" w:eastAsia="仿宋_GB2312" w:cs="仿宋_GB2312"/>
                <w:color w:val="auto"/>
                <w:sz w:val="28"/>
                <w:szCs w:val="28"/>
                <w:highlight w:val="none"/>
                <w:lang w:val="en-US" w:eastAsia="zh-CN"/>
              </w:rPr>
              <w:t>生态环境社会宣传及资料库维护）</w:t>
            </w:r>
          </w:p>
        </w:tc>
        <w:tc>
          <w:tcPr>
            <w:tcW w:w="1847" w:type="dxa"/>
            <w:noWrap w:val="0"/>
            <w:vAlign w:val="center"/>
          </w:tcPr>
          <w:p>
            <w:pPr>
              <w:adjustRightInd w:val="0"/>
              <w:snapToGrid w:val="0"/>
              <w:spacing w:line="560" w:lineRule="exact"/>
              <w:jc w:val="center"/>
              <w:rPr>
                <w:rFonts w:hint="eastAsia" w:ascii="仿宋_GB2312" w:hAnsi="仿宋_GB2312" w:eastAsia="仿宋_GB2312" w:cs="仿宋_GB2312"/>
                <w:i w:val="0"/>
                <w:color w:val="auto"/>
                <w:kern w:val="2"/>
                <w:sz w:val="28"/>
                <w:szCs w:val="28"/>
                <w:highlight w:val="none"/>
                <w:u w:val="none"/>
                <w:lang w:val="en-US" w:eastAsia="zh-CN" w:bidi="ar-SA"/>
              </w:rPr>
            </w:pPr>
            <w:r>
              <w:rPr>
                <w:rFonts w:hint="eastAsia" w:ascii="仿宋_GB2312" w:hAnsi="仿宋_GB2312" w:eastAsia="仿宋_GB2312" w:cs="仿宋_GB2312"/>
                <w:b w:val="0"/>
                <w:bCs w:val="0"/>
                <w:i w:val="0"/>
                <w:iCs/>
                <w:color w:val="auto"/>
                <w:kern w:val="2"/>
                <w:sz w:val="28"/>
                <w:szCs w:val="28"/>
                <w:highlight w:val="none"/>
                <w:lang w:val="en-US" w:eastAsia="zh-CN" w:bidi="ar-SA"/>
              </w:rPr>
              <w:t>C07019900其他生态环境保护服务</w:t>
            </w:r>
          </w:p>
        </w:tc>
        <w:tc>
          <w:tcPr>
            <w:tcW w:w="874" w:type="dxa"/>
            <w:noWrap w:val="0"/>
            <w:vAlign w:val="center"/>
          </w:tcPr>
          <w:p>
            <w:pPr>
              <w:adjustRightInd w:val="0"/>
              <w:snapToGrid w:val="0"/>
              <w:spacing w:line="560" w:lineRule="exact"/>
              <w:jc w:val="center"/>
              <w:rPr>
                <w:rFonts w:hint="eastAsia" w:ascii="仿宋_GB2312" w:hAnsi="仿宋_GB2312" w:eastAsia="仿宋_GB2312" w:cs="仿宋_GB2312"/>
                <w:b w:val="0"/>
                <w:bCs w:val="0"/>
                <w:color w:val="auto"/>
                <w:kern w:val="2"/>
                <w:sz w:val="28"/>
                <w:szCs w:val="28"/>
                <w:highlight w:val="none"/>
                <w:lang w:val="en-US" w:eastAsia="zh-CN" w:bidi="ar-SA"/>
              </w:rPr>
            </w:pPr>
            <w:r>
              <w:rPr>
                <w:rFonts w:hint="eastAsia" w:ascii="仿宋_GB2312" w:hAnsi="仿宋_GB2312" w:eastAsia="仿宋_GB2312" w:cs="仿宋_GB2312"/>
                <w:b w:val="0"/>
                <w:bCs w:val="0"/>
                <w:color w:val="auto"/>
                <w:sz w:val="28"/>
                <w:szCs w:val="28"/>
                <w:highlight w:val="none"/>
                <w:lang w:eastAsia="zh-CN"/>
              </w:rPr>
              <w:t>项</w:t>
            </w:r>
          </w:p>
        </w:tc>
        <w:tc>
          <w:tcPr>
            <w:tcW w:w="972" w:type="dxa"/>
            <w:noWrap w:val="0"/>
            <w:vAlign w:val="center"/>
          </w:tcPr>
          <w:p>
            <w:pPr>
              <w:adjustRightInd w:val="0"/>
              <w:snapToGrid w:val="0"/>
              <w:spacing w:line="560" w:lineRule="exact"/>
              <w:jc w:val="center"/>
              <w:rPr>
                <w:rFonts w:hint="eastAsia" w:ascii="仿宋_GB2312" w:hAnsi="仿宋_GB2312" w:eastAsia="仿宋_GB2312" w:cs="仿宋_GB2312"/>
                <w:b w:val="0"/>
                <w:bCs w:val="0"/>
                <w:color w:val="auto"/>
                <w:kern w:val="2"/>
                <w:sz w:val="28"/>
                <w:szCs w:val="28"/>
                <w:highlight w:val="none"/>
                <w:lang w:val="en-US" w:eastAsia="zh-CN" w:bidi="ar-SA"/>
              </w:rPr>
            </w:pPr>
            <w:r>
              <w:rPr>
                <w:rFonts w:hint="eastAsia" w:ascii="仿宋_GB2312" w:hAnsi="仿宋_GB2312" w:eastAsia="仿宋_GB2312" w:cs="仿宋_GB2312"/>
                <w:b w:val="0"/>
                <w:bCs w:val="0"/>
                <w:color w:val="auto"/>
                <w:sz w:val="28"/>
                <w:szCs w:val="28"/>
                <w:highlight w:val="none"/>
                <w:lang w:val="en-US" w:eastAsia="zh-CN"/>
              </w:rPr>
              <w:t>1</w:t>
            </w:r>
          </w:p>
        </w:tc>
        <w:tc>
          <w:tcPr>
            <w:tcW w:w="973" w:type="dxa"/>
            <w:noWrap w:val="0"/>
            <w:vAlign w:val="center"/>
          </w:tcPr>
          <w:p>
            <w:pPr>
              <w:adjustRightInd w:val="0"/>
              <w:snapToGrid w:val="0"/>
              <w:spacing w:line="560" w:lineRule="exact"/>
              <w:jc w:val="center"/>
              <w:rPr>
                <w:rFonts w:hint="eastAsia" w:ascii="仿宋_GB2312" w:hAnsi="仿宋_GB2312" w:eastAsia="仿宋_GB2312" w:cs="仿宋_GB2312"/>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906" w:type="dxa"/>
            <w:noWrap w:val="0"/>
            <w:vAlign w:val="center"/>
          </w:tcPr>
          <w:p>
            <w:pPr>
              <w:adjustRightInd w:val="0"/>
              <w:snapToGrid w:val="0"/>
              <w:spacing w:line="560" w:lineRule="exact"/>
              <w:jc w:val="center"/>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2</w:t>
            </w:r>
          </w:p>
        </w:tc>
        <w:tc>
          <w:tcPr>
            <w:tcW w:w="922" w:type="dxa"/>
            <w:noWrap w:val="0"/>
            <w:vAlign w:val="center"/>
          </w:tcPr>
          <w:p>
            <w:pPr>
              <w:adjustRightInd w:val="0"/>
              <w:snapToGrid w:val="0"/>
              <w:spacing w:line="560" w:lineRule="exact"/>
              <w:jc w:val="center"/>
              <w:rPr>
                <w:rFonts w:hint="default" w:ascii="仿宋_GB2312" w:hAnsi="仿宋_GB2312" w:eastAsia="仿宋_GB2312" w:cs="仿宋_GB2312"/>
                <w:kern w:val="2"/>
                <w:sz w:val="28"/>
                <w:szCs w:val="28"/>
                <w:highlight w:val="none"/>
                <w:lang w:val="en-US" w:eastAsia="zh-CN" w:bidi="ar-SA"/>
              </w:rPr>
            </w:pPr>
            <w:r>
              <w:rPr>
                <w:rFonts w:hint="eastAsia" w:ascii="仿宋_GB2312" w:hAnsi="仿宋_GB2312" w:eastAsia="仿宋_GB2312" w:cs="仿宋_GB2312"/>
                <w:kern w:val="2"/>
                <w:sz w:val="28"/>
                <w:szCs w:val="28"/>
                <w:highlight w:val="none"/>
                <w:lang w:val="en-US" w:eastAsia="zh-CN" w:bidi="ar-SA"/>
              </w:rPr>
              <w:t>1</w:t>
            </w:r>
          </w:p>
        </w:tc>
        <w:tc>
          <w:tcPr>
            <w:tcW w:w="2063" w:type="dxa"/>
            <w:noWrap w:val="0"/>
            <w:vAlign w:val="center"/>
          </w:tcPr>
          <w:p>
            <w:pPr>
              <w:adjustRightInd w:val="0"/>
              <w:snapToGrid w:val="0"/>
              <w:spacing w:line="560" w:lineRule="exact"/>
              <w:jc w:val="left"/>
              <w:rPr>
                <w:rFonts w:hint="eastAsia" w:ascii="仿宋_GB2312" w:hAnsi="仿宋_GB2312" w:eastAsia="仿宋_GB2312" w:cs="仿宋_GB2312"/>
                <w:color w:val="auto"/>
                <w:kern w:val="2"/>
                <w:sz w:val="28"/>
                <w:szCs w:val="28"/>
                <w:highlight w:val="none"/>
                <w:lang w:val="en-US" w:eastAsia="zh-CN" w:bidi="ar-SA"/>
              </w:rPr>
            </w:pPr>
            <w:r>
              <w:rPr>
                <w:rFonts w:hint="eastAsia" w:ascii="仿宋_GB2312" w:hAnsi="仿宋_GB2312" w:eastAsia="仿宋_GB2312" w:cs="仿宋_GB2312"/>
                <w:color w:val="auto"/>
                <w:sz w:val="28"/>
                <w:szCs w:val="28"/>
                <w:highlight w:val="none"/>
                <w:lang w:val="en-US" w:eastAsia="zh-CN"/>
              </w:rPr>
              <w:t>环境保护宣传教育（</w:t>
            </w:r>
            <w:r>
              <w:rPr>
                <w:rFonts w:hint="eastAsia" w:ascii="仿宋_GB2312" w:hAnsi="Calibri" w:eastAsia="仿宋_GB2312" w:cs="Times New Roman"/>
                <w:b w:val="0"/>
                <w:color w:val="auto"/>
                <w:kern w:val="2"/>
                <w:sz w:val="32"/>
                <w:szCs w:val="32"/>
                <w:highlight w:val="none"/>
                <w:lang w:val="en-US" w:eastAsia="zh-CN" w:bidi="ar-SA"/>
              </w:rPr>
              <w:t>2包：</w:t>
            </w:r>
            <w:r>
              <w:rPr>
                <w:rFonts w:hint="eastAsia" w:ascii="仿宋_GB2312" w:hAnsi="仿宋_GB2312" w:eastAsia="仿宋_GB2312" w:cs="仿宋_GB2312"/>
                <w:color w:val="auto"/>
                <w:sz w:val="28"/>
                <w:szCs w:val="28"/>
                <w:highlight w:val="none"/>
                <w:lang w:val="en-US" w:eastAsia="zh-CN"/>
              </w:rPr>
              <w:t>生态环境新闻宣传）</w:t>
            </w:r>
          </w:p>
        </w:tc>
        <w:tc>
          <w:tcPr>
            <w:tcW w:w="1847" w:type="dxa"/>
            <w:noWrap w:val="0"/>
            <w:vAlign w:val="center"/>
          </w:tcPr>
          <w:p>
            <w:pPr>
              <w:adjustRightInd w:val="0"/>
              <w:snapToGrid w:val="0"/>
              <w:spacing w:line="560" w:lineRule="exact"/>
              <w:jc w:val="center"/>
              <w:rPr>
                <w:rFonts w:hint="eastAsia" w:ascii="仿宋_GB2312" w:hAnsi="仿宋_GB2312" w:eastAsia="仿宋_GB2312" w:cs="仿宋_GB2312"/>
                <w:b w:val="0"/>
                <w:bCs w:val="0"/>
                <w:color w:val="auto"/>
                <w:kern w:val="2"/>
                <w:sz w:val="28"/>
                <w:szCs w:val="28"/>
                <w:highlight w:val="none"/>
                <w:lang w:val="en-US" w:eastAsia="zh-CN" w:bidi="ar-SA"/>
              </w:rPr>
            </w:pPr>
            <w:r>
              <w:rPr>
                <w:rFonts w:hint="eastAsia" w:ascii="仿宋_GB2312" w:hAnsi="仿宋_GB2312" w:eastAsia="仿宋_GB2312" w:cs="仿宋_GB2312"/>
                <w:b w:val="0"/>
                <w:bCs w:val="0"/>
                <w:i w:val="0"/>
                <w:iCs/>
                <w:color w:val="auto"/>
                <w:kern w:val="2"/>
                <w:sz w:val="28"/>
                <w:szCs w:val="28"/>
                <w:highlight w:val="none"/>
                <w:lang w:val="en-US" w:eastAsia="zh-CN" w:bidi="ar-SA"/>
              </w:rPr>
              <w:t>C07019900其他生态环境保护服务</w:t>
            </w:r>
          </w:p>
        </w:tc>
        <w:tc>
          <w:tcPr>
            <w:tcW w:w="874" w:type="dxa"/>
            <w:noWrap w:val="0"/>
            <w:vAlign w:val="center"/>
          </w:tcPr>
          <w:p>
            <w:pPr>
              <w:adjustRightInd w:val="0"/>
              <w:snapToGrid w:val="0"/>
              <w:spacing w:line="560" w:lineRule="exact"/>
              <w:jc w:val="center"/>
              <w:rPr>
                <w:rFonts w:hint="eastAsia" w:ascii="仿宋_GB2312" w:hAnsi="仿宋_GB2312" w:eastAsia="仿宋_GB2312" w:cs="仿宋_GB2312"/>
                <w:b w:val="0"/>
                <w:bCs w:val="0"/>
                <w:color w:val="auto"/>
                <w:kern w:val="2"/>
                <w:sz w:val="28"/>
                <w:szCs w:val="28"/>
                <w:highlight w:val="none"/>
                <w:lang w:val="en-US" w:eastAsia="zh-CN" w:bidi="ar-SA"/>
              </w:rPr>
            </w:pPr>
            <w:r>
              <w:rPr>
                <w:rFonts w:hint="eastAsia" w:ascii="仿宋_GB2312" w:hAnsi="仿宋_GB2312" w:eastAsia="仿宋_GB2312" w:cs="仿宋_GB2312"/>
                <w:b w:val="0"/>
                <w:bCs w:val="0"/>
                <w:color w:val="auto"/>
                <w:sz w:val="28"/>
                <w:szCs w:val="28"/>
                <w:highlight w:val="none"/>
                <w:lang w:eastAsia="zh-CN"/>
              </w:rPr>
              <w:t>项</w:t>
            </w:r>
          </w:p>
        </w:tc>
        <w:tc>
          <w:tcPr>
            <w:tcW w:w="972" w:type="dxa"/>
            <w:noWrap w:val="0"/>
            <w:vAlign w:val="center"/>
          </w:tcPr>
          <w:p>
            <w:pPr>
              <w:adjustRightInd w:val="0"/>
              <w:snapToGrid w:val="0"/>
              <w:spacing w:line="560" w:lineRule="exact"/>
              <w:jc w:val="center"/>
              <w:rPr>
                <w:rFonts w:hint="eastAsia" w:ascii="仿宋_GB2312" w:hAnsi="仿宋_GB2312" w:eastAsia="仿宋_GB2312" w:cs="仿宋_GB2312"/>
                <w:b w:val="0"/>
                <w:bCs w:val="0"/>
                <w:color w:val="auto"/>
                <w:kern w:val="2"/>
                <w:sz w:val="28"/>
                <w:szCs w:val="28"/>
                <w:highlight w:val="none"/>
                <w:lang w:val="en-US" w:eastAsia="zh-CN" w:bidi="ar-SA"/>
              </w:rPr>
            </w:pPr>
            <w:r>
              <w:rPr>
                <w:rFonts w:hint="eastAsia" w:ascii="仿宋_GB2312" w:hAnsi="仿宋_GB2312" w:eastAsia="仿宋_GB2312" w:cs="仿宋_GB2312"/>
                <w:b w:val="0"/>
                <w:bCs w:val="0"/>
                <w:color w:val="auto"/>
                <w:sz w:val="28"/>
                <w:szCs w:val="28"/>
                <w:highlight w:val="none"/>
                <w:lang w:val="en-US" w:eastAsia="zh-CN"/>
              </w:rPr>
              <w:t>1</w:t>
            </w:r>
          </w:p>
        </w:tc>
        <w:tc>
          <w:tcPr>
            <w:tcW w:w="973" w:type="dxa"/>
            <w:noWrap w:val="0"/>
            <w:vAlign w:val="center"/>
          </w:tcPr>
          <w:p>
            <w:pPr>
              <w:adjustRightInd w:val="0"/>
              <w:snapToGrid w:val="0"/>
              <w:spacing w:line="560" w:lineRule="exact"/>
              <w:jc w:val="center"/>
              <w:rPr>
                <w:rFonts w:hint="eastAsia" w:ascii="仿宋_GB2312" w:hAnsi="仿宋_GB2312" w:eastAsia="仿宋_GB2312" w:cs="仿宋_GB2312"/>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906" w:type="dxa"/>
            <w:noWrap w:val="0"/>
            <w:vAlign w:val="center"/>
          </w:tcPr>
          <w:p>
            <w:pPr>
              <w:adjustRightInd w:val="0"/>
              <w:snapToGrid w:val="0"/>
              <w:spacing w:line="560" w:lineRule="exact"/>
              <w:jc w:val="center"/>
              <w:rPr>
                <w:rFonts w:hint="default"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3</w:t>
            </w:r>
          </w:p>
        </w:tc>
        <w:tc>
          <w:tcPr>
            <w:tcW w:w="922" w:type="dxa"/>
            <w:noWrap w:val="0"/>
            <w:vAlign w:val="center"/>
          </w:tcPr>
          <w:p>
            <w:pPr>
              <w:adjustRightInd w:val="0"/>
              <w:snapToGrid w:val="0"/>
              <w:spacing w:line="560" w:lineRule="exact"/>
              <w:jc w:val="center"/>
              <w:rPr>
                <w:rFonts w:hint="default"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1</w:t>
            </w:r>
          </w:p>
        </w:tc>
        <w:tc>
          <w:tcPr>
            <w:tcW w:w="2063" w:type="dxa"/>
            <w:noWrap w:val="0"/>
            <w:vAlign w:val="center"/>
          </w:tcPr>
          <w:p>
            <w:pPr>
              <w:adjustRightInd w:val="0"/>
              <w:snapToGrid w:val="0"/>
              <w:spacing w:line="560" w:lineRule="exact"/>
              <w:jc w:val="left"/>
              <w:rPr>
                <w:rFonts w:hint="eastAsia" w:ascii="仿宋_GB2312" w:hAnsi="仿宋_GB2312" w:eastAsia="仿宋_GB2312" w:cs="仿宋_GB2312"/>
                <w:color w:val="auto"/>
                <w:sz w:val="28"/>
                <w:szCs w:val="28"/>
                <w:highlight w:val="none"/>
                <w:lang w:val="en-US" w:eastAsia="zh-CN"/>
              </w:rPr>
            </w:pPr>
            <w:r>
              <w:rPr>
                <w:rFonts w:hint="eastAsia" w:ascii="仿宋_GB2312" w:hAnsi="仿宋_GB2312" w:eastAsia="仿宋_GB2312" w:cs="仿宋_GB2312"/>
                <w:color w:val="auto"/>
                <w:sz w:val="28"/>
                <w:szCs w:val="28"/>
                <w:highlight w:val="none"/>
                <w:lang w:val="en-US" w:eastAsia="zh-CN"/>
              </w:rPr>
              <w:t>环境保护宣传教育（</w:t>
            </w:r>
            <w:r>
              <w:rPr>
                <w:rFonts w:hint="eastAsia" w:ascii="仿宋_GB2312" w:hAnsi="Calibri" w:eastAsia="仿宋_GB2312" w:cs="Times New Roman"/>
                <w:b w:val="0"/>
                <w:color w:val="auto"/>
                <w:kern w:val="2"/>
                <w:sz w:val="32"/>
                <w:szCs w:val="32"/>
                <w:highlight w:val="none"/>
                <w:lang w:val="en-US" w:eastAsia="zh-CN" w:bidi="ar-SA"/>
              </w:rPr>
              <w:t>3包：</w:t>
            </w:r>
            <w:r>
              <w:rPr>
                <w:rFonts w:hint="eastAsia" w:ascii="仿宋_GB2312" w:hAnsi="仿宋_GB2312" w:eastAsia="仿宋_GB2312" w:cs="仿宋_GB2312"/>
                <w:color w:val="auto"/>
                <w:sz w:val="28"/>
                <w:szCs w:val="28"/>
                <w:highlight w:val="none"/>
                <w:lang w:val="en-US" w:eastAsia="zh-CN"/>
              </w:rPr>
              <w:t>生态环境网络舆情监控）</w:t>
            </w:r>
          </w:p>
        </w:tc>
        <w:tc>
          <w:tcPr>
            <w:tcW w:w="1847" w:type="dxa"/>
            <w:noWrap w:val="0"/>
            <w:vAlign w:val="center"/>
          </w:tcPr>
          <w:p>
            <w:pPr>
              <w:adjustRightInd w:val="0"/>
              <w:snapToGrid w:val="0"/>
              <w:spacing w:line="560" w:lineRule="exact"/>
              <w:jc w:val="center"/>
              <w:rPr>
                <w:rFonts w:hint="eastAsia" w:ascii="仿宋_GB2312" w:hAnsi="仿宋_GB2312" w:eastAsia="仿宋_GB2312" w:cs="仿宋_GB2312"/>
                <w:i w:val="0"/>
                <w:color w:val="auto"/>
                <w:sz w:val="28"/>
                <w:szCs w:val="28"/>
                <w:highlight w:val="none"/>
                <w:u w:val="none"/>
                <w:lang w:val="en-US" w:eastAsia="zh-CN"/>
              </w:rPr>
            </w:pPr>
            <w:r>
              <w:rPr>
                <w:rFonts w:hint="eastAsia" w:ascii="仿宋_GB2312" w:hAnsi="仿宋_GB2312" w:eastAsia="仿宋_GB2312" w:cs="仿宋_GB2312"/>
                <w:b w:val="0"/>
                <w:bCs w:val="0"/>
                <w:i w:val="0"/>
                <w:iCs/>
                <w:color w:val="auto"/>
                <w:kern w:val="2"/>
                <w:sz w:val="28"/>
                <w:szCs w:val="28"/>
                <w:highlight w:val="none"/>
                <w:lang w:val="en-US" w:eastAsia="zh-CN" w:bidi="ar-SA"/>
              </w:rPr>
              <w:t>C07019900其他生态环境保护服务</w:t>
            </w:r>
          </w:p>
        </w:tc>
        <w:tc>
          <w:tcPr>
            <w:tcW w:w="874" w:type="dxa"/>
            <w:noWrap w:val="0"/>
            <w:vAlign w:val="center"/>
          </w:tcPr>
          <w:p>
            <w:pPr>
              <w:adjustRightInd w:val="0"/>
              <w:snapToGrid w:val="0"/>
              <w:spacing w:line="560" w:lineRule="exact"/>
              <w:jc w:val="center"/>
              <w:rPr>
                <w:rFonts w:hint="eastAsia" w:ascii="仿宋_GB2312" w:hAnsi="仿宋_GB2312" w:eastAsia="仿宋_GB2312" w:cs="仿宋_GB2312"/>
                <w:b w:val="0"/>
                <w:bCs w:val="0"/>
                <w:color w:val="auto"/>
                <w:sz w:val="28"/>
                <w:szCs w:val="28"/>
                <w:highlight w:val="none"/>
                <w:lang w:eastAsia="zh-CN"/>
              </w:rPr>
            </w:pPr>
            <w:r>
              <w:rPr>
                <w:rFonts w:hint="eastAsia" w:ascii="仿宋_GB2312" w:hAnsi="仿宋_GB2312" w:eastAsia="仿宋_GB2312" w:cs="仿宋_GB2312"/>
                <w:b w:val="0"/>
                <w:bCs w:val="0"/>
                <w:color w:val="auto"/>
                <w:sz w:val="28"/>
                <w:szCs w:val="28"/>
                <w:highlight w:val="none"/>
                <w:lang w:eastAsia="zh-CN"/>
              </w:rPr>
              <w:t>项</w:t>
            </w:r>
          </w:p>
        </w:tc>
        <w:tc>
          <w:tcPr>
            <w:tcW w:w="972" w:type="dxa"/>
            <w:noWrap w:val="0"/>
            <w:vAlign w:val="center"/>
          </w:tcPr>
          <w:p>
            <w:pPr>
              <w:adjustRightInd w:val="0"/>
              <w:snapToGrid w:val="0"/>
              <w:spacing w:line="560" w:lineRule="exact"/>
              <w:jc w:val="center"/>
              <w:rPr>
                <w:rFonts w:hint="default" w:ascii="仿宋_GB2312" w:hAnsi="仿宋_GB2312" w:eastAsia="仿宋_GB2312" w:cs="仿宋_GB2312"/>
                <w:b w:val="0"/>
                <w:bCs w:val="0"/>
                <w:color w:val="auto"/>
                <w:sz w:val="28"/>
                <w:szCs w:val="28"/>
                <w:highlight w:val="none"/>
                <w:lang w:val="en-US" w:eastAsia="zh-CN"/>
              </w:rPr>
            </w:pPr>
            <w:r>
              <w:rPr>
                <w:rFonts w:hint="eastAsia" w:ascii="仿宋_GB2312" w:hAnsi="仿宋_GB2312" w:eastAsia="仿宋_GB2312" w:cs="仿宋_GB2312"/>
                <w:b w:val="0"/>
                <w:bCs w:val="0"/>
                <w:color w:val="auto"/>
                <w:sz w:val="28"/>
                <w:szCs w:val="28"/>
                <w:highlight w:val="none"/>
                <w:lang w:val="en-US" w:eastAsia="zh-CN"/>
              </w:rPr>
              <w:t>1</w:t>
            </w:r>
          </w:p>
        </w:tc>
        <w:tc>
          <w:tcPr>
            <w:tcW w:w="973" w:type="dxa"/>
            <w:noWrap w:val="0"/>
            <w:vAlign w:val="center"/>
          </w:tcPr>
          <w:p>
            <w:pPr>
              <w:adjustRightInd w:val="0"/>
              <w:snapToGrid w:val="0"/>
              <w:spacing w:line="560" w:lineRule="exact"/>
              <w:jc w:val="center"/>
              <w:rPr>
                <w:rFonts w:hint="eastAsia" w:ascii="仿宋_GB2312" w:hAnsi="仿宋_GB2312" w:eastAsia="仿宋_GB2312" w:cs="仿宋_GB2312"/>
                <w:sz w:val="28"/>
                <w:szCs w:val="28"/>
                <w:highlight w:val="none"/>
              </w:rPr>
            </w:pPr>
          </w:p>
        </w:tc>
      </w:tr>
    </w:tbl>
    <w:p>
      <w:pPr>
        <w:spacing w:line="560" w:lineRule="exact"/>
        <w:ind w:firstLine="640" w:firstLineChars="200"/>
        <w:jc w:val="left"/>
        <w:rPr>
          <w:rFonts w:hint="eastAsia" w:ascii="黑体" w:hAnsi="黑体" w:eastAsia="黑体" w:cs="Times New Roman"/>
          <w:sz w:val="32"/>
          <w:szCs w:val="32"/>
          <w:lang w:eastAsia="zh-CN"/>
        </w:rPr>
      </w:pPr>
      <w:r>
        <w:rPr>
          <w:rFonts w:hint="eastAsia" w:ascii="黑体" w:hAnsi="黑体" w:eastAsia="黑体" w:cs="Times New Roman"/>
          <w:sz w:val="32"/>
          <w:szCs w:val="32"/>
          <w:lang w:eastAsia="zh-CN"/>
        </w:rPr>
        <w:t>四、技术商务要求</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1.1包</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lang w:eastAsia="zh-CN"/>
        </w:rPr>
        <w:t>（</w:t>
      </w:r>
      <w:r>
        <w:rPr>
          <w:rFonts w:hint="eastAsia" w:ascii="仿宋_GB2312" w:hAnsi="仿宋_GB2312" w:eastAsia="仿宋_GB2312" w:cs="仿宋_GB2312"/>
          <w:b/>
          <w:bCs/>
          <w:sz w:val="32"/>
          <w:szCs w:val="32"/>
          <w:highlight w:val="none"/>
          <w:lang w:val="en-US" w:eastAsia="zh-CN"/>
        </w:rPr>
        <w:t>1</w:t>
      </w:r>
      <w:r>
        <w:rPr>
          <w:rFonts w:hint="eastAsia" w:ascii="仿宋_GB2312" w:hAnsi="仿宋_GB2312" w:eastAsia="仿宋_GB2312" w:cs="仿宋_GB2312"/>
          <w:b/>
          <w:bCs/>
          <w:sz w:val="32"/>
          <w:szCs w:val="32"/>
          <w:highlight w:val="none"/>
          <w:lang w:eastAsia="zh-CN"/>
        </w:rPr>
        <w:t>）</w:t>
      </w:r>
      <w:r>
        <w:rPr>
          <w:rFonts w:hint="eastAsia" w:ascii="仿宋_GB2312" w:hAnsi="仿宋_GB2312" w:eastAsia="仿宋_GB2312" w:cs="仿宋_GB2312"/>
          <w:b/>
          <w:bCs/>
          <w:sz w:val="32"/>
          <w:szCs w:val="32"/>
          <w:highlight w:val="none"/>
        </w:rPr>
        <w:t>技术要求</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1）宣传活动</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shd w:val="clear" w:color="auto" w:fill="auto"/>
          <w:lang w:val="en-US" w:eastAsia="zh-CN"/>
        </w:rPr>
        <w:t>①</w:t>
      </w:r>
      <w:r>
        <w:rPr>
          <w:rFonts w:hint="eastAsia" w:ascii="仿宋_GB2312" w:hAnsi="仿宋_GB2312" w:eastAsia="仿宋_GB2312" w:cs="仿宋_GB2312"/>
          <w:b w:val="0"/>
          <w:bCs w:val="0"/>
          <w:color w:val="auto"/>
          <w:kern w:val="2"/>
          <w:sz w:val="32"/>
          <w:szCs w:val="32"/>
          <w:highlight w:val="none"/>
          <w:lang w:val="en-US" w:eastAsia="zh-CN" w:bidi="ar-SA"/>
        </w:rPr>
        <w:t>围绕重要环保节点，开展大型主题宣传活动不少于2次，展示我市生态文明建设和生态环境保护工作成效，倡导简约适度、绿色低碳的生活方式。根据宣传活动需要制定活动方案，制作活动物料，做好活动氛围营造及安全保障工作，确保活动效果，做好活动总结。</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②围绕生态环保相关主题，开展常态化宣传活动不少于6次，以多彩活动传播生态文明理念，活动形式不限于生态文明宣讲。</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2）资料库维护</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①负责生态环境相关资料库维护，做好各类资料留存工作，并不断充实完善。全年拍摄生态环境相关图片不少于1500（张)、采集视频资料200（分钟）。</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②坚持每日固定点位（不少于6个）的拍摄，每月重点区域（不少于4次）的资料留存（包括图片、视频等），同时，按照采购方要求，适时增加拍摄次数；拍摄及留存的影像资料要能够反映生态环境变化过程，体现我市生态环境变化影像资料留存的完整性和持续性。</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③做好生态环境重点工作图片、视频的拍摄保障服务，拍摄内容包含但不限于宣传活动，重点会议、生态环境改善成果等。资料留存形式主要为图册、照片、视频等。</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④做好资料库管理，配备专用电脑（含独立显卡），做好日常管理及图片处理工作，包括资料收录、整理等，确保各类素材不损坏、不丢失。同时，对全部资料素材做到双备份。</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⑤服务方需具有专业影像拍摄经验、具备专业技术（含航拍）服务能力及相关资质的拍摄人员，拥有开展拍摄工作的专业设备（包含但不限于高清拍摄设备及航拍设备），能独立完成影像拍摄、视频剪辑与制作等内容。</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3）宣传效果及产品输出</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①加强活动的宣传、推广工作，营造浓厚氛围，在国家、省、市各级新闻媒体播发相关报道，确保宣传活动覆盖面和影响力。</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②根据工作需要，推出具有本地特色、适合宣传推广的主题宣传产品，数量不少于10个，要满足线上、线下推广需要，产品形式包含但不限于生态环境宣传资料、宣传品、海报、短视频等。创作的主题宣传产品需由采购方认可，服务方应对其质量负责。</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③主题宣传产品所涉及的文字、图片、视频应为原创，若需引用其它资料，需先妥善解决版权，因内容、版权出现的问题，责任由服务方承担。服务方制作的原始资料、未完成的作品及其他一切非最终完成的作品和最终产品（除双方另有约定以外）版权归采购人所有。</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（2）</w:t>
      </w:r>
      <w:r>
        <w:rPr>
          <w:rFonts w:hint="eastAsia" w:ascii="仿宋_GB2312" w:hAnsi="仿宋_GB2312" w:eastAsia="仿宋_GB2312" w:cs="仿宋_GB2312"/>
          <w:b/>
          <w:bCs/>
          <w:color w:val="auto"/>
          <w:sz w:val="32"/>
          <w:szCs w:val="32"/>
          <w:highlight w:val="none"/>
        </w:rPr>
        <w:t>商务要求</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1）服务期间：</w:t>
      </w:r>
      <w:r>
        <w:rPr>
          <w:rFonts w:hint="eastAsia" w:ascii="仿宋_GB2312" w:hAnsi="仿宋_GB2312" w:eastAsia="仿宋_GB2312" w:cs="仿宋_GB2312"/>
          <w:b w:val="0"/>
          <w:bCs w:val="0"/>
          <w:color w:val="auto"/>
          <w:sz w:val="32"/>
          <w:szCs w:val="32"/>
          <w:highlight w:val="none"/>
          <w:shd w:val="clear" w:color="auto" w:fill="auto"/>
          <w:lang w:val="en-US" w:eastAsia="zh-CN"/>
        </w:rPr>
        <w:t>自合同签订之日起一年。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2）服务地点：石家庄市。</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3）付款条件：按照合同约定执行。</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color w:val="auto"/>
          <w:sz w:val="32"/>
          <w:szCs w:val="32"/>
          <w:highlight w:val="none"/>
          <w:shd w:val="clear" w:color="auto" w:fill="auto"/>
          <w:lang w:eastAsia="zh-CN"/>
        </w:rPr>
      </w:pPr>
      <w:r>
        <w:rPr>
          <w:rFonts w:hint="eastAsia" w:ascii="仿宋_GB2312" w:hAnsi="仿宋_GB2312" w:eastAsia="仿宋_GB2312" w:cs="仿宋_GB2312"/>
          <w:color w:val="auto"/>
          <w:sz w:val="32"/>
          <w:szCs w:val="32"/>
          <w:highlight w:val="none"/>
          <w:shd w:val="clear" w:color="auto" w:fill="auto"/>
          <w:lang w:val="en-US" w:eastAsia="zh-CN"/>
        </w:rPr>
        <w:t>4）</w:t>
      </w:r>
      <w:r>
        <w:rPr>
          <w:rFonts w:hint="eastAsia" w:ascii="仿宋_GB2312" w:hAnsi="仿宋_GB2312" w:eastAsia="仿宋_GB2312" w:cs="仿宋_GB2312"/>
          <w:color w:val="auto"/>
          <w:sz w:val="32"/>
          <w:szCs w:val="32"/>
          <w:highlight w:val="none"/>
          <w:shd w:val="clear" w:color="auto" w:fill="auto"/>
        </w:rPr>
        <w:t>售后服务</w:t>
      </w:r>
      <w:r>
        <w:rPr>
          <w:rFonts w:hint="eastAsia" w:ascii="仿宋_GB2312" w:hAnsi="仿宋_GB2312" w:eastAsia="仿宋_GB2312" w:cs="仿宋_GB2312"/>
          <w:color w:val="auto"/>
          <w:sz w:val="32"/>
          <w:szCs w:val="32"/>
          <w:highlight w:val="none"/>
          <w:shd w:val="clear" w:color="auto" w:fill="auto"/>
          <w:lang w:eastAsia="zh-CN"/>
        </w:rPr>
        <w:t>：</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u w:val="singl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①服务方应组建服务团队，为采购方提供项目服务，服务团队包含有：策划人员、专业设计人员、执行团队、专业拍摄人员等。服务方应对采购方根据工作需要提出的工作要求，能够在2小时内予以回应，并及时跟进解决，同时按照规定的时间和要求，高质量完成相关工作，确保能够随时到场沟通、解决相关工作事宜。</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b w:val="0"/>
          <w:bCs w:val="0"/>
          <w:color w:val="auto"/>
          <w:kern w:val="2"/>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②服务方应在</w:t>
      </w:r>
      <w:r>
        <w:rPr>
          <w:rFonts w:hint="eastAsia" w:ascii="仿宋_GB2312" w:hAnsi="仿宋_GB2312" w:eastAsia="仿宋_GB2312" w:cs="仿宋_GB2312"/>
          <w:b w:val="0"/>
          <w:bCs w:val="0"/>
          <w:color w:val="auto"/>
          <w:kern w:val="2"/>
          <w:sz w:val="32"/>
          <w:szCs w:val="32"/>
          <w:highlight w:val="none"/>
          <w:shd w:val="clear" w:color="auto" w:fill="auto"/>
          <w:lang w:val="en-US" w:eastAsia="zh-CN"/>
        </w:rPr>
        <w:t>执行周期内</w:t>
      </w:r>
      <w:r>
        <w:rPr>
          <w:rFonts w:hint="eastAsia" w:ascii="仿宋_GB2312" w:hAnsi="仿宋_GB2312" w:eastAsia="仿宋_GB2312" w:cs="仿宋_GB2312"/>
          <w:color w:val="auto"/>
          <w:sz w:val="32"/>
          <w:szCs w:val="32"/>
          <w:highlight w:val="none"/>
          <w:shd w:val="clear" w:color="auto" w:fill="auto"/>
          <w:lang w:val="en-US" w:eastAsia="zh-CN"/>
        </w:rPr>
        <w:t>指定专门</w:t>
      </w:r>
      <w:r>
        <w:rPr>
          <w:rFonts w:hint="eastAsia" w:ascii="仿宋_GB2312" w:hAnsi="仿宋_GB2312" w:eastAsia="仿宋_GB2312" w:cs="仿宋_GB2312"/>
          <w:b w:val="0"/>
          <w:bCs w:val="0"/>
          <w:color w:val="auto"/>
          <w:kern w:val="2"/>
          <w:sz w:val="32"/>
          <w:szCs w:val="32"/>
          <w:highlight w:val="none"/>
          <w:shd w:val="clear" w:color="auto" w:fill="auto"/>
          <w:lang w:val="en-US" w:eastAsia="zh-CN"/>
        </w:rPr>
        <w:t>项目负责人全程跟进，及时掌握采购方工作需求，做好沟通衔接工作。</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③专业设计人员应具有宣传产品设计经验，负责项目内全部设计工作，优先处理采购方的设计修改意见。根据活动需要设计制作的宣传产品，服务方应对其质量负责，质量标准与采购方审核认可的样品一致。</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④若开展现场宣传活动，服务方现场活动执行团队不少于5人（不包括布展人员），对活动策划执行过程中的安全生产和安全保卫工作负责，保证活动安全稳定、流程顺畅、环节衔接紧密以及良好的活动效果。</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⑤若开展现场宣传活动，服务方应根据现场活动情况做好安全保障工作，并对现场宣传活动发生的安全事故负法律责任。</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⑥根据项目实施要求，服务方应按采购方要求编制服务总结报告（季报、年报）。</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5）工作保障</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①根据工作需要，服务方应委派不少于3名人员（含项目负责人1名）驻场服务；服务方自行配备满足工作所需的办公设备、耗材，并确保能够实时响应采购方提出的合理工作需求，为项目按时、高效、顺利推进提供持续有力的现场支持与保障。</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项目负责人应具备丰富的活动组织经验、项目管理经验，能够高效对接采购方，准确理解工作需求，具备较强的现场统筹与应急决策能力，在项目执行中能代表服务方及时做出合理决策，确保问题得到快速响应和有效解决；驻场服务人员需至少一人满足摄影相关专业毕业学历及2年以上相关经验，具备摄影（航拍）服务能力、专业技术或相关资质，能独立完成影像拍摄、视频剪辑与制作等内容。</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驻场服务人员应严格遵守采购方工作纪律、规章制度及信息安全保密要求，确保项目执行过程中所有信息、资料的安全。</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在驻场服务人员无法按时完成急难险重任务时，全力选派保障团队和专业人员进行补充，确保任务完成。</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1"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②项目服务期间应至少配备1辆运维车辆、一架航拍设备服务于本项目。根据工作需要运维车辆要及时保障交通运输服务，并确保车辆车况优良、行驶安全。所有拍摄设备要及时满足拍摄要求，并保障处于可拍摄状态。航拍设备应采用具备避障功能的消费级/行业级无人机。</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1"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③在项目服务期内，为履行项目内容所发生的所有费用，包括但不限于活动策划执行、场地使用及布置、物品物料、交通通讯、安全保险、硬件设备、设备维修保养及其他一切相关费用，均已包含在项目总价中，均由服务方承担。</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1"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6）质量保障：</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1"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①本项目所涉及到的活动方案、活动物料，资料留存图片及视频，以及制作的宣传产品需采购方认可。</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1"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②若服务方创作的宣传资料、活动物料、主题宣传产品不符合采购方要求的，由服务方负责重新制作，直至认可；或每不符合一次，按中标总价5%的数额向采购方支付违约金。</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1"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③每日固定点位、每月重点区域的影像资料务必保证按采购方规定时间、规定次数拍摄（含节假日），每缺少一次，按中标总价1%的数额向采购方支付违约金。</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1"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④若服务方拍摄的生态环境相关资料（照片、影像）内容不符合采购方质量要求的，每不符合一次，由服务方负责补拍或按中标总价1%的数额向采购方支付违约金。累计不符合要求15次以上的，采购方有权按照违约条款追究服务方违约责任。</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1" w:firstLineChars="0"/>
        <w:jc w:val="both"/>
        <w:textAlignment w:val="auto"/>
        <w:outlineLvl w:val="9"/>
        <w:rPr>
          <w:rFonts w:hint="default"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⑤若服务方未按规定时间和要求，高质量完成采购方工作要求的，每发生一次，按中标总价5%的数额向采购方支付违约金；累计发生2次及以上，采购方有权单方面解除合同，并要求服务方承担相应损失。</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⑥由服务方提供的所有服务设备（车辆、设备），均由服务方自行负责管理和维护。若提供的服务设备不满足采购方要求，每不符合一项，按中标总价5%的数额向采购方支付违约金。</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 w:eastAsia="仿宋_GB2312" w:cs="Times New Roman"/>
          <w:b w:val="0"/>
          <w:bCs w:val="0"/>
          <w:color w:val="auto"/>
          <w:kern w:val="2"/>
          <w:sz w:val="32"/>
          <w:szCs w:val="32"/>
          <w:highlight w:val="none"/>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⑦为支持本项目实施，由采购方提供给服务方使用的全部资产（包括设备、配套设施），所有权均归属采购方，服务方在服务期内仅享有使用权；服务方不得以任何方式对各类财产进行出售、抵押或转移；服务期内，各类资料留存设备（包括拍摄设备、配套设施、留存设备）在使用过程中</w:t>
      </w:r>
      <w:r>
        <w:rPr>
          <w:rFonts w:hint="eastAsia" w:ascii="仿宋_GB2312" w:hAnsi="仿宋" w:eastAsia="仿宋_GB2312" w:cs="Times New Roman"/>
          <w:b w:val="0"/>
          <w:bCs w:val="0"/>
          <w:color w:val="auto"/>
          <w:kern w:val="2"/>
          <w:sz w:val="32"/>
          <w:szCs w:val="32"/>
          <w:highlight w:val="none"/>
          <w:lang w:val="en-US" w:eastAsia="zh-CN"/>
        </w:rPr>
        <w:t>出现的维修费、服务费等均由服务方负责。</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highlight w:val="none"/>
          <w:lang w:eastAsia="zh-CN"/>
        </w:rPr>
      </w:pPr>
      <w:r>
        <w:rPr>
          <w:rFonts w:hint="eastAsia" w:ascii="仿宋_GB2312" w:hAnsi="仿宋_GB2312" w:eastAsia="仿宋_GB2312" w:cs="仿宋_GB2312"/>
          <w:color w:val="auto"/>
          <w:sz w:val="32"/>
          <w:szCs w:val="32"/>
          <w:highlight w:val="none"/>
          <w:shd w:val="clear" w:color="auto" w:fill="auto"/>
          <w:lang w:eastAsia="zh-CN"/>
        </w:rPr>
        <w:t>⑧</w:t>
      </w:r>
      <w:r>
        <w:rPr>
          <w:rFonts w:hint="eastAsia" w:ascii="仿宋_GB2312" w:hAnsi="仿宋" w:eastAsia="仿宋_GB2312" w:cs="Times New Roman"/>
          <w:color w:val="auto"/>
          <w:kern w:val="2"/>
          <w:sz w:val="32"/>
          <w:szCs w:val="32"/>
          <w:highlight w:val="none"/>
          <w:lang w:val="en-US" w:eastAsia="zh-CN" w:bidi="ar-SA"/>
        </w:rPr>
        <w:t>服务期间，</w:t>
      </w:r>
      <w:r>
        <w:rPr>
          <w:rFonts w:hint="eastAsia" w:ascii="仿宋_GB2312" w:hAnsi="仿宋" w:eastAsia="仿宋_GB2312" w:cs="Times New Roman"/>
          <w:b w:val="0"/>
          <w:bCs w:val="0"/>
          <w:color w:val="auto"/>
          <w:sz w:val="32"/>
          <w:szCs w:val="32"/>
          <w:highlight w:val="none"/>
          <w:lang w:val="en-US" w:eastAsia="zh-CN"/>
        </w:rPr>
        <w:t>服务</w:t>
      </w:r>
      <w:r>
        <w:rPr>
          <w:rFonts w:hint="eastAsia" w:ascii="仿宋_GB2312" w:hAnsi="仿宋" w:eastAsia="仿宋_GB2312" w:cs="Times New Roman"/>
          <w:color w:val="auto"/>
          <w:kern w:val="2"/>
          <w:sz w:val="32"/>
          <w:szCs w:val="32"/>
          <w:highlight w:val="none"/>
          <w:lang w:val="en-US" w:eastAsia="zh-CN" w:bidi="ar-SA"/>
        </w:rPr>
        <w:t>方有责任保证采购方全部设备及配套设施的完整、安全并处于良好状态。</w:t>
      </w:r>
      <w:r>
        <w:rPr>
          <w:rFonts w:hint="eastAsia" w:ascii="仿宋_GB2312" w:hAnsi="仿宋" w:eastAsia="仿宋_GB2312" w:cs="Times New Roman"/>
          <w:b w:val="0"/>
          <w:bCs w:val="0"/>
          <w:color w:val="auto"/>
          <w:sz w:val="32"/>
          <w:szCs w:val="32"/>
          <w:highlight w:val="none"/>
          <w:lang w:val="en-US" w:eastAsia="zh-CN"/>
        </w:rPr>
        <w:t>服务</w:t>
      </w:r>
      <w:r>
        <w:rPr>
          <w:rFonts w:hint="eastAsia" w:ascii="仿宋_GB2312" w:hAnsi="仿宋" w:eastAsia="仿宋_GB2312" w:cs="Times New Roman"/>
          <w:color w:val="auto"/>
          <w:kern w:val="2"/>
          <w:sz w:val="32"/>
          <w:szCs w:val="32"/>
          <w:highlight w:val="none"/>
          <w:lang w:val="en-US" w:eastAsia="zh-CN" w:bidi="ar-SA"/>
        </w:rPr>
        <w:t>方应当避免出现因被盗、人为破坏等原因造成的资产损失。如出现因</w:t>
      </w:r>
      <w:r>
        <w:rPr>
          <w:rFonts w:hint="eastAsia" w:ascii="仿宋_GB2312" w:hAnsi="仿宋" w:eastAsia="仿宋_GB2312" w:cs="Times New Roman"/>
          <w:b w:val="0"/>
          <w:bCs w:val="0"/>
          <w:color w:val="auto"/>
          <w:sz w:val="32"/>
          <w:szCs w:val="32"/>
          <w:highlight w:val="none"/>
          <w:lang w:val="en-US" w:eastAsia="zh-CN"/>
        </w:rPr>
        <w:t>服务</w:t>
      </w:r>
      <w:r>
        <w:rPr>
          <w:rFonts w:hint="eastAsia" w:ascii="仿宋_GB2312" w:hAnsi="仿宋" w:eastAsia="仿宋_GB2312" w:cs="Times New Roman"/>
          <w:color w:val="auto"/>
          <w:kern w:val="2"/>
          <w:sz w:val="32"/>
          <w:szCs w:val="32"/>
          <w:highlight w:val="none"/>
          <w:lang w:val="en-US" w:eastAsia="zh-CN" w:bidi="ar-SA"/>
        </w:rPr>
        <w:t>方使用、安保措施不当造成资产丢失、破坏的情况，</w:t>
      </w:r>
      <w:r>
        <w:rPr>
          <w:rFonts w:hint="eastAsia" w:ascii="仿宋_GB2312" w:hAnsi="仿宋" w:eastAsia="仿宋_GB2312" w:cs="Times New Roman"/>
          <w:b w:val="0"/>
          <w:bCs w:val="0"/>
          <w:color w:val="auto"/>
          <w:sz w:val="32"/>
          <w:szCs w:val="32"/>
          <w:highlight w:val="none"/>
          <w:lang w:val="en-US" w:eastAsia="zh-CN"/>
        </w:rPr>
        <w:t>服务</w:t>
      </w:r>
      <w:r>
        <w:rPr>
          <w:rFonts w:hint="eastAsia" w:ascii="仿宋_GB2312" w:hAnsi="仿宋" w:eastAsia="仿宋_GB2312" w:cs="Times New Roman"/>
          <w:color w:val="auto"/>
          <w:kern w:val="2"/>
          <w:sz w:val="32"/>
          <w:szCs w:val="32"/>
          <w:highlight w:val="none"/>
          <w:lang w:val="en-US" w:eastAsia="zh-CN" w:bidi="ar-SA"/>
        </w:rPr>
        <w:t>方须复原并尽快恢复使用，所产生的费用由</w:t>
      </w:r>
      <w:r>
        <w:rPr>
          <w:rFonts w:hint="eastAsia" w:ascii="仿宋_GB2312" w:hAnsi="仿宋" w:eastAsia="仿宋_GB2312" w:cs="Times New Roman"/>
          <w:b w:val="0"/>
          <w:bCs w:val="0"/>
          <w:color w:val="auto"/>
          <w:sz w:val="32"/>
          <w:szCs w:val="32"/>
          <w:highlight w:val="none"/>
          <w:lang w:val="en-US" w:eastAsia="zh-CN"/>
        </w:rPr>
        <w:t>服务</w:t>
      </w:r>
      <w:r>
        <w:rPr>
          <w:rFonts w:hint="eastAsia" w:ascii="仿宋_GB2312" w:hAnsi="仿宋" w:eastAsia="仿宋_GB2312" w:cs="Times New Roman"/>
          <w:color w:val="auto"/>
          <w:kern w:val="2"/>
          <w:sz w:val="32"/>
          <w:szCs w:val="32"/>
          <w:highlight w:val="none"/>
          <w:lang w:val="en-US" w:eastAsia="zh-CN" w:bidi="ar-SA"/>
        </w:rPr>
        <w:t>方承担。</w:t>
      </w:r>
      <w:r>
        <w:rPr>
          <w:rFonts w:hint="eastAsia" w:ascii="仿宋_GB2312" w:hAnsi="仿宋" w:eastAsia="仿宋_GB2312" w:cs="Times New Roman"/>
          <w:b w:val="0"/>
          <w:bCs w:val="0"/>
          <w:color w:val="auto"/>
          <w:sz w:val="32"/>
          <w:szCs w:val="32"/>
          <w:highlight w:val="none"/>
          <w:lang w:val="en-US" w:eastAsia="zh-CN"/>
        </w:rPr>
        <w:t>服务</w:t>
      </w:r>
      <w:r>
        <w:rPr>
          <w:rFonts w:hint="eastAsia" w:ascii="仿宋_GB2312" w:hAnsi="仿宋" w:eastAsia="仿宋_GB2312" w:cs="Times New Roman"/>
          <w:color w:val="auto"/>
          <w:kern w:val="2"/>
          <w:sz w:val="32"/>
          <w:szCs w:val="32"/>
          <w:highlight w:val="none"/>
          <w:lang w:val="en-US" w:eastAsia="zh-CN" w:bidi="ar-SA"/>
        </w:rPr>
        <w:t>方须协助采购方做好固定资产登记管理等工作。</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lang w:eastAsia="zh-CN"/>
        </w:rPr>
      </w:pPr>
      <w:r>
        <w:rPr>
          <w:rFonts w:hint="eastAsia" w:ascii="仿宋_GB2312" w:hAnsi="仿宋_GB2312" w:eastAsia="仿宋_GB2312" w:cs="仿宋_GB2312"/>
          <w:b/>
          <w:bCs/>
          <w:sz w:val="32"/>
          <w:szCs w:val="32"/>
          <w:highlight w:val="none"/>
          <w:lang w:val="en-US" w:eastAsia="zh-CN"/>
        </w:rPr>
        <w:t>2</w:t>
      </w:r>
      <w:r>
        <w:rPr>
          <w:rFonts w:hint="eastAsia" w:ascii="仿宋_GB2312" w:hAnsi="仿宋_GB2312" w:eastAsia="仿宋_GB2312" w:cs="仿宋_GB2312"/>
          <w:b/>
          <w:bCs/>
          <w:sz w:val="32"/>
          <w:szCs w:val="32"/>
          <w:highlight w:val="none"/>
        </w:rPr>
        <w:t>.</w:t>
      </w:r>
      <w:r>
        <w:rPr>
          <w:rFonts w:hint="eastAsia" w:ascii="仿宋_GB2312" w:hAnsi="仿宋_GB2312" w:eastAsia="仿宋_GB2312" w:cs="仿宋_GB2312"/>
          <w:b/>
          <w:bCs/>
          <w:sz w:val="32"/>
          <w:szCs w:val="32"/>
          <w:highlight w:val="none"/>
          <w:lang w:val="en-US" w:eastAsia="zh-CN"/>
        </w:rPr>
        <w:t>2</w:t>
      </w:r>
      <w:r>
        <w:rPr>
          <w:rFonts w:hint="eastAsia" w:ascii="仿宋_GB2312" w:hAnsi="仿宋_GB2312" w:eastAsia="仿宋_GB2312" w:cs="仿宋_GB2312"/>
          <w:b/>
          <w:bCs/>
          <w:sz w:val="32"/>
          <w:szCs w:val="32"/>
          <w:highlight w:val="none"/>
        </w:rPr>
        <w:t>包</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lang w:eastAsia="zh-CN"/>
        </w:rPr>
        <w:t>（</w:t>
      </w:r>
      <w:r>
        <w:rPr>
          <w:rFonts w:hint="eastAsia" w:ascii="仿宋_GB2312" w:hAnsi="仿宋_GB2312" w:eastAsia="仿宋_GB2312" w:cs="仿宋_GB2312"/>
          <w:b/>
          <w:bCs/>
          <w:sz w:val="32"/>
          <w:szCs w:val="32"/>
          <w:highlight w:val="none"/>
          <w:lang w:val="en-US" w:eastAsia="zh-CN"/>
        </w:rPr>
        <w:t>1</w:t>
      </w:r>
      <w:r>
        <w:rPr>
          <w:rFonts w:hint="eastAsia" w:ascii="仿宋_GB2312" w:hAnsi="仿宋_GB2312" w:eastAsia="仿宋_GB2312" w:cs="仿宋_GB2312"/>
          <w:b/>
          <w:bCs/>
          <w:sz w:val="32"/>
          <w:szCs w:val="32"/>
          <w:highlight w:val="none"/>
          <w:lang w:eastAsia="zh-CN"/>
        </w:rPr>
        <w:t>）</w:t>
      </w:r>
      <w:r>
        <w:rPr>
          <w:rFonts w:hint="eastAsia" w:ascii="仿宋_GB2312" w:hAnsi="仿宋_GB2312" w:eastAsia="仿宋_GB2312" w:cs="仿宋_GB2312"/>
          <w:b/>
          <w:bCs/>
          <w:sz w:val="32"/>
          <w:szCs w:val="32"/>
          <w:highlight w:val="none"/>
        </w:rPr>
        <w:t>技术要求</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1）紧跟全市生态环境治理工作进程，广泛搜集、深度挖掘新闻素材，将生态环境保护工作相关稿件、图片、视频等内容，推送至主流媒体、政务新媒体、网络媒体（含自媒体）等宣传平台。结合生态环境重点工作，在各类宣传平台全年发布相关信息的总数量不少于600篇（条），其中，发布原创稿件不少于100篇（条）。</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2）服务方需组织采写人员深入生态环境系统基层，发掘典型经验与工作成果，撰写高质量信息稿件；或对采购方提供的素材进行系统梳理、内容提炼与结构优化，突出工作亮点和创新成效，提升信息或稿件的规范性和传播力；积极对接媒体渠道，争取刊发推广，有效展示我市生态环境工作成效。</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3）负责“生态石家庄”微信公众号信息发布与管理，做好日常信息采写与编辑、信息发布、视觉设计和图文模板设计、栏目规划等内容，发布内容每日更新（包括国家法定节假日），并按生态环境部和省生态环境厅要求，及时转发、发布有关内容；全年至少打造4个（含）以上品牌栏目。</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4）充分利用“今日头条”“抖音”等新媒体平台，原创或择优转发生态环境科普知识或我市生态环境治理工作成果，营造浓厚舆论氛围。</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5）根据采购方工作需要，组织全市生态环境系统新闻宣传工作经验交流活动不少于1次，具体内容包括但不限于制定活动方案，协调落实活动场地，参会人员的组织，并提供必要的会务及后勤保障等，确保交流活动顺利开展并取得实效。</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6）负责联系市级主要平面媒体或利用其新媒体平台，刊发生态环境治理成果生态环境科普知识，发布内容由服务方依据采购方要求进行撰写或整理，经采购方同意后，根据指定时间及平台完成发布工作，确保内容准确、形式适宜、传播有效。</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7）积极向国家级、省级新闻媒体推送重点优秀稿件。</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（2）商务要求</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1）服务期间：自合同签订之日一年。</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2）服务地点：石家庄市。</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3）付款条件：</w:t>
      </w:r>
      <w:r>
        <w:rPr>
          <w:rFonts w:hint="eastAsia" w:ascii="仿宋_GB2312" w:hAnsi="仿宋_GB2312" w:eastAsia="仿宋_GB2312" w:cs="仿宋_GB2312"/>
          <w:b w:val="0"/>
          <w:bCs w:val="0"/>
          <w:color w:val="auto"/>
          <w:sz w:val="32"/>
          <w:szCs w:val="32"/>
          <w:highlight w:val="none"/>
          <w:lang w:val="en-US" w:eastAsia="zh-CN"/>
        </w:rPr>
        <w:t>按照合同约定执行</w:t>
      </w:r>
      <w:r>
        <w:rPr>
          <w:rFonts w:hint="eastAsia" w:ascii="仿宋_GB2312" w:hAnsi="仿宋" w:eastAsia="仿宋_GB2312" w:cs="Times New Roman"/>
          <w:color w:val="auto"/>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4）售后服务</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①服务方组建服务团队，为采购方提供信息采写、内容编辑、账号管理等服务，对采购方根据工作需要提出的工作要求，能够在2小时内予以回应，并及时跟进解决，同时按照规定的时间和要求，高质量完成相关工作，确保能够随时到场沟通、解决相关工作事宜。服务团队包含有：新闻采写人员、编辑人员。</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bidi="ar-SA"/>
        </w:rPr>
        <w:t>②在项目执行周期内全程配合采购方，不定期驻场办公，了解掌握采购方工作需求，提供全程跟进服务，完成文字编辑、新媒体平台更新发布工作，驻场时间全年不少于100天。</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bidi="ar-SA"/>
        </w:rPr>
        <w:t>③服务方根据采购方工作需求发布的相关信息，必须经采购方严格审核，审核同意后，再</w:t>
      </w:r>
      <w:r>
        <w:rPr>
          <w:rFonts w:hint="eastAsia" w:ascii="仿宋_GB2312" w:hAnsi="Calibri" w:eastAsia="仿宋_GB2312" w:cs="Times New Roman"/>
          <w:b w:val="0"/>
          <w:color w:val="auto"/>
          <w:kern w:val="2"/>
          <w:sz w:val="32"/>
          <w:szCs w:val="32"/>
          <w:highlight w:val="none"/>
          <w:lang w:val="en-US" w:eastAsia="zh-CN" w:bidi="ar-SA"/>
        </w:rPr>
        <w:t>依托各类宣传平台</w:t>
      </w:r>
      <w:r>
        <w:rPr>
          <w:rFonts w:hint="eastAsia" w:ascii="仿宋_GB2312" w:hAnsi="仿宋_GB2312" w:eastAsia="仿宋_GB2312" w:cs="仿宋_GB2312"/>
          <w:color w:val="auto"/>
          <w:sz w:val="32"/>
          <w:szCs w:val="32"/>
          <w:highlight w:val="none"/>
          <w:lang w:val="en-US" w:eastAsia="zh-CN" w:bidi="ar-SA"/>
        </w:rPr>
        <w:t>对外发布。</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Calibri" w:eastAsia="仿宋_GB2312" w:cs="Times New Roman"/>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④</w:t>
      </w:r>
      <w:r>
        <w:rPr>
          <w:rFonts w:hint="eastAsia" w:ascii="仿宋_GB2312" w:hAnsi="Calibri" w:eastAsia="仿宋_GB2312" w:cs="Times New Roman"/>
          <w:kern w:val="2"/>
          <w:sz w:val="32"/>
          <w:szCs w:val="32"/>
          <w:highlight w:val="none"/>
          <w:lang w:val="en-US" w:eastAsia="zh-CN" w:bidi="ar-SA"/>
        </w:rPr>
        <w:t>合同期内若服务方</w:t>
      </w:r>
      <w:r>
        <w:rPr>
          <w:rFonts w:hint="eastAsia" w:ascii="仿宋_GB2312" w:hAnsi="Times New Roman" w:eastAsia="仿宋_GB2312" w:cs="Times New Roman"/>
          <w:color w:val="auto"/>
          <w:sz w:val="32"/>
          <w:szCs w:val="32"/>
          <w:highlight w:val="none"/>
        </w:rPr>
        <w:t>原创稿件</w:t>
      </w:r>
      <w:r>
        <w:rPr>
          <w:rFonts w:hint="eastAsia" w:ascii="仿宋_GB2312" w:hAnsi="Times New Roman" w:eastAsia="仿宋_GB2312" w:cs="Times New Roman"/>
          <w:color w:val="auto"/>
          <w:sz w:val="32"/>
          <w:szCs w:val="32"/>
          <w:highlight w:val="none"/>
          <w:lang w:eastAsia="zh-CN"/>
        </w:rPr>
        <w:t>达不到约定数量要求的，</w:t>
      </w:r>
      <w:r>
        <w:rPr>
          <w:rFonts w:hint="eastAsia" w:ascii="仿宋_GB2312" w:hAnsi="Calibri" w:eastAsia="仿宋_GB2312" w:cs="Times New Roman"/>
          <w:kern w:val="2"/>
          <w:sz w:val="32"/>
          <w:szCs w:val="32"/>
          <w:highlight w:val="none"/>
          <w:lang w:val="en-US" w:eastAsia="zh-CN" w:bidi="ar-SA"/>
        </w:rPr>
        <w:t>每缺少一篇（条），由服务方负责补稿或按中标总价1%的数额向采购方支付违约金。</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Calibri" w:eastAsia="仿宋_GB2312" w:cs="Times New Roman"/>
          <w:kern w:val="2"/>
          <w:sz w:val="32"/>
          <w:szCs w:val="32"/>
          <w:highlight w:val="none"/>
          <w:lang w:val="en-US" w:eastAsia="zh-CN" w:bidi="ar-SA"/>
        </w:rPr>
      </w:pPr>
      <w:r>
        <w:rPr>
          <w:rFonts w:hint="eastAsia" w:ascii="仿宋_GB2312" w:hAnsi="仿宋_GB2312" w:eastAsia="仿宋_GB2312" w:cs="仿宋_GB2312"/>
          <w:color w:val="auto"/>
          <w:sz w:val="32"/>
          <w:szCs w:val="32"/>
          <w:highlight w:val="none"/>
          <w:shd w:val="clear" w:color="auto" w:fill="auto"/>
          <w:lang w:val="en-US" w:eastAsia="zh-CN"/>
        </w:rPr>
        <w:t>⑤</w:t>
      </w:r>
      <w:r>
        <w:rPr>
          <w:rFonts w:hint="eastAsia" w:ascii="仿宋_GB2312" w:hAnsi="Calibri" w:eastAsia="仿宋_GB2312" w:cs="Times New Roman"/>
          <w:kern w:val="2"/>
          <w:sz w:val="32"/>
          <w:szCs w:val="32"/>
          <w:highlight w:val="none"/>
          <w:lang w:val="en-US" w:eastAsia="zh-CN" w:bidi="ar-SA"/>
        </w:rPr>
        <w:t>合同期内服务方应保证</w:t>
      </w:r>
      <w:r>
        <w:rPr>
          <w:rFonts w:hint="eastAsia" w:ascii="仿宋_GB2312" w:hAnsi="仿宋_GB2312" w:eastAsia="仿宋_GB2312" w:cs="仿宋_GB2312"/>
          <w:color w:val="auto"/>
          <w:sz w:val="32"/>
          <w:szCs w:val="32"/>
          <w:highlight w:val="none"/>
          <w:lang w:val="en-US" w:eastAsia="zh-CN" w:bidi="ar-SA"/>
        </w:rPr>
        <w:t>“生态石家庄”微信公众号信息发布的持续性和完整性，若因服务方原因导致账号内容出现断更，</w:t>
      </w:r>
      <w:r>
        <w:rPr>
          <w:rFonts w:hint="eastAsia" w:ascii="仿宋_GB2312" w:hAnsi="Calibri" w:eastAsia="仿宋_GB2312" w:cs="Times New Roman"/>
          <w:kern w:val="2"/>
          <w:sz w:val="32"/>
          <w:szCs w:val="32"/>
          <w:highlight w:val="none"/>
          <w:lang w:val="en-US" w:eastAsia="zh-CN" w:bidi="ar-SA"/>
        </w:rPr>
        <w:t>每断更一次，由服务方按中标总价5%的数额向采购方支付违约金。累计断更达到5次以上的，采购方有权按照违约条款追究服务方违约责任。</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sz w:val="32"/>
          <w:szCs w:val="32"/>
          <w:highlight w:val="none"/>
          <w:lang w:val="en-US" w:eastAsia="zh-CN"/>
        </w:rPr>
      </w:pPr>
      <w:r>
        <w:rPr>
          <w:rFonts w:hint="eastAsia" w:ascii="仿宋_GB2312" w:hAnsi="仿宋_GB2312" w:eastAsia="仿宋_GB2312" w:cs="仿宋_GB2312"/>
          <w:color w:val="auto"/>
          <w:sz w:val="32"/>
          <w:szCs w:val="32"/>
          <w:highlight w:val="none"/>
          <w:shd w:val="clear" w:color="auto" w:fill="auto"/>
          <w:lang w:eastAsia="zh-CN"/>
        </w:rPr>
        <w:t>⑥</w:t>
      </w:r>
      <w:r>
        <w:rPr>
          <w:rFonts w:hint="eastAsia" w:ascii="仿宋_GB2312" w:hAnsi="仿宋" w:eastAsia="仿宋_GB2312" w:cs="Times New Roman"/>
          <w:color w:val="auto"/>
          <w:kern w:val="2"/>
          <w:sz w:val="32"/>
          <w:szCs w:val="32"/>
          <w:highlight w:val="none"/>
          <w:lang w:val="en-US" w:eastAsia="zh-CN" w:bidi="ar-SA"/>
        </w:rPr>
        <w:t>根据项目实施要求，</w:t>
      </w:r>
      <w:r>
        <w:rPr>
          <w:rFonts w:hint="eastAsia" w:ascii="仿宋_GB2312" w:hAnsi="仿宋_GB2312" w:eastAsia="仿宋_GB2312" w:cs="仿宋_GB2312"/>
          <w:color w:val="auto"/>
          <w:sz w:val="32"/>
          <w:szCs w:val="32"/>
          <w:highlight w:val="none"/>
          <w:lang w:val="en-US" w:eastAsia="zh-CN" w:bidi="ar-SA"/>
        </w:rPr>
        <w:t>服务方</w:t>
      </w:r>
      <w:r>
        <w:rPr>
          <w:rFonts w:hint="eastAsia" w:ascii="仿宋_GB2312" w:hAnsi="仿宋" w:eastAsia="仿宋_GB2312" w:cs="Times New Roman"/>
          <w:color w:val="auto"/>
          <w:kern w:val="2"/>
          <w:sz w:val="32"/>
          <w:szCs w:val="32"/>
          <w:highlight w:val="none"/>
          <w:lang w:val="en-US" w:eastAsia="zh-CN" w:bidi="ar-SA"/>
        </w:rPr>
        <w:t>应按采购方要求编制服务总结报告（季报、年报）。</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lang w:eastAsia="zh-CN"/>
        </w:rPr>
      </w:pPr>
      <w:r>
        <w:rPr>
          <w:rFonts w:hint="eastAsia" w:ascii="仿宋_GB2312" w:hAnsi="仿宋_GB2312" w:eastAsia="仿宋_GB2312" w:cs="仿宋_GB2312"/>
          <w:b/>
          <w:bCs/>
          <w:sz w:val="32"/>
          <w:szCs w:val="32"/>
          <w:highlight w:val="none"/>
          <w:lang w:val="en-US" w:eastAsia="zh-CN"/>
        </w:rPr>
        <w:t>3</w:t>
      </w:r>
      <w:r>
        <w:rPr>
          <w:rFonts w:hint="eastAsia" w:ascii="仿宋_GB2312" w:hAnsi="仿宋_GB2312" w:eastAsia="仿宋_GB2312" w:cs="仿宋_GB2312"/>
          <w:b/>
          <w:bCs/>
          <w:sz w:val="32"/>
          <w:szCs w:val="32"/>
          <w:highlight w:val="none"/>
        </w:rPr>
        <w:t>.</w:t>
      </w:r>
      <w:r>
        <w:rPr>
          <w:rFonts w:hint="eastAsia" w:ascii="仿宋_GB2312" w:hAnsi="仿宋_GB2312" w:eastAsia="仿宋_GB2312" w:cs="仿宋_GB2312"/>
          <w:b/>
          <w:bCs/>
          <w:sz w:val="32"/>
          <w:szCs w:val="32"/>
          <w:highlight w:val="none"/>
          <w:lang w:val="en-US" w:eastAsia="zh-CN"/>
        </w:rPr>
        <w:t>3</w:t>
      </w:r>
      <w:r>
        <w:rPr>
          <w:rFonts w:hint="eastAsia" w:ascii="仿宋_GB2312" w:hAnsi="仿宋_GB2312" w:eastAsia="仿宋_GB2312" w:cs="仿宋_GB2312"/>
          <w:b/>
          <w:bCs/>
          <w:sz w:val="32"/>
          <w:szCs w:val="32"/>
          <w:highlight w:val="none"/>
        </w:rPr>
        <w:t>包</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default"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eastAsia="zh-CN"/>
        </w:rPr>
        <w:t>（</w:t>
      </w:r>
      <w:r>
        <w:rPr>
          <w:rFonts w:hint="eastAsia" w:ascii="仿宋_GB2312" w:hAnsi="仿宋_GB2312" w:eastAsia="仿宋_GB2312" w:cs="仿宋_GB2312"/>
          <w:b/>
          <w:bCs/>
          <w:sz w:val="32"/>
          <w:szCs w:val="32"/>
          <w:highlight w:val="none"/>
          <w:lang w:val="en-US" w:eastAsia="zh-CN"/>
        </w:rPr>
        <w:t>1</w:t>
      </w:r>
      <w:r>
        <w:rPr>
          <w:rFonts w:hint="eastAsia" w:ascii="仿宋_GB2312" w:hAnsi="仿宋_GB2312" w:eastAsia="仿宋_GB2312" w:cs="仿宋_GB2312"/>
          <w:b/>
          <w:bCs/>
          <w:sz w:val="32"/>
          <w:szCs w:val="32"/>
          <w:highlight w:val="none"/>
          <w:lang w:eastAsia="zh-CN"/>
        </w:rPr>
        <w:t>）</w:t>
      </w:r>
      <w:r>
        <w:rPr>
          <w:rFonts w:hint="eastAsia" w:ascii="仿宋_GB2312" w:hAnsi="仿宋_GB2312" w:eastAsia="仿宋_GB2312" w:cs="仿宋_GB2312"/>
          <w:b/>
          <w:bCs/>
          <w:sz w:val="32"/>
          <w:szCs w:val="32"/>
          <w:highlight w:val="none"/>
        </w:rPr>
        <w:t>技术要求</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1）监测预警</w:t>
      </w:r>
    </w:p>
    <w:p>
      <w:pPr>
        <w:keepNext w:val="0"/>
        <w:keepLines w:val="0"/>
        <w:pageBreakBefore w:val="0"/>
        <w:widowControl w:val="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①舆情监测</w:t>
      </w:r>
    </w:p>
    <w:p>
      <w:pPr>
        <w:keepNext w:val="0"/>
        <w:keepLines w:val="0"/>
        <w:pageBreakBefore w:val="0"/>
        <w:widowControl w:val="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利用网络舆情24小时自动监测系统（含PC端和移动端），将各级各类新闻媒体、网络媒体(含自媒体)作为监测信息数据源，针对各类信息、视频等内容开展全时段监控，精准全面设置监测关键词，</w:t>
      </w:r>
      <w:r>
        <w:rPr>
          <w:rFonts w:hint="eastAsia" w:ascii="仿宋_GB2312" w:hAnsi="仿宋_GB2312" w:eastAsia="仿宋_GB2312" w:cs="仿宋_GB2312"/>
          <w:b w:val="0"/>
          <w:bCs w:val="0"/>
          <w:color w:val="auto"/>
          <w:sz w:val="32"/>
          <w:szCs w:val="32"/>
          <w:shd w:val="clear" w:color="auto" w:fill="auto"/>
          <w:lang w:val="en-US" w:eastAsia="zh-CN"/>
        </w:rPr>
        <w:t>不少于300字，</w:t>
      </w:r>
      <w:r>
        <w:rPr>
          <w:rFonts w:hint="eastAsia" w:ascii="仿宋_GB2312" w:hAnsi="仿宋_GB2312" w:eastAsia="仿宋_GB2312" w:cs="仿宋_GB2312"/>
          <w:b w:val="0"/>
          <w:bCs w:val="0"/>
          <w:color w:val="auto"/>
          <w:sz w:val="32"/>
          <w:szCs w:val="32"/>
          <w:highlight w:val="none"/>
          <w:shd w:val="clear" w:color="auto" w:fill="auto"/>
          <w:lang w:val="en-US" w:eastAsia="zh-CN"/>
        </w:rPr>
        <w:t>适时开展重点事件、敏感话题的定向监测，在信息监测基础上进行数据分析，为科学研判提供技术支撑和重要依据。</w:t>
      </w:r>
    </w:p>
    <w:p>
      <w:pPr>
        <w:keepNext w:val="0"/>
        <w:keepLines w:val="0"/>
        <w:pageBreakBefore w:val="0"/>
        <w:widowControl w:val="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结合阶段性热点和重点工作，对技术监测结果进行人工筛选分析，从海量搜索数据中筛选出有效信息，密切关注APP弹窗、热搜热榜，确保网络舆情及时发现、</w:t>
      </w:r>
      <w:r>
        <w:rPr>
          <w:rFonts w:hint="eastAsia" w:ascii="仿宋_GB2312" w:hAnsi="Calibri" w:eastAsia="仿宋_GB2312" w:cs="Times New Roman"/>
          <w:b w:val="0"/>
          <w:color w:val="auto"/>
          <w:kern w:val="2"/>
          <w:sz w:val="32"/>
          <w:szCs w:val="32"/>
          <w:highlight w:val="none"/>
          <w:lang w:val="en-US" w:eastAsia="zh-CN" w:bidi="ar-SA"/>
        </w:rPr>
        <w:t>推送</w:t>
      </w:r>
      <w:r>
        <w:rPr>
          <w:rFonts w:hint="eastAsia" w:ascii="仿宋_GB2312" w:hAnsi="仿宋_GB2312" w:eastAsia="仿宋_GB2312" w:cs="仿宋_GB2312"/>
          <w:b w:val="0"/>
          <w:bCs w:val="0"/>
          <w:color w:val="auto"/>
          <w:sz w:val="32"/>
          <w:szCs w:val="32"/>
          <w:highlight w:val="none"/>
          <w:shd w:val="clear" w:color="auto" w:fill="auto"/>
          <w:lang w:val="en-US" w:eastAsia="zh-CN"/>
        </w:rPr>
        <w:t>。</w:t>
      </w:r>
    </w:p>
    <w:p>
      <w:pPr>
        <w:keepNext w:val="0"/>
        <w:keepLines w:val="0"/>
        <w:pageBreakBefore w:val="0"/>
        <w:widowControl w:val="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结合生态环境等重点关注内容，动态设置和优化舆情监测系统关键词配置，确保全方位、高精度监测属地生态环境领域舆情信息。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z w:val="32"/>
          <w:szCs w:val="32"/>
          <w:highlight w:val="none"/>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发现重大突发敏感舆情信息后，服务方第一时间通过电话、微信等发出预警提示。</w:t>
      </w:r>
      <w:r>
        <w:rPr>
          <w:rFonts w:hint="eastAsia" w:ascii="仿宋_GB2312" w:eastAsia="仿宋_GB2312"/>
          <w:sz w:val="32"/>
          <w:szCs w:val="32"/>
          <w:highlight w:val="none"/>
          <w:lang w:val="en-US" w:eastAsia="zh-CN"/>
        </w:rPr>
        <w:t>根据工作需要，针对重要舆情加密监测服务。</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②监测内容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涉及全市生态环境系统相关领导或公职人员的舆情信息；涉及本市生态环境领域重点工作、敏感节点、敏感人群的舆情信息；涉及生态环境保护工作的舆情热点、舆情动向和相关新闻报道、网民评论等，特别是关联我市生态环境保护工作，易于演变成群体性事件、社会关注焦点或舆情危机的舆情，包括各类苗头性、趋势性信息等。</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2）舆情资料制作</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_GB2312" w:eastAsia="仿宋_GB2312" w:cs="仿宋_GB2312"/>
          <w:b w:val="0"/>
          <w:bCs w:val="0"/>
          <w:color w:val="auto"/>
          <w:sz w:val="32"/>
          <w:szCs w:val="32"/>
          <w:highlight w:val="none"/>
          <w:shd w:val="clear" w:color="auto" w:fill="auto"/>
          <w:lang w:val="en-US" w:eastAsia="zh-CN"/>
        </w:rPr>
        <w:t>①</w:t>
      </w:r>
      <w:r>
        <w:rPr>
          <w:rFonts w:hint="eastAsia" w:ascii="Times New Roman" w:hAnsi="Times New Roman" w:eastAsia="仿宋_GB2312" w:cs="仿宋_GB2312"/>
          <w:sz w:val="32"/>
          <w:szCs w:val="32"/>
          <w:highlight w:val="none"/>
          <w:lang w:val="en-US" w:eastAsia="zh-CN"/>
        </w:rPr>
        <w:t>生态环境舆情日报：结合网上舆情态势和采购方工作指示</w:t>
      </w:r>
      <w:r>
        <w:rPr>
          <w:rFonts w:hint="eastAsia" w:ascii="仿宋_GB2312" w:hAnsi="仿宋" w:eastAsia="仿宋_GB2312" w:cs="Times New Roman"/>
          <w:color w:val="auto"/>
          <w:kern w:val="2"/>
          <w:sz w:val="32"/>
          <w:szCs w:val="32"/>
          <w:highlight w:val="none"/>
          <w:lang w:val="en-US" w:eastAsia="zh-CN" w:bidi="ar-SA"/>
        </w:rPr>
        <w:t>，梳理舆情摘要、传播情况、链接等，编报形成制式舆情日报，呈报采购方。若出现较大舆情事件，应及时加密监测频次，及时报送舆情事件相关资料（发展动态）。</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②按照采购方要求，每周梳理汇总网络舆情统计表，汇总为制式表格，定期呈报采购方。</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 w:eastAsia="仿宋_GB2312" w:cs="Times New Roman"/>
          <w:color w:val="auto"/>
          <w:kern w:val="2"/>
          <w:sz w:val="32"/>
          <w:szCs w:val="32"/>
          <w:highlight w:val="none"/>
          <w:lang w:val="en-US" w:eastAsia="zh-CN" w:bidi="ar-SA"/>
        </w:rPr>
        <w:t>③专项报告：根据工作需要，针对重</w:t>
      </w:r>
      <w:r>
        <w:rPr>
          <w:rFonts w:hint="eastAsia" w:ascii="仿宋_GB2312" w:hAnsi="仿宋_GB2312" w:eastAsia="仿宋_GB2312" w:cs="仿宋_GB2312"/>
          <w:b w:val="0"/>
          <w:bCs w:val="0"/>
          <w:color w:val="auto"/>
          <w:sz w:val="32"/>
          <w:szCs w:val="32"/>
          <w:highlight w:val="none"/>
          <w:shd w:val="clear" w:color="auto" w:fill="auto"/>
          <w:lang w:val="en-US" w:eastAsia="zh-CN"/>
        </w:rPr>
        <w:t>大突发敏感舆情，及时梳理网上舆情态势，提出有针对性的研判和工作建议。</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④生态环境网络舆情工作月报：每月编写制作石家庄市生态环境网络舆情工作月报，对上个月全市生态环境网络舆情情况进行汇总分析，梳理工作提示。</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3）舆情应对处置</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配合采购方做好舆情应对处置，避免舆情事件产生不良影响。</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（2）商务要求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1）服务期间：自合同签订之日起一年。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2）服务地点：石家庄市。</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3）</w:t>
      </w:r>
      <w:r>
        <w:rPr>
          <w:rFonts w:hint="eastAsia" w:ascii="仿宋_GB2312" w:hAnsi="仿宋_GB2312" w:eastAsia="仿宋_GB2312" w:cs="仿宋_GB2312"/>
          <w:color w:val="auto"/>
          <w:sz w:val="32"/>
          <w:szCs w:val="32"/>
          <w:highlight w:val="none"/>
          <w:lang w:val="en-US" w:eastAsia="zh-CN"/>
        </w:rPr>
        <w:t>付款条件：</w:t>
      </w:r>
      <w:r>
        <w:rPr>
          <w:rFonts w:hint="eastAsia" w:ascii="仿宋_GB2312" w:hAnsi="仿宋_GB2312" w:eastAsia="仿宋_GB2312" w:cs="仿宋_GB2312"/>
          <w:b w:val="0"/>
          <w:bCs w:val="0"/>
          <w:color w:val="auto"/>
          <w:sz w:val="32"/>
          <w:szCs w:val="32"/>
          <w:highlight w:val="none"/>
          <w:lang w:val="en-US" w:eastAsia="zh-CN"/>
        </w:rPr>
        <w:t>按照合同约定执行</w:t>
      </w:r>
      <w:r>
        <w:rPr>
          <w:rFonts w:hint="eastAsia" w:ascii="仿宋_GB2312" w:hAnsi="仿宋_GB2312" w:eastAsia="仿宋_GB2312" w:cs="仿宋_GB2312"/>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4）售后服务：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①</w:t>
      </w:r>
      <w:r>
        <w:rPr>
          <w:rFonts w:hint="eastAsia" w:ascii="仿宋_GB2312" w:hAnsi="仿宋_GB2312" w:eastAsia="仿宋_GB2312" w:cs="仿宋_GB2312"/>
          <w:color w:val="auto"/>
          <w:sz w:val="32"/>
          <w:szCs w:val="32"/>
          <w:highlight w:val="none"/>
          <w:lang w:val="en-US" w:eastAsia="zh-CN" w:bidi="ar-SA"/>
        </w:rPr>
        <w:t>服务方组建服务团队，为采购方提供项目服务，</w:t>
      </w:r>
      <w:r>
        <w:rPr>
          <w:rFonts w:hint="eastAsia" w:ascii="仿宋_GB2312" w:hAnsi="仿宋_GB2312" w:eastAsia="仿宋_GB2312" w:cs="仿宋_GB2312"/>
          <w:color w:val="auto"/>
          <w:sz w:val="32"/>
          <w:szCs w:val="32"/>
          <w:highlight w:val="none"/>
          <w:shd w:val="clear" w:color="auto" w:fill="auto"/>
          <w:lang w:val="en-US" w:eastAsia="zh-CN"/>
        </w:rPr>
        <w:t>对采购方根据工作需要提出的工作要求，能够在2小时内予以回应，并及时跟进解决，同时按照规定的时间和要求，高质量完成相关工作，确保能够随时到场沟通、解决相关工作事宜。若遇到突发事件，应自发出舆情提醒后立即开展有关工作，随时与采购方汇报工作进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 xml:space="preserve">②负责定期对系统运行情况进行巡检，并予以指导。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③质保期内，根据工作需要免费提供下列服务项目：电话咨询、电话技术指导、远程支持、投诉受理等。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④提供详细的产品培训：对产品的使用操作、用户管理进行培训。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⑤文件导出：能够导出舆情数据（包括但不限于文档、表格、视频）。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eastAsia="zh-CN"/>
        </w:rPr>
        <w:t>⑥</w:t>
      </w:r>
      <w:r>
        <w:rPr>
          <w:rFonts w:hint="eastAsia" w:ascii="仿宋_GB2312" w:hAnsi="仿宋_GB2312" w:eastAsia="仿宋_GB2312" w:cs="仿宋_GB2312"/>
          <w:b w:val="0"/>
          <w:bCs w:val="0"/>
          <w:color w:val="auto"/>
          <w:sz w:val="32"/>
          <w:szCs w:val="32"/>
          <w:highlight w:val="none"/>
          <w:shd w:val="clear" w:color="auto" w:fill="auto"/>
          <w:lang w:val="en-US" w:eastAsia="zh-CN"/>
        </w:rPr>
        <w:t>数据查询：能够查询至少一年以上的历史数据。</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（3）质量保障</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1）服务方在开展舆情监控工作中，如发生漏监漏报情形（包括但不限于市委网信办、市政府办公厅、省生态环境厅等上级部门向采购方发出的舆情信息提示、相关情况、材料），责任由服务方负责，并做好后续舆情应对及处置工作。造成舆情漏报事件的，服务方应承担违约责任，每发生一次，按本合同总价10%的数额向采购方支付违约金。同时，采购方亦有权解除本合同。由此造成的采购方一切损失（包括但不限于直接损失、可得利益损失及主张权利的律师费、差旅费、诉讼费用等）均由服务方承担。</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2）若服务方未按规定时间和要求，高质量完成采购方工作要求的，每发生一次，按中标总价5%的数额向采购方支付违约金。</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default"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3）</w:t>
      </w:r>
      <w:r>
        <w:rPr>
          <w:rFonts w:hint="default" w:ascii="仿宋_GB2312" w:hAnsi="仿宋_GB2312" w:eastAsia="仿宋_GB2312" w:cs="仿宋_GB2312"/>
          <w:b w:val="0"/>
          <w:bCs w:val="0"/>
          <w:color w:val="auto"/>
          <w:sz w:val="32"/>
          <w:szCs w:val="32"/>
          <w:highlight w:val="none"/>
          <w:shd w:val="clear" w:color="auto" w:fill="auto"/>
          <w:lang w:val="en-US" w:eastAsia="zh-CN"/>
        </w:rPr>
        <w:t>因服务方舆情应对处置不当引发次生舆情的，由服务方承担全部责任</w:t>
      </w:r>
      <w:r>
        <w:rPr>
          <w:rFonts w:hint="eastAsia" w:ascii="仿宋_GB2312" w:hAnsi="仿宋_GB2312" w:eastAsia="仿宋_GB2312" w:cs="仿宋_GB2312"/>
          <w:b w:val="0"/>
          <w:bCs w:val="0"/>
          <w:color w:val="auto"/>
          <w:sz w:val="32"/>
          <w:szCs w:val="32"/>
          <w:highlight w:val="none"/>
          <w:shd w:val="clear" w:color="auto" w:fill="auto"/>
          <w:lang w:val="en-US" w:eastAsia="zh-CN"/>
        </w:rPr>
        <w:t>，且服务方需及时采取有效措施，做好该次生舆情的应对、处置及善后工作，确保舆情得到妥善管控、消除不良影响；</w:t>
      </w:r>
      <w:r>
        <w:rPr>
          <w:rFonts w:hint="default" w:ascii="仿宋_GB2312" w:hAnsi="仿宋_GB2312" w:eastAsia="仿宋_GB2312" w:cs="仿宋_GB2312"/>
          <w:b w:val="0"/>
          <w:bCs w:val="0"/>
          <w:color w:val="auto"/>
          <w:sz w:val="32"/>
          <w:szCs w:val="32"/>
          <w:highlight w:val="none"/>
          <w:shd w:val="clear" w:color="auto" w:fill="auto"/>
          <w:lang w:val="en-US" w:eastAsia="zh-CN"/>
        </w:rPr>
        <w:t>每发生一次，</w:t>
      </w:r>
      <w:r>
        <w:rPr>
          <w:rFonts w:hint="eastAsia" w:ascii="仿宋_GB2312" w:hAnsi="仿宋_GB2312" w:eastAsia="仿宋_GB2312" w:cs="仿宋_GB2312"/>
          <w:b w:val="0"/>
          <w:bCs w:val="0"/>
          <w:color w:val="auto"/>
          <w:sz w:val="32"/>
          <w:szCs w:val="32"/>
          <w:highlight w:val="none"/>
          <w:shd w:val="clear" w:color="auto" w:fill="auto"/>
          <w:lang w:val="en-US" w:eastAsia="zh-CN"/>
        </w:rPr>
        <w:t>采购</w:t>
      </w:r>
      <w:r>
        <w:rPr>
          <w:rFonts w:hint="default" w:ascii="仿宋_GB2312" w:hAnsi="仿宋_GB2312" w:eastAsia="仿宋_GB2312" w:cs="仿宋_GB2312"/>
          <w:b w:val="0"/>
          <w:bCs w:val="0"/>
          <w:color w:val="auto"/>
          <w:sz w:val="32"/>
          <w:szCs w:val="32"/>
          <w:highlight w:val="none"/>
          <w:shd w:val="clear" w:color="auto" w:fill="auto"/>
          <w:lang w:val="en-US" w:eastAsia="zh-CN"/>
        </w:rPr>
        <w:t>方有权按中标价的</w:t>
      </w:r>
      <w:r>
        <w:rPr>
          <w:rFonts w:hint="eastAsia" w:ascii="仿宋_GB2312" w:hAnsi="仿宋_GB2312" w:eastAsia="仿宋_GB2312" w:cs="仿宋_GB2312"/>
          <w:b w:val="0"/>
          <w:bCs w:val="0"/>
          <w:color w:val="auto"/>
          <w:sz w:val="32"/>
          <w:szCs w:val="32"/>
          <w:highlight w:val="none"/>
          <w:shd w:val="clear" w:color="auto" w:fill="auto"/>
          <w:lang w:val="en-US" w:eastAsia="zh-CN"/>
        </w:rPr>
        <w:t>20</w:t>
      </w:r>
      <w:r>
        <w:rPr>
          <w:rFonts w:hint="default" w:ascii="仿宋_GB2312" w:hAnsi="仿宋_GB2312" w:eastAsia="仿宋_GB2312" w:cs="仿宋_GB2312"/>
          <w:b w:val="0"/>
          <w:bCs w:val="0"/>
          <w:color w:val="auto"/>
          <w:sz w:val="32"/>
          <w:szCs w:val="32"/>
          <w:highlight w:val="none"/>
          <w:shd w:val="clear" w:color="auto" w:fill="auto"/>
          <w:lang w:val="en-US" w:eastAsia="zh-CN"/>
        </w:rPr>
        <w:t>%扣除</w:t>
      </w:r>
      <w:r>
        <w:rPr>
          <w:rFonts w:hint="eastAsia" w:ascii="仿宋_GB2312" w:hAnsi="仿宋_GB2312" w:eastAsia="仿宋_GB2312" w:cs="仿宋_GB2312"/>
          <w:b w:val="0"/>
          <w:bCs w:val="0"/>
          <w:color w:val="auto"/>
          <w:sz w:val="32"/>
          <w:szCs w:val="32"/>
          <w:highlight w:val="none"/>
          <w:shd w:val="clear" w:color="auto" w:fill="auto"/>
          <w:lang w:val="en-US" w:eastAsia="zh-CN"/>
        </w:rPr>
        <w:t>服务方</w:t>
      </w:r>
      <w:r>
        <w:rPr>
          <w:rFonts w:hint="default" w:ascii="仿宋_GB2312" w:hAnsi="仿宋_GB2312" w:eastAsia="仿宋_GB2312" w:cs="仿宋_GB2312"/>
          <w:b w:val="0"/>
          <w:bCs w:val="0"/>
          <w:color w:val="auto"/>
          <w:sz w:val="32"/>
          <w:szCs w:val="32"/>
          <w:highlight w:val="none"/>
          <w:shd w:val="clear" w:color="auto" w:fill="auto"/>
          <w:lang w:val="en-US" w:eastAsia="zh-CN"/>
        </w:rPr>
        <w:t>相应服务费用。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楷体" w:hAnsi="楷体" w:eastAsia="楷体" w:cs="楷体"/>
          <w:color w:val="auto"/>
          <w:sz w:val="32"/>
          <w:szCs w:val="32"/>
          <w:highlight w:val="none"/>
          <w:lang w:val="en-US" w:eastAsia="zh-CN" w:bidi="ar-SA"/>
        </w:rPr>
      </w:pPr>
      <w:r>
        <w:rPr>
          <w:rFonts w:hint="eastAsia" w:ascii="楷体_GB2312" w:hAnsi="楷体_GB2312" w:eastAsia="楷体_GB2312" w:cs="楷体_GB2312"/>
          <w:sz w:val="32"/>
          <w:szCs w:val="32"/>
          <w:highlight w:val="none"/>
          <w:lang w:val="en-US" w:eastAsia="zh-CN"/>
        </w:rPr>
        <w:t>（五）</w:t>
      </w:r>
      <w:r>
        <w:rPr>
          <w:rFonts w:hint="eastAsia" w:ascii="楷体" w:hAnsi="楷体" w:eastAsia="楷体" w:cs="楷体"/>
          <w:color w:val="auto"/>
          <w:sz w:val="32"/>
          <w:szCs w:val="32"/>
          <w:highlight w:val="none"/>
          <w:lang w:val="en-US" w:eastAsia="zh-CN" w:bidi="ar-SA"/>
        </w:rPr>
        <w:t>项目绩效</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通过开展环境保护宣传教育项目，认真做好重点工作的宣传和报道，坚持正面引导、稳妥发声，运用多种媒体宣传平台，及时准确发布权威信息；结合重要环保节点，积极开展主题宣传活动，通过线上线下融合，不断创新宣传内容，发挥社会宣传作用，提高公众生态文明理念；做好网络舆情收集监控工作，防范生态环境舆情风险，及时掌握动态、及时报告，为我市生态环境保护工作提供技术支撑，充分发挥新闻宣传、社会宣传及舆论监督作用，为生态环境工作营造良好氛围。</w:t>
      </w: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rPr>
      </w:pPr>
      <w:r>
        <w:rPr>
          <w:rFonts w:hint="eastAsia" w:ascii="黑体" w:hAnsi="黑体" w:eastAsia="黑体" w:cs="黑体"/>
          <w:b w:val="0"/>
          <w:bCs/>
          <w:sz w:val="32"/>
          <w:szCs w:val="32"/>
        </w:rPr>
        <w:t>附件3</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r>
        <w:rPr>
          <w:rFonts w:hint="eastAsia" w:ascii="仿宋_GB2312" w:hAnsi="仿宋_GB2312" w:eastAsia="仿宋_GB2312" w:cs="仿宋_GB2312"/>
          <w:b/>
          <w:sz w:val="36"/>
        </w:rPr>
        <w:t>正本(副本)</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rPr>
      </w:pPr>
    </w:p>
    <w:p>
      <w:pPr>
        <w:pStyle w:val="21"/>
        <w:rPr>
          <w:rFonts w:ascii="仿宋_GB2312" w:hAnsi="仿宋_GB2312" w:eastAsia="仿宋_GB2312" w:cs="仿宋_GB2312"/>
          <w:b/>
          <w:sz w:val="48"/>
        </w:rPr>
      </w:pPr>
    </w:p>
    <w:p>
      <w:pPr>
        <w:pStyle w:val="22"/>
      </w:pPr>
    </w:p>
    <w:p>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pPr>
        <w:pStyle w:val="21"/>
      </w:pPr>
    </w:p>
    <w:p>
      <w:pPr>
        <w:pStyle w:val="22"/>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21"/>
      </w:pPr>
    </w:p>
    <w:p>
      <w:pPr>
        <w:pStyle w:val="22"/>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21"/>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ascii="仿宋_GB2312" w:hAnsi="仿宋_GB2312" w:eastAsia="仿宋_GB2312" w:cs="仿宋_GB2312"/>
          <w:b/>
          <w:sz w:val="30"/>
        </w:rPr>
        <w:br w:type="page"/>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报价承诺函</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r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致: </w:t>
      </w:r>
      <w:r>
        <w:rPr>
          <w:rFonts w:hint="eastAsia" w:ascii="仿宋_GB2312" w:hAnsi="仿宋_GB2312" w:eastAsia="仿宋_GB2312" w:cs="仿宋_GB2312"/>
          <w:sz w:val="28"/>
          <w:highlight w:val="none"/>
          <w:lang w:eastAsia="zh-CN"/>
        </w:rPr>
        <w:t>XXX（单位）</w:t>
      </w:r>
      <w:r>
        <w:rPr>
          <w:rFonts w:hint="eastAsia" w:ascii="仿宋_GB2312" w:hAnsi="仿宋_GB2312" w:eastAsia="仿宋_GB2312" w:cs="仿宋_GB2312"/>
          <w:sz w:val="28"/>
        </w:rPr>
        <w:t>:</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提交下述文件正本一份和副本贰份</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初始报价表</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采购项目报价简要说明</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二次报价表</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据此函，法人授权委托代理人代表宣布如下</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w:t>
      </w:r>
      <w:r>
        <w:rPr>
          <w:rFonts w:hint="eastAsia" w:ascii="仿宋_GB2312" w:hAnsi="仿宋_GB2312" w:eastAsia="仿宋_GB2312" w:cs="仿宋_GB2312"/>
          <w:sz w:val="28"/>
          <w:szCs w:val="28"/>
          <w:lang w:eastAsia="zh-CN"/>
        </w:rPr>
        <w:t>设备</w:t>
      </w:r>
      <w:r>
        <w:rPr>
          <w:rFonts w:hint="eastAsia" w:ascii="仿宋_GB2312" w:hAnsi="仿宋_GB2312" w:eastAsia="仿宋_GB2312" w:cs="仿宋_GB2312"/>
          <w:sz w:val="28"/>
          <w:szCs w:val="28"/>
        </w:rPr>
        <w:t>方案、采购明细、技术参数、实现的功能或者目标等），我们完全理解并同意放弃对此方面有不明及误解的权利。</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pPr>
        <w:pStyle w:val="21"/>
        <w:rPr>
          <w:rFonts w:hint="eastAsia"/>
        </w:rPr>
      </w:pPr>
    </w:p>
    <w:p>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pPr>
        <w:pStyle w:val="21"/>
        <w:rPr>
          <w:rFonts w:hint="eastAsia"/>
        </w:rPr>
      </w:pPr>
    </w:p>
    <w:p>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3"/>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初始报价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9"/>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pPr>
        <w:pStyle w:val="9"/>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3"/>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型号规格</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单位：元</w:t>
            </w:r>
          </w:p>
        </w:tc>
      </w:tr>
    </w:tbl>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3"/>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二次报价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9"/>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pPr>
        <w:pStyle w:val="9"/>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授权委托书</w:t>
      </w:r>
    </w:p>
    <w:p>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rPr>
      </w:pP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w:t>
      </w:r>
      <w:r>
        <w:rPr>
          <w:rFonts w:hint="eastAsia" w:ascii="仿宋_GB2312" w:hAnsi="仿宋_GB2312" w:eastAsia="仿宋_GB2312" w:cs="仿宋_GB2312"/>
          <w:sz w:val="28"/>
          <w:lang w:eastAsia="zh-CN"/>
        </w:rPr>
        <w:t>单位</w:t>
      </w:r>
      <w:r>
        <w:rPr>
          <w:rFonts w:hint="eastAsia" w:ascii="仿宋_GB2312" w:hAnsi="仿宋_GB2312" w:eastAsia="仿宋_GB2312" w:cs="仿宋_GB2312"/>
          <w:sz w:val="28"/>
        </w:rPr>
        <w:t>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highlight w:val="none"/>
          <w:u w:val="single"/>
        </w:rPr>
        <w:t>XXX（单位）</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                性别：    年龄：</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单位：                  职务：    身份证号：</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固定电话：</w:t>
      </w:r>
      <w:r>
        <w:rPr>
          <w:rFonts w:hint="eastAsia" w:ascii="仿宋_GB2312" w:hAnsi="仿宋_GB2312" w:eastAsia="仿宋_GB2312" w:cs="仿宋_GB2312"/>
          <w:sz w:val="28"/>
          <w:lang w:val="en-US" w:eastAsia="zh-CN"/>
        </w:rPr>
        <w:t xml:space="preserve">              手机号码：</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报价单位：（盖章）</w:t>
      </w: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法定代表人：（盖章）</w:t>
      </w:r>
    </w:p>
    <w:p>
      <w:pPr>
        <w:pStyle w:val="21"/>
        <w:rPr>
          <w:rFonts w:hint="eastAsia" w:ascii="仿宋_GB2312" w:hAnsi="仿宋_GB2312" w:eastAsia="仿宋_GB2312" w:cs="仿宋_GB2312"/>
          <w:sz w:val="28"/>
        </w:rPr>
      </w:pPr>
    </w:p>
    <w:p>
      <w:pPr>
        <w:pStyle w:val="22"/>
        <w:rPr>
          <w:rFonts w:hint="eastAsia"/>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pStyle w:val="21"/>
        <w:rPr>
          <w:rFonts w:hint="eastAsia"/>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lang w:val="en-US" w:eastAsia="zh-CN"/>
        </w:rPr>
        <w:t>XXX（单位）</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lang w:val="en-US" w:eastAsia="zh-CN"/>
        </w:rPr>
        <w:t>XXX项目</w:t>
      </w:r>
      <w:r>
        <w:rPr>
          <w:rFonts w:hint="eastAsia" w:ascii="方正小标宋_GBK" w:hAnsi="方正小标宋_GBK" w:eastAsia="方正小标宋_GBK" w:cs="方正小标宋_GBK"/>
          <w:bCs/>
          <w:sz w:val="44"/>
          <w:szCs w:val="44"/>
        </w:rPr>
        <w:t>询价告知卡</w:t>
      </w:r>
    </w:p>
    <w:p>
      <w:pPr>
        <w:pStyle w:val="30"/>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rPr>
      </w:pP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XXX（单位）关于XXX项目</w:t>
      </w:r>
      <w:r>
        <w:rPr>
          <w:rFonts w:hint="eastAsia" w:ascii="方正小标宋_GBK" w:hAnsi="方正小标宋_GBK" w:eastAsia="方正小标宋_GBK" w:cs="方正小标宋_GBK"/>
          <w:b w:val="0"/>
          <w:bCs/>
          <w:sz w:val="32"/>
          <w:szCs w:val="32"/>
        </w:rPr>
        <w:t>的询价信息公告”是否阅知？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XXX（单位）XXX项目询价要求及流程</w:t>
      </w:r>
      <w:r>
        <w:rPr>
          <w:rFonts w:hint="eastAsia" w:ascii="方正小标宋_GBK" w:hAnsi="方正小标宋_GBK" w:eastAsia="方正小标宋_GBK" w:cs="方正小标宋_GBK"/>
          <w:b w:val="0"/>
          <w:bCs/>
          <w:sz w:val="32"/>
          <w:szCs w:val="32"/>
        </w:rPr>
        <w:t>”是否阅知？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XXX（单位）XXX项目工作方案</w:t>
      </w:r>
      <w:r>
        <w:rPr>
          <w:rFonts w:hint="eastAsia" w:ascii="方正小标宋_GBK" w:hAnsi="方正小标宋_GBK" w:eastAsia="方正小标宋_GBK" w:cs="方正小标宋_GBK"/>
          <w:b w:val="0"/>
          <w:bCs/>
          <w:sz w:val="32"/>
          <w:szCs w:val="32"/>
        </w:rPr>
        <w:t>”及采购需求是否阅知？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Cambria">
    <w:altName w:val="Noto Sans Syriac Eastern"/>
    <w:panose1 w:val="02040503050406030204"/>
    <w:charset w:val="00"/>
    <w:family w:val="roman"/>
    <w:pitch w:val="default"/>
    <w:sig w:usb0="00000000" w:usb1="00000000" w:usb2="00000000" w:usb3="00000000" w:csb0="2000019F" w:csb1="00000000"/>
  </w:font>
  <w:font w:name="Noto Sans Syriac Eastern">
    <w:panose1 w:val="02040503050306020203"/>
    <w:charset w:val="86"/>
    <w:family w:val="auto"/>
    <w:pitch w:val="default"/>
    <w:sig w:usb0="00000000" w:usb1="00000000" w:usb2="00000080" w:usb3="00000000" w:csb0="203E0161" w:csb1="D7FF0000"/>
  </w:font>
  <w:font w:name="仿宋">
    <w:altName w:val="方正仿宋_GBK"/>
    <w:panose1 w:val="02010609060101010101"/>
    <w:charset w:val="86"/>
    <w:family w:val="modern"/>
    <w:pitch w:val="default"/>
    <w:sig w:usb0="00000000" w:usb1="00000000"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00"/>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华文仿宋">
    <w:altName w:val="方正仿宋_GBK"/>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D7033C"/>
    <w:multiLevelType w:val="singleLevel"/>
    <w:tmpl w:val="FFD7033C"/>
    <w:lvl w:ilvl="0" w:tentative="0">
      <w:start w:val="1"/>
      <w:numFmt w:val="decimal"/>
      <w:suff w:val="nothing"/>
      <w:lvlText w:val="（%1）"/>
      <w:lvlJc w:val="left"/>
    </w:lvl>
  </w:abstractNum>
  <w:abstractNum w:abstractNumId="1">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4"/>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3">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4">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5">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1"/>
  </w:num>
  <w:num w:numId="2">
    <w:abstractNumId w:val="0"/>
  </w:num>
  <w:num w:numId="3">
    <w:abstractNumId w:val="3"/>
  </w:num>
  <w:num w:numId="4">
    <w:abstractNumId w:val="4"/>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D53C37"/>
    <w:rsid w:val="02B80751"/>
    <w:rsid w:val="034E7427"/>
    <w:rsid w:val="054637EC"/>
    <w:rsid w:val="05AA1AAE"/>
    <w:rsid w:val="05C20325"/>
    <w:rsid w:val="06FF4152"/>
    <w:rsid w:val="0BA31992"/>
    <w:rsid w:val="0C63233E"/>
    <w:rsid w:val="0CD60C9A"/>
    <w:rsid w:val="0E88796A"/>
    <w:rsid w:val="0EC0759D"/>
    <w:rsid w:val="0EDF32A9"/>
    <w:rsid w:val="105B6A84"/>
    <w:rsid w:val="10BD0069"/>
    <w:rsid w:val="10E34450"/>
    <w:rsid w:val="11E76B9F"/>
    <w:rsid w:val="12684593"/>
    <w:rsid w:val="1320369B"/>
    <w:rsid w:val="13325751"/>
    <w:rsid w:val="135D040F"/>
    <w:rsid w:val="13621EEC"/>
    <w:rsid w:val="138564F0"/>
    <w:rsid w:val="13AA5E2B"/>
    <w:rsid w:val="13D73627"/>
    <w:rsid w:val="13E41600"/>
    <w:rsid w:val="15A52F2E"/>
    <w:rsid w:val="17C821C3"/>
    <w:rsid w:val="18C563ED"/>
    <w:rsid w:val="194A05B4"/>
    <w:rsid w:val="1AC66850"/>
    <w:rsid w:val="1B8D5C41"/>
    <w:rsid w:val="1E486234"/>
    <w:rsid w:val="1F012D15"/>
    <w:rsid w:val="1F6623C1"/>
    <w:rsid w:val="20304FD0"/>
    <w:rsid w:val="204E102B"/>
    <w:rsid w:val="213868ED"/>
    <w:rsid w:val="219A57C2"/>
    <w:rsid w:val="222840E4"/>
    <w:rsid w:val="22DF2C0B"/>
    <w:rsid w:val="238D0876"/>
    <w:rsid w:val="23973171"/>
    <w:rsid w:val="24BB6482"/>
    <w:rsid w:val="275D3454"/>
    <w:rsid w:val="27D2138F"/>
    <w:rsid w:val="2805730B"/>
    <w:rsid w:val="28D94CC5"/>
    <w:rsid w:val="28E145A1"/>
    <w:rsid w:val="2901229F"/>
    <w:rsid w:val="29BC1BEA"/>
    <w:rsid w:val="2A962289"/>
    <w:rsid w:val="2B57444A"/>
    <w:rsid w:val="2BCD7650"/>
    <w:rsid w:val="2C770D7D"/>
    <w:rsid w:val="2D5A65C5"/>
    <w:rsid w:val="2D7F55C2"/>
    <w:rsid w:val="2DEB62CF"/>
    <w:rsid w:val="2E922A59"/>
    <w:rsid w:val="2EB57CCE"/>
    <w:rsid w:val="2F811C83"/>
    <w:rsid w:val="2F9013C2"/>
    <w:rsid w:val="3156643E"/>
    <w:rsid w:val="32BC67A5"/>
    <w:rsid w:val="32D76267"/>
    <w:rsid w:val="332609ED"/>
    <w:rsid w:val="33433250"/>
    <w:rsid w:val="334B05FA"/>
    <w:rsid w:val="346A24A1"/>
    <w:rsid w:val="36336D3C"/>
    <w:rsid w:val="37664A4B"/>
    <w:rsid w:val="376A10BB"/>
    <w:rsid w:val="37D31B27"/>
    <w:rsid w:val="3A3F6D53"/>
    <w:rsid w:val="3A9F725A"/>
    <w:rsid w:val="3B2535D0"/>
    <w:rsid w:val="3C3314A1"/>
    <w:rsid w:val="3C771D8C"/>
    <w:rsid w:val="3ED04B63"/>
    <w:rsid w:val="3F345B9D"/>
    <w:rsid w:val="3FC2791B"/>
    <w:rsid w:val="3FCD703E"/>
    <w:rsid w:val="403959A7"/>
    <w:rsid w:val="42B43088"/>
    <w:rsid w:val="44127729"/>
    <w:rsid w:val="45330549"/>
    <w:rsid w:val="47D64CBF"/>
    <w:rsid w:val="486D2B74"/>
    <w:rsid w:val="48BA422E"/>
    <w:rsid w:val="49862862"/>
    <w:rsid w:val="4A103E4C"/>
    <w:rsid w:val="4B34396A"/>
    <w:rsid w:val="4B562B1E"/>
    <w:rsid w:val="4C900CC1"/>
    <w:rsid w:val="4D4E52B1"/>
    <w:rsid w:val="4E276751"/>
    <w:rsid w:val="4E486040"/>
    <w:rsid w:val="4FEF3446"/>
    <w:rsid w:val="50120259"/>
    <w:rsid w:val="5096171E"/>
    <w:rsid w:val="50FD61CC"/>
    <w:rsid w:val="52B30142"/>
    <w:rsid w:val="52B34A6D"/>
    <w:rsid w:val="535165EE"/>
    <w:rsid w:val="53EA4A51"/>
    <w:rsid w:val="545E3EDB"/>
    <w:rsid w:val="546A57C4"/>
    <w:rsid w:val="54BD7D6C"/>
    <w:rsid w:val="54E16872"/>
    <w:rsid w:val="55223BCA"/>
    <w:rsid w:val="56561DB1"/>
    <w:rsid w:val="569F214B"/>
    <w:rsid w:val="580426D3"/>
    <w:rsid w:val="59B11BB7"/>
    <w:rsid w:val="59CD4E8E"/>
    <w:rsid w:val="59FF1043"/>
    <w:rsid w:val="5A312564"/>
    <w:rsid w:val="5A431531"/>
    <w:rsid w:val="5B4A3877"/>
    <w:rsid w:val="5B5F0B54"/>
    <w:rsid w:val="5B7F49C4"/>
    <w:rsid w:val="5B8649E8"/>
    <w:rsid w:val="5EAE0D08"/>
    <w:rsid w:val="5F0919A4"/>
    <w:rsid w:val="60456754"/>
    <w:rsid w:val="617625B0"/>
    <w:rsid w:val="61817A1F"/>
    <w:rsid w:val="620F2B8A"/>
    <w:rsid w:val="62517FC0"/>
    <w:rsid w:val="62720114"/>
    <w:rsid w:val="627853EA"/>
    <w:rsid w:val="638C03E2"/>
    <w:rsid w:val="64481E81"/>
    <w:rsid w:val="645131D3"/>
    <w:rsid w:val="659C40EE"/>
    <w:rsid w:val="66302E0F"/>
    <w:rsid w:val="66DB693F"/>
    <w:rsid w:val="672B0915"/>
    <w:rsid w:val="67AB00FD"/>
    <w:rsid w:val="67BE26CC"/>
    <w:rsid w:val="680A67C8"/>
    <w:rsid w:val="68837F16"/>
    <w:rsid w:val="68E07AEE"/>
    <w:rsid w:val="69006831"/>
    <w:rsid w:val="6A4A6515"/>
    <w:rsid w:val="6A640F76"/>
    <w:rsid w:val="6A776AB7"/>
    <w:rsid w:val="6BCBD27A"/>
    <w:rsid w:val="6DD00BA9"/>
    <w:rsid w:val="6DE50CBC"/>
    <w:rsid w:val="6E2C46FB"/>
    <w:rsid w:val="6F125D61"/>
    <w:rsid w:val="6FB765E9"/>
    <w:rsid w:val="70642025"/>
    <w:rsid w:val="70F652BC"/>
    <w:rsid w:val="71407CFA"/>
    <w:rsid w:val="726C6ADB"/>
    <w:rsid w:val="751F4904"/>
    <w:rsid w:val="759706CC"/>
    <w:rsid w:val="762941A2"/>
    <w:rsid w:val="76536B40"/>
    <w:rsid w:val="76D36788"/>
    <w:rsid w:val="77D53717"/>
    <w:rsid w:val="784D55E5"/>
    <w:rsid w:val="7C115EE7"/>
    <w:rsid w:val="7D242C86"/>
    <w:rsid w:val="7DB741B3"/>
    <w:rsid w:val="7DBE5B9D"/>
    <w:rsid w:val="7E1A6E9E"/>
    <w:rsid w:val="7F50046D"/>
    <w:rsid w:val="7F7BEA8C"/>
    <w:rsid w:val="7FB23D36"/>
    <w:rsid w:val="EFD78D95"/>
    <w:rsid w:val="FD3DB9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jc w:val="left"/>
      <w:outlineLvl w:val="0"/>
    </w:pPr>
    <w:rPr>
      <w:rFonts w:ascii="宋体" w:hAnsi="宋体"/>
      <w:b/>
      <w:sz w:val="32"/>
      <w:szCs w:val="20"/>
    </w:rPr>
  </w:style>
  <w:style w:type="paragraph" w:styleId="3">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4">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5">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6">
    <w:name w:val="heading 5"/>
    <w:basedOn w:val="1"/>
    <w:next w:val="1"/>
    <w:unhideWhenUsed/>
    <w:qFormat/>
    <w:uiPriority w:val="0"/>
    <w:pPr>
      <w:keepNext/>
      <w:keepLines/>
      <w:spacing w:before="280" w:after="290" w:line="376" w:lineRule="atLeast"/>
      <w:outlineLvl w:val="4"/>
    </w:pPr>
    <w:rPr>
      <w:bCs/>
      <w:szCs w:val="28"/>
    </w:rPr>
  </w:style>
  <w:style w:type="character" w:default="1" w:styleId="25">
    <w:name w:val="Default Paragraph Font"/>
    <w:unhideWhenUsed/>
    <w:qFormat/>
    <w:uiPriority w:val="1"/>
  </w:style>
  <w:style w:type="table" w:default="1" w:styleId="23">
    <w:name w:val="Normal Table"/>
    <w:unhideWhenUsed/>
    <w:qFormat/>
    <w:uiPriority w:val="99"/>
    <w:tblPr>
      <w:tblCellMar>
        <w:top w:w="0" w:type="dxa"/>
        <w:left w:w="108" w:type="dxa"/>
        <w:bottom w:w="0" w:type="dxa"/>
        <w:right w:w="108" w:type="dxa"/>
      </w:tblCellMar>
    </w:tblPr>
  </w:style>
  <w:style w:type="paragraph" w:styleId="7">
    <w:name w:val="Normal Indent"/>
    <w:basedOn w:val="1"/>
    <w:qFormat/>
    <w:uiPriority w:val="0"/>
    <w:pPr>
      <w:spacing w:line="360" w:lineRule="auto"/>
      <w:ind w:firstLine="420"/>
    </w:pPr>
    <w:rPr>
      <w:szCs w:val="20"/>
    </w:rPr>
  </w:style>
  <w:style w:type="paragraph" w:styleId="8">
    <w:name w:val="annotation text"/>
    <w:basedOn w:val="1"/>
    <w:link w:val="39"/>
    <w:qFormat/>
    <w:uiPriority w:val="0"/>
    <w:pPr>
      <w:jc w:val="left"/>
    </w:pPr>
  </w:style>
  <w:style w:type="paragraph" w:styleId="9">
    <w:name w:val="Body Text"/>
    <w:basedOn w:val="1"/>
    <w:qFormat/>
    <w:uiPriority w:val="0"/>
    <w:pPr>
      <w:jc w:val="center"/>
    </w:pPr>
    <w:rPr>
      <w:rFonts w:ascii="宋体"/>
      <w:b/>
      <w:sz w:val="48"/>
    </w:rPr>
  </w:style>
  <w:style w:type="paragraph" w:styleId="10">
    <w:name w:val="Body Text Indent"/>
    <w:basedOn w:val="1"/>
    <w:unhideWhenUsed/>
    <w:qFormat/>
    <w:uiPriority w:val="99"/>
    <w:pPr>
      <w:spacing w:after="120"/>
      <w:ind w:left="420" w:leftChars="200"/>
    </w:pPr>
    <w:rPr>
      <w:rFonts w:ascii="Times New Roman" w:hAnsi="Times New Roman" w:eastAsia="宋体" w:cs="Times New Roman"/>
      <w:szCs w:val="24"/>
    </w:rPr>
  </w:style>
  <w:style w:type="paragraph" w:styleId="11">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2">
    <w:name w:val="Balloon Text"/>
    <w:basedOn w:val="1"/>
    <w:link w:val="41"/>
    <w:qFormat/>
    <w:uiPriority w:val="0"/>
    <w:rPr>
      <w:sz w:val="18"/>
      <w:szCs w:val="18"/>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5">
    <w:name w:val="toc 1"/>
    <w:basedOn w:val="1"/>
    <w:next w:val="1"/>
    <w:qFormat/>
    <w:uiPriority w:val="0"/>
    <w:pPr>
      <w:spacing w:before="120" w:after="120"/>
      <w:jc w:val="left"/>
    </w:pPr>
    <w:rPr>
      <w:b/>
      <w:bCs/>
      <w:caps/>
    </w:rPr>
  </w:style>
  <w:style w:type="paragraph" w:styleId="16">
    <w:name w:val="toc 4"/>
    <w:basedOn w:val="1"/>
    <w:next w:val="1"/>
    <w:qFormat/>
    <w:uiPriority w:val="0"/>
    <w:pPr>
      <w:ind w:left="1260" w:leftChars="600"/>
    </w:pPr>
  </w:style>
  <w:style w:type="paragraph" w:styleId="17">
    <w:name w:val="Body Text Indent 3"/>
    <w:basedOn w:val="1"/>
    <w:qFormat/>
    <w:uiPriority w:val="0"/>
    <w:pPr>
      <w:ind w:firstLine="560" w:firstLineChars="200"/>
    </w:pPr>
    <w:rPr>
      <w:rFonts w:ascii="仿宋_GB2312" w:eastAsia="仿宋_GB2312"/>
      <w:sz w:val="28"/>
    </w:rPr>
  </w:style>
  <w:style w:type="paragraph" w:styleId="18">
    <w:name w:val="toc 2"/>
    <w:basedOn w:val="1"/>
    <w:next w:val="1"/>
    <w:qFormat/>
    <w:uiPriority w:val="0"/>
    <w:pPr>
      <w:tabs>
        <w:tab w:val="right" w:leader="dot" w:pos="9038"/>
      </w:tabs>
      <w:spacing w:line="60" w:lineRule="atLeast"/>
      <w:ind w:left="210"/>
      <w:jc w:val="left"/>
    </w:pPr>
    <w:rPr>
      <w:smallCaps/>
    </w:rPr>
  </w:style>
  <w:style w:type="paragraph" w:styleId="19">
    <w:name w:val="Normal (Web)"/>
    <w:basedOn w:val="1"/>
    <w:qFormat/>
    <w:uiPriority w:val="0"/>
    <w:rPr>
      <w:rFonts w:ascii="Calibri" w:hAnsi="Calibri" w:eastAsia="宋体" w:cs="Times New Roman"/>
      <w:sz w:val="24"/>
    </w:rPr>
  </w:style>
  <w:style w:type="paragraph" w:styleId="20">
    <w:name w:val="annotation subject"/>
    <w:basedOn w:val="8"/>
    <w:next w:val="8"/>
    <w:link w:val="40"/>
    <w:qFormat/>
    <w:uiPriority w:val="0"/>
    <w:rPr>
      <w:b/>
      <w:bCs/>
    </w:rPr>
  </w:style>
  <w:style w:type="paragraph" w:styleId="21">
    <w:name w:val="Body Text First Indent"/>
    <w:basedOn w:val="9"/>
    <w:next w:val="22"/>
    <w:unhideWhenUsed/>
    <w:qFormat/>
    <w:uiPriority w:val="99"/>
    <w:pPr>
      <w:ind w:firstLine="420" w:firstLineChars="100"/>
    </w:pPr>
  </w:style>
  <w:style w:type="paragraph" w:styleId="22">
    <w:name w:val="Body Text First Indent 2"/>
    <w:basedOn w:val="10"/>
    <w:unhideWhenUsed/>
    <w:qFormat/>
    <w:uiPriority w:val="99"/>
    <w:pPr>
      <w:ind w:firstLine="420" w:firstLineChars="200"/>
    </w:pPr>
  </w:style>
  <w:style w:type="table" w:styleId="24">
    <w:name w:val="Table Grid"/>
    <w:basedOn w:val="2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page number"/>
    <w:basedOn w:val="25"/>
    <w:qFormat/>
    <w:uiPriority w:val="0"/>
  </w:style>
  <w:style w:type="character" w:styleId="27">
    <w:name w:val="Hyperlink"/>
    <w:basedOn w:val="25"/>
    <w:qFormat/>
    <w:uiPriority w:val="0"/>
    <w:rPr>
      <w:color w:val="0000FF"/>
      <w:u w:val="single"/>
    </w:rPr>
  </w:style>
  <w:style w:type="character" w:styleId="28">
    <w:name w:val="annotation reference"/>
    <w:basedOn w:val="25"/>
    <w:qFormat/>
    <w:uiPriority w:val="0"/>
    <w:rPr>
      <w:sz w:val="21"/>
      <w:szCs w:val="21"/>
    </w:rPr>
  </w:style>
  <w:style w:type="paragraph" w:customStyle="1" w:styleId="29">
    <w:name w:val="Char"/>
    <w:basedOn w:val="1"/>
    <w:qFormat/>
    <w:uiPriority w:val="0"/>
    <w:rPr>
      <w:szCs w:val="20"/>
    </w:rPr>
  </w:style>
  <w:style w:type="paragraph" w:customStyle="1" w:styleId="30">
    <w:name w:val="表格文字"/>
    <w:basedOn w:val="1"/>
    <w:next w:val="9"/>
    <w:qFormat/>
    <w:uiPriority w:val="0"/>
    <w:pPr>
      <w:spacing w:line="360" w:lineRule="auto"/>
      <w:jc w:val="left"/>
    </w:pPr>
    <w:rPr>
      <w:rFonts w:ascii="Times New Roman" w:hAnsi="Times New Roman"/>
      <w:bCs/>
      <w:spacing w:val="10"/>
      <w:kern w:val="0"/>
      <w:szCs w:val="21"/>
    </w:rPr>
  </w:style>
  <w:style w:type="paragraph" w:customStyle="1" w:styleId="31">
    <w:name w:val="正文1"/>
    <w:basedOn w:val="32"/>
    <w:qFormat/>
    <w:uiPriority w:val="0"/>
    <w:pPr>
      <w:jc w:val="both"/>
    </w:pPr>
    <w:rPr>
      <w:rFonts w:ascii="Times New Roman" w:hAnsi="Times New Roman" w:eastAsia="Times New Roman"/>
      <w:sz w:val="21"/>
    </w:rPr>
  </w:style>
  <w:style w:type="paragraph" w:customStyle="1" w:styleId="32">
    <w:name w:val="[Normal]"/>
    <w:qFormat/>
    <w:uiPriority w:val="0"/>
    <w:rPr>
      <w:rFonts w:ascii="宋体" w:hAnsi="宋体" w:eastAsiaTheme="minorEastAsia" w:cstheme="minorBidi"/>
      <w:sz w:val="24"/>
      <w:szCs w:val="22"/>
      <w:lang w:val="en-US" w:eastAsia="en-US" w:bidi="ar-SA"/>
    </w:rPr>
  </w:style>
  <w:style w:type="paragraph" w:customStyle="1" w:styleId="33">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4">
    <w:name w:val="C503-正文格式"/>
    <w:basedOn w:val="1"/>
    <w:qFormat/>
    <w:uiPriority w:val="0"/>
    <w:pPr>
      <w:spacing w:line="360" w:lineRule="auto"/>
      <w:ind w:firstLine="480" w:firstLineChars="200"/>
    </w:pPr>
    <w:rPr>
      <w:rFonts w:cs="宋体"/>
      <w:sz w:val="24"/>
      <w:szCs w:val="22"/>
    </w:rPr>
  </w:style>
  <w:style w:type="character" w:customStyle="1" w:styleId="35">
    <w:name w:val="font51"/>
    <w:basedOn w:val="25"/>
    <w:qFormat/>
    <w:uiPriority w:val="0"/>
    <w:rPr>
      <w:rFonts w:hint="eastAsia" w:ascii="仿宋" w:hAnsi="仿宋" w:eastAsia="仿宋" w:cs="仿宋"/>
      <w:color w:val="000000"/>
      <w:sz w:val="22"/>
      <w:szCs w:val="22"/>
      <w:u w:val="none"/>
    </w:rPr>
  </w:style>
  <w:style w:type="table" w:customStyle="1" w:styleId="36">
    <w:name w:val="网格型8"/>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7">
    <w:name w:val="列出段落1"/>
    <w:basedOn w:val="1"/>
    <w:qFormat/>
    <w:uiPriority w:val="34"/>
    <w:pPr>
      <w:ind w:firstLine="420"/>
    </w:pPr>
  </w:style>
  <w:style w:type="character" w:customStyle="1" w:styleId="38">
    <w:name w:val="font31"/>
    <w:basedOn w:val="25"/>
    <w:qFormat/>
    <w:uiPriority w:val="0"/>
    <w:rPr>
      <w:rFonts w:hint="eastAsia" w:ascii="宋体" w:hAnsi="宋体" w:eastAsia="宋体" w:cs="宋体"/>
      <w:color w:val="000000"/>
      <w:sz w:val="24"/>
      <w:szCs w:val="24"/>
      <w:u w:val="none"/>
    </w:rPr>
  </w:style>
  <w:style w:type="character" w:customStyle="1" w:styleId="39">
    <w:name w:val="批注文字 字符"/>
    <w:basedOn w:val="25"/>
    <w:link w:val="8"/>
    <w:qFormat/>
    <w:uiPriority w:val="0"/>
    <w:rPr>
      <w:rFonts w:asciiTheme="minorHAnsi" w:hAnsiTheme="minorHAnsi" w:eastAsiaTheme="minorEastAsia" w:cstheme="minorBidi"/>
      <w:kern w:val="2"/>
      <w:sz w:val="21"/>
      <w:szCs w:val="24"/>
    </w:rPr>
  </w:style>
  <w:style w:type="character" w:customStyle="1" w:styleId="40">
    <w:name w:val="批注主题 字符"/>
    <w:basedOn w:val="39"/>
    <w:link w:val="20"/>
    <w:qFormat/>
    <w:uiPriority w:val="0"/>
    <w:rPr>
      <w:rFonts w:asciiTheme="minorHAnsi" w:hAnsiTheme="minorHAnsi" w:eastAsiaTheme="minorEastAsia" w:cstheme="minorBidi"/>
      <w:b/>
      <w:bCs/>
      <w:kern w:val="2"/>
      <w:sz w:val="21"/>
      <w:szCs w:val="24"/>
    </w:rPr>
  </w:style>
  <w:style w:type="character" w:customStyle="1" w:styleId="41">
    <w:name w:val="批注框文本 字符"/>
    <w:basedOn w:val="25"/>
    <w:link w:val="12"/>
    <w:qFormat/>
    <w:uiPriority w:val="0"/>
    <w:rPr>
      <w:rFonts w:asciiTheme="minorHAnsi" w:hAnsiTheme="minorHAnsi" w:eastAsiaTheme="minorEastAsia" w:cstheme="minorBidi"/>
      <w:kern w:val="2"/>
      <w:sz w:val="18"/>
      <w:szCs w:val="18"/>
    </w:rPr>
  </w:style>
  <w:style w:type="paragraph" w:customStyle="1" w:styleId="42">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3">
    <w:name w:val="列表段落1"/>
    <w:basedOn w:val="1"/>
    <w:qFormat/>
    <w:uiPriority w:val="99"/>
    <w:pPr>
      <w:ind w:firstLine="420" w:firstLineChars="200"/>
    </w:pPr>
  </w:style>
  <w:style w:type="character" w:customStyle="1" w:styleId="44">
    <w:name w:val="未处理的提及1"/>
    <w:basedOn w:val="25"/>
    <w:unhideWhenUsed/>
    <w:qFormat/>
    <w:uiPriority w:val="99"/>
    <w:rPr>
      <w:color w:val="605E5C"/>
      <w:shd w:val="clear" w:color="auto" w:fill="E1DFDD"/>
    </w:rPr>
  </w:style>
  <w:style w:type="paragraph" w:customStyle="1" w:styleId="45">
    <w:name w:val="正文缩进1"/>
    <w:basedOn w:val="1"/>
    <w:qFormat/>
    <w:uiPriority w:val="0"/>
    <w:pPr>
      <w:ind w:firstLine="42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tyleName="APA" SelectedStyle="\APASixthEditionOfficeOnline.xsl" Version="6"/>
</file>

<file path=customXml/itemProps1.xml><?xml version="1.0" encoding="utf-8"?>
<ds:datastoreItem xmlns:ds="http://schemas.openxmlformats.org/officeDocument/2006/customXml" ds:itemID="{567B04EC-07C7-4E0E-AA78-E90E6A301CD3}">
  <ds:schemaRefs/>
</ds:datastoreItem>
</file>

<file path=docProps/app.xml><?xml version="1.0" encoding="utf-8"?>
<Properties xmlns="http://schemas.openxmlformats.org/officeDocument/2006/extended-properties" xmlns:vt="http://schemas.openxmlformats.org/officeDocument/2006/docPropsVTypes">
  <Template>Normal</Template>
  <Pages>24</Pages>
  <Words>815</Words>
  <Characters>4646</Characters>
  <Lines>38</Lines>
  <Paragraphs>10</Paragraphs>
  <TotalTime>4</TotalTime>
  <ScaleCrop>false</ScaleCrop>
  <LinksUpToDate>false</LinksUpToDate>
  <CharactersWithSpaces>5451</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2019-10-31T00:51:00Z</dcterms:created>
  <dc:creator>Administrator</dc:creator>
  <cp:lastModifiedBy>thtf</cp:lastModifiedBy>
  <cp:lastPrinted>2020-09-23T21:55:00Z</cp:lastPrinted>
  <dcterms:modified xsi:type="dcterms:W3CDTF">2026-04-28T17:24:20Z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6FCCEE8C62142EA1D5DBC9694A2223C8_42</vt:lpwstr>
  </property>
</Properties>
</file>