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5"/>
        <w:spacing w:line="680" w:lineRule="exact"/>
        <w:ind w:firstLine="0" w:firstLineChars="0"/>
        <w:jc w:val="center"/>
        <w:rPr>
          <w:rFonts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石家庄市环境监控中心</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关于地表水自动监测站运维项目01包的</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highlight w:val="none"/>
        </w:rPr>
      </w:pPr>
      <w:r>
        <w:rPr>
          <w:rFonts w:hint="eastAsia" w:ascii="方正小标宋简体" w:hAnsi="方正小标宋_GBK" w:eastAsia="方正小标宋简体" w:cs="方正小标宋_GBK"/>
          <w:bCs/>
          <w:sz w:val="44"/>
          <w:szCs w:val="44"/>
          <w:highlight w:val="none"/>
          <w:lang w:val="en-US" w:eastAsia="zh-CN"/>
        </w:rPr>
        <w:t>询价信息公告</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我单位根据政府采购相关规定及市财政局要求，现开展石家庄市环境监控中心</w:t>
      </w:r>
      <w:r>
        <w:rPr>
          <w:rFonts w:hint="eastAsia" w:ascii="仿宋_GB2312" w:hAnsi="仿宋_GB2312" w:eastAsia="仿宋_GB2312" w:cs="仿宋_GB2312"/>
          <w:b w:val="0"/>
          <w:bCs w:val="0"/>
          <w:color w:val="000000"/>
          <w:sz w:val="32"/>
          <w:szCs w:val="32"/>
          <w:highlight w:val="none"/>
          <w:lang w:val="en-US" w:eastAsia="zh-CN"/>
        </w:rPr>
        <w:t>地表水自动监测站运维项目01包</w:t>
      </w:r>
      <w:r>
        <w:rPr>
          <w:rFonts w:hint="eastAsia" w:ascii="仿宋_GB2312" w:hAnsi="仿宋_GB2312" w:eastAsia="仿宋_GB2312" w:cs="仿宋_GB2312"/>
          <w:bCs/>
          <w:sz w:val="32"/>
          <w:szCs w:val="32"/>
          <w:highlight w:val="none"/>
          <w:lang w:val="en-US" w:eastAsia="zh-CN"/>
        </w:rPr>
        <w:t>（预算金额：</w:t>
      </w:r>
      <w:r>
        <w:rPr>
          <w:rFonts w:hint="eastAsia" w:ascii="楷体_GB2312" w:hAnsi="楷体_GB2312" w:eastAsia="楷体_GB2312" w:cs="楷体_GB2312"/>
          <w:color w:val="auto"/>
          <w:sz w:val="32"/>
          <w:szCs w:val="32"/>
          <w:highlight w:val="none"/>
          <w:u w:val="single"/>
          <w:lang w:val="en-US" w:eastAsia="zh-CN"/>
        </w:rPr>
        <w:t>293.0598</w:t>
      </w:r>
      <w:r>
        <w:rPr>
          <w:rFonts w:hint="eastAsia" w:ascii="仿宋_GB2312" w:hAnsi="仿宋_GB2312" w:eastAsia="仿宋_GB2312" w:cs="仿宋_GB2312"/>
          <w:bCs/>
          <w:sz w:val="32"/>
          <w:szCs w:val="32"/>
          <w:highlight w:val="none"/>
          <w:u w:val="single"/>
          <w:lang w:val="en-US" w:eastAsia="zh-CN"/>
        </w:rPr>
        <w:t>万元）询价</w:t>
      </w:r>
      <w:r>
        <w:rPr>
          <w:rFonts w:hint="eastAsia" w:ascii="仿宋_GB2312" w:hAnsi="仿宋_GB2312" w:eastAsia="仿宋_GB2312" w:cs="仿宋_GB2312"/>
          <w:bCs/>
          <w:sz w:val="32"/>
          <w:szCs w:val="32"/>
          <w:highlight w:val="none"/>
        </w:rPr>
        <w:t>工作，请有意参</w:t>
      </w:r>
      <w:r>
        <w:rPr>
          <w:rFonts w:hint="eastAsia" w:ascii="仿宋_GB2312" w:hAnsi="仿宋_GB2312" w:eastAsia="仿宋_GB2312" w:cs="仿宋_GB2312"/>
          <w:bCs/>
          <w:sz w:val="32"/>
          <w:szCs w:val="32"/>
          <w:highlight w:val="none"/>
          <w:lang w:eastAsia="zh-CN"/>
        </w:rPr>
        <w:t>与</w:t>
      </w:r>
      <w:r>
        <w:rPr>
          <w:rFonts w:hint="eastAsia" w:ascii="仿宋_GB2312" w:hAnsi="仿宋_GB2312" w:eastAsia="仿宋_GB2312" w:cs="仿宋_GB2312"/>
          <w:bCs/>
          <w:sz w:val="32"/>
          <w:szCs w:val="32"/>
          <w:highlight w:val="none"/>
        </w:rPr>
        <w:t>的社会主体单位和组织自行下载有关附件，并按要求做好准备工作。</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
          <w:bCs w:val="0"/>
          <w:sz w:val="32"/>
          <w:szCs w:val="32"/>
          <w:highlight w:val="none"/>
          <w:u w:val="none"/>
          <w:lang w:val="en-US" w:eastAsia="zh-CN"/>
        </w:rPr>
      </w:pPr>
      <w:r>
        <w:rPr>
          <w:rFonts w:hint="eastAsia" w:ascii="仿宋_GB2312" w:hAnsi="仿宋_GB2312" w:eastAsia="仿宋_GB2312" w:cs="仿宋_GB2312"/>
          <w:b/>
          <w:bCs w:val="0"/>
          <w:color w:val="auto"/>
          <w:sz w:val="32"/>
          <w:szCs w:val="32"/>
          <w:highlight w:val="none"/>
        </w:rPr>
        <w:t>询价会时间：</w:t>
      </w:r>
      <w:bookmarkStart w:id="0" w:name="_GoBack"/>
      <w:r>
        <w:rPr>
          <w:rFonts w:hint="eastAsia" w:ascii="仿宋_GB2312" w:hAnsi="仿宋_GB2312" w:eastAsia="仿宋_GB2312" w:cs="仿宋_GB2312"/>
          <w:b/>
          <w:bCs w:val="0"/>
          <w:color w:val="auto"/>
          <w:sz w:val="32"/>
          <w:szCs w:val="32"/>
          <w:highlight w:val="none"/>
          <w:u w:val="single"/>
        </w:rPr>
        <w:t>20</w:t>
      </w:r>
      <w:r>
        <w:rPr>
          <w:rFonts w:hint="eastAsia" w:ascii="仿宋_GB2312" w:hAnsi="仿宋_GB2312" w:eastAsia="仿宋_GB2312" w:cs="仿宋_GB2312"/>
          <w:b/>
          <w:bCs w:val="0"/>
          <w:color w:val="auto"/>
          <w:sz w:val="32"/>
          <w:szCs w:val="32"/>
          <w:highlight w:val="none"/>
          <w:u w:val="single"/>
          <w:lang w:val="en-US" w:eastAsia="zh-CN"/>
        </w:rPr>
        <w:t>26</w:t>
      </w:r>
      <w:r>
        <w:rPr>
          <w:rFonts w:hint="eastAsia" w:ascii="仿宋_GB2312" w:hAnsi="仿宋_GB2312" w:eastAsia="仿宋_GB2312" w:cs="仿宋_GB2312"/>
          <w:b/>
          <w:bCs w:val="0"/>
          <w:color w:val="auto"/>
          <w:sz w:val="32"/>
          <w:szCs w:val="32"/>
          <w:highlight w:val="none"/>
          <w:u w:val="single"/>
        </w:rPr>
        <w:t>年</w:t>
      </w:r>
      <w:r>
        <w:rPr>
          <w:rFonts w:hint="eastAsia" w:ascii="仿宋_GB2312" w:hAnsi="仿宋_GB2312" w:eastAsia="仿宋_GB2312" w:cs="仿宋_GB2312"/>
          <w:b/>
          <w:bCs w:val="0"/>
          <w:color w:val="auto"/>
          <w:sz w:val="32"/>
          <w:szCs w:val="32"/>
          <w:highlight w:val="none"/>
          <w:u w:val="single"/>
          <w:lang w:val="en-US" w:eastAsia="zh-CN"/>
        </w:rPr>
        <w:t>4</w:t>
      </w:r>
      <w:r>
        <w:rPr>
          <w:rFonts w:hint="eastAsia" w:ascii="仿宋_GB2312" w:hAnsi="仿宋_GB2312" w:eastAsia="仿宋_GB2312" w:cs="仿宋_GB2312"/>
          <w:b/>
          <w:bCs w:val="0"/>
          <w:color w:val="auto"/>
          <w:sz w:val="32"/>
          <w:szCs w:val="32"/>
          <w:highlight w:val="none"/>
          <w:u w:val="single"/>
        </w:rPr>
        <w:t>月</w:t>
      </w:r>
      <w:r>
        <w:rPr>
          <w:rFonts w:hint="eastAsia" w:ascii="仿宋_GB2312" w:hAnsi="仿宋_GB2312" w:eastAsia="仿宋_GB2312" w:cs="仿宋_GB2312"/>
          <w:b/>
          <w:bCs w:val="0"/>
          <w:color w:val="auto"/>
          <w:sz w:val="32"/>
          <w:szCs w:val="32"/>
          <w:highlight w:val="none"/>
          <w:u w:val="single"/>
          <w:lang w:val="en-US" w:eastAsia="zh-CN"/>
        </w:rPr>
        <w:t>16</w:t>
      </w:r>
      <w:r>
        <w:rPr>
          <w:rFonts w:hint="eastAsia" w:ascii="仿宋_GB2312" w:hAnsi="仿宋_GB2312" w:eastAsia="仿宋_GB2312" w:cs="仿宋_GB2312"/>
          <w:b/>
          <w:bCs w:val="0"/>
          <w:color w:val="auto"/>
          <w:sz w:val="32"/>
          <w:szCs w:val="32"/>
          <w:highlight w:val="none"/>
          <w:u w:val="single"/>
        </w:rPr>
        <w:t>日（星期</w:t>
      </w:r>
      <w:r>
        <w:rPr>
          <w:rFonts w:hint="eastAsia" w:ascii="仿宋_GB2312" w:hAnsi="仿宋_GB2312" w:eastAsia="仿宋_GB2312" w:cs="仿宋_GB2312"/>
          <w:b/>
          <w:bCs w:val="0"/>
          <w:color w:val="auto"/>
          <w:sz w:val="32"/>
          <w:szCs w:val="32"/>
          <w:highlight w:val="none"/>
          <w:u w:val="single"/>
          <w:lang w:val="en-US" w:eastAsia="zh-CN"/>
        </w:rPr>
        <w:t>四</w:t>
      </w:r>
      <w:r>
        <w:rPr>
          <w:rFonts w:hint="eastAsia" w:ascii="仿宋_GB2312" w:hAnsi="仿宋_GB2312" w:eastAsia="仿宋_GB2312" w:cs="仿宋_GB2312"/>
          <w:b/>
          <w:bCs w:val="0"/>
          <w:color w:val="auto"/>
          <w:sz w:val="32"/>
          <w:szCs w:val="32"/>
          <w:highlight w:val="none"/>
          <w:u w:val="single"/>
        </w:rPr>
        <w:t>）</w:t>
      </w:r>
      <w:r>
        <w:rPr>
          <w:rFonts w:hint="eastAsia" w:ascii="仿宋_GB2312" w:hAnsi="仿宋_GB2312" w:eastAsia="仿宋_GB2312" w:cs="仿宋_GB2312"/>
          <w:b/>
          <w:bCs w:val="0"/>
          <w:color w:val="auto"/>
          <w:sz w:val="32"/>
          <w:szCs w:val="32"/>
          <w:highlight w:val="none"/>
          <w:u w:val="single"/>
          <w:lang w:eastAsia="zh-CN"/>
        </w:rPr>
        <w:t>上午</w:t>
      </w:r>
      <w:r>
        <w:rPr>
          <w:rFonts w:hint="eastAsia" w:ascii="仿宋_GB2312" w:hAnsi="仿宋_GB2312" w:eastAsia="仿宋_GB2312" w:cs="仿宋_GB2312"/>
          <w:b/>
          <w:bCs w:val="0"/>
          <w:color w:val="auto"/>
          <w:sz w:val="32"/>
          <w:szCs w:val="32"/>
          <w:highlight w:val="none"/>
          <w:u w:val="single"/>
          <w:lang w:val="en-US" w:eastAsia="zh-CN"/>
        </w:rPr>
        <w:t>9:40</w:t>
      </w:r>
      <w:r>
        <w:rPr>
          <w:rFonts w:hint="eastAsia" w:ascii="仿宋_GB2312" w:hAnsi="仿宋_GB2312" w:eastAsia="仿宋_GB2312" w:cs="仿宋_GB2312"/>
          <w:b/>
          <w:bCs w:val="0"/>
          <w:color w:val="auto"/>
          <w:sz w:val="32"/>
          <w:szCs w:val="32"/>
          <w:highlight w:val="none"/>
          <w:u w:val="none"/>
        </w:rPr>
        <w:t>；</w:t>
      </w:r>
      <w:bookmarkEnd w:id="0"/>
      <w:r>
        <w:rPr>
          <w:rFonts w:hint="eastAsia" w:ascii="仿宋_GB2312" w:hAnsi="仿宋_GB2312" w:eastAsia="仿宋_GB2312" w:cs="仿宋_GB2312"/>
          <w:b/>
          <w:sz w:val="32"/>
          <w:szCs w:val="32"/>
          <w:highlight w:val="none"/>
        </w:rPr>
        <w:t>地点：</w:t>
      </w:r>
      <w:r>
        <w:rPr>
          <w:rFonts w:hint="eastAsia" w:ascii="仿宋_GB2312" w:hAnsi="仿宋_GB2312" w:eastAsia="仿宋_GB2312" w:cs="仿宋_GB2312"/>
          <w:b/>
          <w:sz w:val="32"/>
          <w:szCs w:val="32"/>
          <w:highlight w:val="none"/>
          <w:lang w:eastAsia="zh-CN"/>
        </w:rPr>
        <w:t>石家庄市</w:t>
      </w:r>
      <w:r>
        <w:rPr>
          <w:rFonts w:hint="eastAsia" w:ascii="仿宋_GB2312" w:hAnsi="仿宋_GB2312" w:eastAsia="仿宋_GB2312" w:cs="仿宋_GB2312"/>
          <w:b/>
          <w:sz w:val="32"/>
          <w:szCs w:val="32"/>
          <w:highlight w:val="none"/>
          <w:lang w:val="en-US" w:eastAsia="zh-CN"/>
        </w:rPr>
        <w:t>生态环境局522</w:t>
      </w:r>
      <w:r>
        <w:rPr>
          <w:rFonts w:hint="eastAsia" w:ascii="仿宋_GB2312" w:hAnsi="仿宋_GB2312" w:eastAsia="仿宋_GB2312" w:cs="仿宋_GB2312"/>
          <w:b/>
          <w:sz w:val="32"/>
          <w:szCs w:val="32"/>
          <w:highlight w:val="none"/>
          <w:lang w:eastAsia="zh-CN"/>
        </w:rPr>
        <w:t>会议室</w:t>
      </w:r>
      <w:r>
        <w:rPr>
          <w:rFonts w:hint="eastAsia" w:ascii="仿宋_GB2312" w:hAnsi="仿宋_GB2312" w:eastAsia="仿宋_GB2312" w:cs="仿宋_GB2312"/>
          <w:b/>
          <w:bCs w:val="0"/>
          <w:color w:val="auto"/>
          <w:sz w:val="32"/>
          <w:szCs w:val="32"/>
          <w:highlight w:val="none"/>
        </w:rPr>
        <w:t>。</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w:t>
      </w:r>
      <w:r>
        <w:rPr>
          <w:rFonts w:hint="eastAsia" w:ascii="仿宋_GB2312" w:hAnsi="仿宋_GB2312" w:eastAsia="仿宋_GB2312" w:cs="仿宋_GB2312"/>
          <w:b w:val="0"/>
          <w:bCs/>
          <w:sz w:val="32"/>
          <w:szCs w:val="32"/>
          <w:highlight w:val="none"/>
          <w:lang w:val="en-US" w:eastAsia="zh-CN"/>
        </w:rPr>
        <w:t>赵若楠</w:t>
      </w:r>
      <w:r>
        <w:rPr>
          <w:rFonts w:hint="eastAsia" w:ascii="仿宋_GB2312" w:hAnsi="仿宋_GB2312" w:eastAsia="仿宋_GB2312" w:cs="仿宋_GB2312"/>
          <w:b w:val="0"/>
          <w:bCs/>
          <w:sz w:val="32"/>
          <w:szCs w:val="32"/>
          <w:highlight w:val="none"/>
        </w:rPr>
        <w:t>，联系电话：</w:t>
      </w:r>
      <w:r>
        <w:rPr>
          <w:rFonts w:hint="eastAsia" w:ascii="仿宋_GB2312" w:hAnsi="仿宋_GB2312" w:eastAsia="仿宋_GB2312" w:cs="仿宋_GB2312"/>
          <w:b w:val="0"/>
          <w:bCs/>
          <w:sz w:val="32"/>
          <w:szCs w:val="32"/>
          <w:highlight w:val="none"/>
          <w:lang w:val="en-US" w:eastAsia="zh-CN"/>
        </w:rPr>
        <w:t>85259899</w:t>
      </w:r>
    </w:p>
    <w:p>
      <w:pPr>
        <w:keepNext w:val="0"/>
        <w:keepLines w:val="0"/>
        <w:pageBreakBefore w:val="0"/>
        <w:widowControl w:val="0"/>
        <w:kinsoku/>
        <w:wordWrap/>
        <w:overflowPunct/>
        <w:topLinePunct w:val="0"/>
        <w:autoSpaceDE/>
        <w:autoSpaceDN/>
        <w:bidi w:val="0"/>
        <w:adjustRightInd/>
        <w:snapToGrid/>
        <w:spacing w:line="560" w:lineRule="exact"/>
        <w:ind w:firstLine="1920" w:firstLineChars="600"/>
        <w:textAlignment w:val="auto"/>
        <w:rPr>
          <w:rFonts w:ascii="仿宋_GB2312" w:hAnsi="仿宋_GB2312" w:eastAsia="仿宋_GB2312" w:cs="仿宋_GB2312"/>
          <w:bCs/>
          <w:sz w:val="32"/>
          <w:szCs w:val="32"/>
          <w:highlight w:val="none"/>
        </w:rPr>
      </w:pPr>
      <w:r>
        <w:rPr>
          <w:rFonts w:hint="eastAsia" w:ascii="仿宋_GB2312" w:hAnsi="仿宋_GB2312" w:eastAsia="仿宋_GB2312" w:cs="仿宋_GB2312"/>
          <w:b w:val="0"/>
          <w:bCs/>
          <w:sz w:val="32"/>
          <w:szCs w:val="32"/>
          <w:highlight w:val="none"/>
          <w:lang w:val="en-US" w:eastAsia="zh-CN"/>
        </w:rPr>
        <w:t>师晓威，联系电话：85880697</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
          <w:sz w:val="32"/>
          <w:szCs w:val="32"/>
          <w:highlight w:val="none"/>
          <w:u w:val="single"/>
        </w:rPr>
        <w:t>本次询价确定的最终报价仅为采购预算提供参考，不代表政府采购中标单位和价格。</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特此公告。</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bCs/>
          <w:sz w:val="32"/>
          <w:szCs w:val="32"/>
          <w:highlight w:val="none"/>
        </w:rPr>
        <w:t>附件：</w:t>
      </w:r>
      <w:r>
        <w:rPr>
          <w:rFonts w:hint="eastAsia" w:ascii="仿宋_GB2312" w:hAnsi="仿宋_GB2312" w:eastAsia="仿宋_GB2312" w:cs="仿宋_GB2312"/>
          <w:bCs/>
          <w:sz w:val="32"/>
          <w:szCs w:val="32"/>
          <w:highlight w:val="none"/>
          <w:lang w:val="en-US" w:eastAsia="zh-CN"/>
        </w:rPr>
        <w:t>1.</w:t>
      </w:r>
      <w:r>
        <w:rPr>
          <w:rFonts w:hint="eastAsia" w:ascii="仿宋_GB2312" w:hAnsi="仿宋_GB2312" w:eastAsia="仿宋_GB2312" w:cs="仿宋_GB2312"/>
          <w:sz w:val="32"/>
          <w:szCs w:val="32"/>
          <w:highlight w:val="none"/>
        </w:rPr>
        <w:t>询价要求及流程</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采购项目工作方案</w:t>
      </w:r>
    </w:p>
    <w:p>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询价响应文件（格式）</w:t>
      </w:r>
    </w:p>
    <w:p>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highlight w:val="none"/>
        </w:rPr>
      </w:pPr>
    </w:p>
    <w:p>
      <w:pPr>
        <w:wordWrap w:val="0"/>
        <w:spacing w:line="560" w:lineRule="exact"/>
        <w:ind w:firstLine="640"/>
        <w:jc w:val="right"/>
        <w:rPr>
          <w:rFonts w:ascii="仿宋_GB2312" w:hAnsi="仿宋_GB2312" w:eastAsia="仿宋_GB2312" w:cs="仿宋_GB2312"/>
          <w:bCs/>
          <w:sz w:val="32"/>
          <w:szCs w:val="32"/>
          <w:highlight w:val="none"/>
        </w:rPr>
      </w:pPr>
      <w:r>
        <w:rPr>
          <w:rFonts w:hint="eastAsia" w:ascii="仿宋_GB2312" w:hAnsi="仿宋_GB2312" w:eastAsia="仿宋_GB2312" w:cs="仿宋_GB2312"/>
          <w:sz w:val="32"/>
          <w:szCs w:val="32"/>
          <w:highlight w:val="none"/>
        </w:rPr>
        <w:t xml:space="preserve">石家庄市环境监控中心     </w:t>
      </w:r>
    </w:p>
    <w:p>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highlight w:val="none"/>
        </w:rPr>
      </w:pPr>
      <w:r>
        <w:rPr>
          <w:rFonts w:hint="eastAsia" w:ascii="仿宋_GB2312" w:hAnsi="仿宋_GB2312" w:eastAsia="仿宋_GB2312" w:cs="仿宋_GB2312"/>
          <w:bCs/>
          <w:sz w:val="32"/>
          <w:szCs w:val="32"/>
          <w:highlight w:val="none"/>
        </w:rPr>
        <w:t>202</w:t>
      </w:r>
      <w:r>
        <w:rPr>
          <w:rFonts w:hint="eastAsia" w:ascii="仿宋_GB2312" w:hAnsi="仿宋_GB2312" w:eastAsia="仿宋_GB2312" w:cs="仿宋_GB2312"/>
          <w:bCs/>
          <w:sz w:val="32"/>
          <w:szCs w:val="32"/>
          <w:highlight w:val="none"/>
          <w:lang w:val="en-US" w:eastAsia="zh-CN"/>
        </w:rPr>
        <w:t>6</w:t>
      </w:r>
      <w:r>
        <w:rPr>
          <w:rFonts w:hint="eastAsia" w:ascii="仿宋_GB2312" w:hAnsi="仿宋_GB2312" w:eastAsia="仿宋_GB2312" w:cs="仿宋_GB2312"/>
          <w:bCs/>
          <w:sz w:val="32"/>
          <w:szCs w:val="32"/>
          <w:highlight w:val="none"/>
        </w:rPr>
        <w:t>年</w:t>
      </w:r>
      <w:r>
        <w:rPr>
          <w:rFonts w:hint="eastAsia" w:ascii="仿宋_GB2312" w:hAnsi="仿宋_GB2312" w:eastAsia="仿宋_GB2312" w:cs="仿宋_GB2312"/>
          <w:bCs/>
          <w:sz w:val="32"/>
          <w:szCs w:val="32"/>
          <w:highlight w:val="none"/>
          <w:lang w:val="en-US" w:eastAsia="zh-CN"/>
        </w:rPr>
        <w:t>4</w:t>
      </w:r>
      <w:r>
        <w:rPr>
          <w:rFonts w:hint="eastAsia" w:ascii="仿宋_GB2312" w:hAnsi="仿宋_GB2312" w:eastAsia="仿宋_GB2312" w:cs="仿宋_GB2312"/>
          <w:bCs/>
          <w:sz w:val="32"/>
          <w:szCs w:val="32"/>
          <w:highlight w:val="none"/>
        </w:rPr>
        <w:t>月</w:t>
      </w:r>
      <w:r>
        <w:rPr>
          <w:rFonts w:hint="eastAsia" w:ascii="仿宋_GB2312" w:hAnsi="仿宋_GB2312" w:eastAsia="仿宋_GB2312" w:cs="仿宋_GB2312"/>
          <w:bCs/>
          <w:sz w:val="32"/>
          <w:szCs w:val="32"/>
          <w:highlight w:val="none"/>
          <w:lang w:val="en-US" w:eastAsia="zh-CN"/>
        </w:rPr>
        <w:t>10</w:t>
      </w:r>
      <w:r>
        <w:rPr>
          <w:rFonts w:hint="eastAsia" w:ascii="仿宋_GB2312" w:hAnsi="仿宋_GB2312" w:eastAsia="仿宋_GB2312" w:cs="仿宋_GB2312"/>
          <w:bCs/>
          <w:sz w:val="32"/>
          <w:szCs w:val="32"/>
          <w:highlight w:val="none"/>
        </w:rPr>
        <w:t>日</w:t>
      </w:r>
      <w:r>
        <w:rPr>
          <w:rFonts w:hint="eastAsia" w:ascii="仿宋_GB2312" w:hAnsi="仿宋_GB2312" w:eastAsia="仿宋_GB2312" w:cs="仿宋_GB2312"/>
          <w:color w:val="auto"/>
          <w:sz w:val="32"/>
          <w:szCs w:val="32"/>
          <w:highlight w:val="none"/>
          <w:lang w:val="en-US" w:eastAsia="zh-CN"/>
        </w:rPr>
        <w:t xml:space="preserve">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highlight w:val="none"/>
        </w:rPr>
      </w:pPr>
      <w:r>
        <w:rPr>
          <w:rFonts w:hint="eastAsia" w:ascii="黑体" w:hAnsi="黑体" w:eastAsia="黑体" w:cs="黑体"/>
          <w:bCs/>
          <w:sz w:val="32"/>
          <w:szCs w:val="32"/>
          <w:highlight w:val="none"/>
        </w:rPr>
        <w:t>附件1</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地表水自动监测站运维项目01包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rPr>
      </w:pPr>
      <w:r>
        <w:rPr>
          <w:rFonts w:hint="eastAsia" w:ascii="方正小标宋简体" w:hAnsi="方正小标宋_GBK" w:eastAsia="方正小标宋简体" w:cs="方正小标宋_GBK"/>
          <w:bCs/>
          <w:sz w:val="44"/>
          <w:szCs w:val="44"/>
          <w:highlight w:val="none"/>
        </w:rPr>
        <w:t>询价要求及流程</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highlight w:val="none"/>
        </w:rPr>
      </w:pP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报价单位按照《询价响应文件》要求准备相关资料、</w:t>
      </w:r>
      <w:r>
        <w:rPr>
          <w:rFonts w:hint="eastAsia" w:ascii="仿宋_GB2312" w:hAnsi="仿宋_GB2312" w:eastAsia="仿宋_GB2312" w:cs="仿宋_GB2312"/>
          <w:b/>
          <w:bCs w:val="0"/>
          <w:sz w:val="32"/>
          <w:szCs w:val="32"/>
          <w:highlight w:val="none"/>
        </w:rPr>
        <w:t>装订成册一式叁份（一份正本贰份副本）</w:t>
      </w:r>
      <w:r>
        <w:rPr>
          <w:rFonts w:hint="eastAsia" w:ascii="仿宋_GB2312" w:hAnsi="仿宋_GB2312" w:eastAsia="仿宋_GB2312" w:cs="仿宋_GB2312"/>
          <w:bCs/>
          <w:sz w:val="32"/>
          <w:szCs w:val="32"/>
          <w:highlight w:val="none"/>
        </w:rPr>
        <w:t>，并于询价会提交我单位询价小组。</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highlight w:val="none"/>
        </w:rPr>
        <w:t>现场报价</w:t>
      </w:r>
      <w:r>
        <w:rPr>
          <w:rFonts w:hint="eastAsia" w:ascii="仿宋_GB2312" w:hAnsi="仿宋_GB2312" w:eastAsia="仿宋_GB2312" w:cs="仿宋_GB2312"/>
          <w:bCs/>
          <w:sz w:val="32"/>
          <w:szCs w:val="32"/>
          <w:highlight w:val="none"/>
        </w:rPr>
        <w:t>并签字盖章（各报价单位可以提前加盖好相关印章）。</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本询价会参会的社会主体单位和组织经营范围须与本项目工作相关</w:t>
      </w:r>
      <w:r>
        <w:rPr>
          <w:rFonts w:hint="eastAsia" w:ascii="仿宋_GB2312" w:hAnsi="仿宋_GB2312" w:eastAsia="仿宋_GB2312" w:cs="仿宋_GB2312"/>
          <w:b/>
          <w:bCs w:val="0"/>
          <w:sz w:val="32"/>
          <w:szCs w:val="32"/>
          <w:highlight w:val="none"/>
          <w:lang w:eastAsia="zh-CN"/>
        </w:rPr>
        <w:t>。</w:t>
      </w:r>
    </w:p>
    <w:p>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highlight w:val="none"/>
        </w:rPr>
      </w:pPr>
      <w:r>
        <w:rPr>
          <w:rFonts w:hint="eastAsia" w:ascii="仿宋_GB2312" w:hAnsi="仿宋_GB2312" w:eastAsia="仿宋_GB2312" w:cs="仿宋_GB2312"/>
          <w:b/>
          <w:bCs w:val="0"/>
          <w:sz w:val="32"/>
          <w:szCs w:val="32"/>
          <w:highlight w:val="none"/>
        </w:rPr>
        <w:t>询价会如少于3家响应单位，报价无效。</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本次询价分为初始报价和二次报价，我单位将根据所有报价单位的两次报价进行综合评审，并确定最终预算金额（即采购预算金额）。</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程序：报价单位递交《询价响应文件》→监督人员宣读各报价单位的初始报价→报价单位与采购单位针对所采购项目进行充分沟通和交流→二次报价→报价单位确认签字盖章→会议结束。</w:t>
      </w:r>
    </w:p>
    <w:p>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br w:type="page"/>
      </w:r>
    </w:p>
    <w:p>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highlight w:val="none"/>
        </w:rPr>
      </w:pPr>
      <w:r>
        <w:rPr>
          <w:rFonts w:hint="eastAsia" w:ascii="黑体" w:hAnsi="黑体" w:eastAsia="黑体" w:cs="黑体"/>
          <w:bCs/>
          <w:sz w:val="32"/>
          <w:szCs w:val="32"/>
          <w:highlight w:val="none"/>
        </w:rPr>
        <w:t>附件2</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地表水自动监测站运维项目01包</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highlight w:val="none"/>
          <w:lang w:val="en-US" w:eastAsia="zh-CN"/>
        </w:rPr>
      </w:pPr>
      <w:r>
        <w:rPr>
          <w:rFonts w:hint="eastAsia" w:ascii="方正小标宋简体" w:hAnsi="方正小标宋_GBK" w:eastAsia="方正小标宋简体" w:cs="方正小标宋_GBK"/>
          <w:bCs/>
          <w:sz w:val="44"/>
          <w:szCs w:val="44"/>
          <w:highlight w:val="none"/>
          <w:lang w:val="en-US" w:eastAsia="zh-CN"/>
        </w:rPr>
        <w:t>工作方案</w:t>
      </w:r>
    </w:p>
    <w:p>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firstLine="1920" w:firstLineChars="600"/>
        <w:textAlignment w:val="auto"/>
        <w:rPr>
          <w:rFonts w:ascii="仿宋" w:hAnsi="仿宋" w:eastAsia="仿宋" w:cs="仿宋"/>
          <w:sz w:val="32"/>
          <w:szCs w:val="32"/>
          <w:highlight w:val="none"/>
        </w:rPr>
      </w:pPr>
    </w:p>
    <w:p>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黑体" w:hAnsi="黑体" w:eastAsia="黑体" w:cs="楷体_GB2312"/>
          <w:sz w:val="32"/>
          <w:szCs w:val="32"/>
          <w:highlight w:val="none"/>
          <w:lang w:val="en-US" w:eastAsia="zh-CN"/>
        </w:rPr>
        <w:t>一、</w:t>
      </w:r>
      <w:r>
        <w:rPr>
          <w:rFonts w:hint="eastAsia" w:ascii="黑体" w:hAnsi="黑体" w:eastAsia="黑体" w:cs="楷体_GB2312"/>
          <w:sz w:val="32"/>
          <w:szCs w:val="32"/>
          <w:highlight w:val="none"/>
        </w:rPr>
        <w:t>采购项目最高限价</w:t>
      </w:r>
    </w:p>
    <w:p>
      <w:pPr>
        <w:spacing w:line="560" w:lineRule="exact"/>
        <w:ind w:firstLine="640" w:firstLineChars="200"/>
        <w:jc w:val="left"/>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预算：</w:t>
      </w:r>
      <w:r>
        <w:rPr>
          <w:rFonts w:hint="eastAsia" w:ascii="楷体_GB2312" w:hAnsi="楷体_GB2312" w:eastAsia="楷体_GB2312" w:cs="楷体_GB2312"/>
          <w:color w:val="auto"/>
          <w:sz w:val="32"/>
          <w:szCs w:val="32"/>
          <w:highlight w:val="none"/>
          <w:u w:val="single"/>
          <w:lang w:val="en-US" w:eastAsia="zh-CN"/>
        </w:rPr>
        <w:t>293.0598</w:t>
      </w:r>
      <w:r>
        <w:rPr>
          <w:rFonts w:hint="eastAsia" w:ascii="楷体_GB2312" w:hAnsi="楷体_GB2312" w:eastAsia="楷体_GB2312" w:cs="楷体_GB2312"/>
          <w:color w:val="auto"/>
          <w:sz w:val="32"/>
          <w:szCs w:val="32"/>
          <w:highlight w:val="none"/>
          <w:u w:val="single"/>
        </w:rPr>
        <w:t>万元</w:t>
      </w:r>
    </w:p>
    <w:p>
      <w:pPr>
        <w:spacing w:line="560" w:lineRule="exact"/>
        <w:ind w:firstLine="640" w:firstLineChars="200"/>
        <w:jc w:val="left"/>
        <w:rPr>
          <w:rFonts w:ascii="黑体" w:hAnsi="黑体" w:eastAsia="黑体" w:cs="楷体_GB2312"/>
          <w:sz w:val="32"/>
          <w:szCs w:val="32"/>
          <w:highlight w:val="none"/>
        </w:rPr>
      </w:pPr>
      <w:r>
        <w:rPr>
          <w:rFonts w:hint="eastAsia" w:ascii="黑体" w:hAnsi="黑体" w:eastAsia="黑体" w:cs="楷体_GB2312"/>
          <w:sz w:val="32"/>
          <w:szCs w:val="32"/>
          <w:highlight w:val="none"/>
          <w:lang w:val="en-US" w:eastAsia="zh-CN"/>
        </w:rPr>
        <w:t>二</w:t>
      </w:r>
      <w:r>
        <w:rPr>
          <w:rFonts w:hint="eastAsia" w:ascii="黑体" w:hAnsi="黑体" w:eastAsia="黑体" w:cs="楷体_GB2312"/>
          <w:sz w:val="32"/>
          <w:szCs w:val="32"/>
          <w:highlight w:val="none"/>
        </w:rPr>
        <w:t>、采购方式</w:t>
      </w:r>
    </w:p>
    <w:p>
      <w:pPr>
        <w:spacing w:line="560" w:lineRule="exact"/>
        <w:ind w:firstLine="640" w:firstLineChars="200"/>
        <w:jc w:val="left"/>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公开招标。</w:t>
      </w:r>
    </w:p>
    <w:p>
      <w:pPr>
        <w:pStyle w:val="2"/>
        <w:keepNext w:val="0"/>
        <w:keepLines w:val="0"/>
        <w:pageBreakBefore w:val="0"/>
        <w:numPr>
          <w:ilvl w:val="0"/>
          <w:numId w:val="0"/>
        </w:numPr>
        <w:kinsoku/>
        <w:wordWrap/>
        <w:overflowPunct/>
        <w:topLinePunct w:val="0"/>
        <w:autoSpaceDE/>
        <w:autoSpaceDN/>
        <w:bidi w:val="0"/>
        <w:adjustRightInd w:val="0"/>
        <w:spacing w:line="560" w:lineRule="exact"/>
        <w:ind w:right="0" w:rightChars="0" w:firstLine="643"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黑体" w:hAnsi="黑体" w:eastAsia="黑体" w:cs="楷体_GB2312"/>
          <w:sz w:val="32"/>
          <w:szCs w:val="32"/>
          <w:highlight w:val="none"/>
          <w:lang w:val="en-US" w:eastAsia="zh-CN"/>
        </w:rPr>
        <w:t>三</w:t>
      </w:r>
      <w:r>
        <w:rPr>
          <w:rFonts w:hint="eastAsia" w:ascii="黑体" w:hAnsi="黑体" w:eastAsia="黑体" w:cs="楷体_GB2312"/>
          <w:sz w:val="32"/>
          <w:szCs w:val="32"/>
          <w:highlight w:val="none"/>
        </w:rPr>
        <w:t>、</w:t>
      </w:r>
      <w:r>
        <w:rPr>
          <w:rFonts w:hint="eastAsia" w:ascii="黑体" w:hAnsi="黑体" w:eastAsia="黑体" w:cs="楷体_GB2312"/>
          <w:b w:val="0"/>
          <w:kern w:val="2"/>
          <w:sz w:val="32"/>
          <w:szCs w:val="32"/>
          <w:highlight w:val="none"/>
          <w:lang w:val="en-US" w:eastAsia="zh-CN" w:bidi="ar-SA"/>
        </w:rPr>
        <w:t>技术要求</w:t>
      </w:r>
    </w:p>
    <w:p>
      <w:pPr>
        <w:spacing w:line="560" w:lineRule="exact"/>
        <w:ind w:firstLine="640" w:firstLineChars="200"/>
        <w:jc w:val="left"/>
        <w:outlineLvl w:val="1"/>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rPr>
        <w:t>（一）项目概况</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水环境自动监测是环境保护工作的一项例行任务，保证自动监测设备的正常运行是确保我市重点河流断面水质状况</w:t>
      </w:r>
      <w:r>
        <w:rPr>
          <w:rFonts w:hint="eastAsia" w:ascii="仿宋_GB2312" w:hAnsi="仿宋_GB2312" w:eastAsia="仿宋_GB2312" w:cs="仿宋_GB2312"/>
          <w:color w:val="auto"/>
          <w:sz w:val="32"/>
          <w:szCs w:val="32"/>
          <w:highlight w:val="none"/>
          <w:lang w:val="en-US" w:eastAsia="zh-CN"/>
        </w:rPr>
        <w:t>实时</w:t>
      </w:r>
      <w:r>
        <w:rPr>
          <w:rFonts w:hint="eastAsia" w:ascii="仿宋_GB2312" w:hAnsi="仿宋_GB2312" w:eastAsia="仿宋_GB2312" w:cs="仿宋_GB2312"/>
          <w:color w:val="auto"/>
          <w:sz w:val="32"/>
          <w:szCs w:val="32"/>
          <w:highlight w:val="none"/>
        </w:rPr>
        <w:t>监控的基础。为完善我市水环境质量自动监测网络，及时掌握全市地表水水环境质量动态，依据石家庄市人民政府办公室《关于进一步加强河流跨界断面水质生态补偿的通知》（石政办函〔2021〕3号）、中国环境监测总站关于印发《国家地表</w:t>
      </w:r>
      <w:r>
        <w:rPr>
          <w:rFonts w:hint="eastAsia" w:ascii="仿宋_GB2312" w:hAnsi="仿宋_GB2312" w:eastAsia="仿宋_GB2312" w:cs="仿宋_GB2312"/>
          <w:color w:val="auto"/>
          <w:sz w:val="32"/>
          <w:szCs w:val="32"/>
          <w:highlight w:val="none"/>
          <w:lang w:val="en-US" w:eastAsia="zh-CN"/>
        </w:rPr>
        <w:t>水</w:t>
      </w:r>
      <w:r>
        <w:rPr>
          <w:rFonts w:hint="eastAsia" w:ascii="仿宋_GB2312" w:hAnsi="仿宋_GB2312" w:eastAsia="仿宋_GB2312" w:cs="仿宋_GB2312"/>
          <w:color w:val="auto"/>
          <w:sz w:val="32"/>
          <w:szCs w:val="32"/>
          <w:highlight w:val="none"/>
        </w:rPr>
        <w:t>水质自动监测站运行维护管理实施细则（试行）》（总站水字〔2019〕649号）通知要求，拟开展“地表水自动监测站运维项目”运维采购工作。</w:t>
      </w:r>
    </w:p>
    <w:p>
      <w:pPr>
        <w:spacing w:line="560" w:lineRule="exact"/>
        <w:ind w:firstLine="643" w:firstLineChars="200"/>
        <w:jc w:val="left"/>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1.参数配置</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主要包括五参数（水温、pH、溶解氧、电导率和浊度）、氨氮、化学需氧量（高锰酸盐指数）、总磷（总氮）等。水站分布及配置主要仪器见表1。</w:t>
      </w:r>
    </w:p>
    <w:p>
      <w:pPr>
        <w:spacing w:line="560" w:lineRule="exact"/>
        <w:ind w:firstLine="643"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2.监测频次</w:t>
      </w:r>
    </w:p>
    <w:p>
      <w:pPr>
        <w:spacing w:line="560" w:lineRule="exact"/>
        <w:ind w:firstLine="640" w:firstLineChars="200"/>
        <w:jc w:val="left"/>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五参数每1小时监测1次，其它参数</w:t>
      </w:r>
      <w:r>
        <w:rPr>
          <w:rFonts w:hint="eastAsia" w:ascii="仿宋_GB2312" w:hAnsi="仿宋_GB2312" w:eastAsia="仿宋_GB2312" w:cs="仿宋_GB2312"/>
          <w:color w:val="auto"/>
          <w:sz w:val="32"/>
          <w:szCs w:val="32"/>
          <w:highlight w:val="none"/>
        </w:rPr>
        <w:t>每4小时监测1次。可根据</w:t>
      </w:r>
      <w:r>
        <w:rPr>
          <w:rFonts w:hint="eastAsia" w:ascii="仿宋_GB2312" w:hAnsi="仿宋_GB2312" w:eastAsia="仿宋_GB2312" w:cs="仿宋_GB2312"/>
          <w:color w:val="auto"/>
          <w:sz w:val="32"/>
          <w:szCs w:val="32"/>
          <w:highlight w:val="none"/>
          <w:lang w:val="en-US" w:eastAsia="zh-CN"/>
        </w:rPr>
        <w:t>管理部门</w:t>
      </w:r>
      <w:r>
        <w:rPr>
          <w:rFonts w:hint="eastAsia" w:ascii="仿宋_GB2312" w:hAnsi="仿宋_GB2312" w:eastAsia="仿宋_GB2312" w:cs="仿宋_GB2312"/>
          <w:color w:val="auto"/>
          <w:sz w:val="32"/>
          <w:szCs w:val="32"/>
          <w:highlight w:val="none"/>
        </w:rPr>
        <w:t>要求、采购人工作需求适当调整监测频次。</w:t>
      </w:r>
    </w:p>
    <w:p>
      <w:pPr>
        <w:spacing w:line="560" w:lineRule="exact"/>
        <w:ind w:firstLine="643" w:firstLineChars="200"/>
        <w:jc w:val="left"/>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3.</w:t>
      </w:r>
      <w:r>
        <w:rPr>
          <w:rFonts w:hint="eastAsia" w:ascii="仿宋_GB2312" w:hAnsi="仿宋_GB2312" w:eastAsia="仿宋_GB2312" w:cs="仿宋_GB2312"/>
          <w:b/>
          <w:bCs/>
          <w:color w:val="auto"/>
          <w:sz w:val="32"/>
          <w:szCs w:val="32"/>
          <w:highlight w:val="none"/>
          <w:lang w:val="en-US" w:eastAsia="zh-CN"/>
        </w:rPr>
        <w:t>水质自动监测站概况</w:t>
      </w:r>
    </w:p>
    <w:p>
      <w:pPr>
        <w:spacing w:line="560" w:lineRule="exact"/>
        <w:ind w:firstLine="640" w:firstLineChars="200"/>
        <w:jc w:val="left"/>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水质自动监测站4座。水质自动监测站概况详见表1</w:t>
      </w:r>
      <w:r>
        <w:rPr>
          <w:rFonts w:hint="eastAsia" w:ascii="仿宋_GB2312" w:hAnsi="仿宋_GB2312" w:eastAsia="仿宋_GB2312" w:cs="仿宋_GB2312"/>
          <w:color w:val="auto"/>
          <w:sz w:val="32"/>
          <w:szCs w:val="32"/>
          <w:highlight w:val="none"/>
        </w:rPr>
        <w:t>。</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3" w:firstLineChars="200"/>
        <w:jc w:val="both"/>
        <w:textAlignment w:val="auto"/>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 xml:space="preserve">4.服务范围 </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b w:val="0"/>
          <w:color w:val="auto"/>
          <w:kern w:val="2"/>
          <w:sz w:val="32"/>
          <w:szCs w:val="32"/>
          <w:highlight w:val="none"/>
          <w:lang w:val="en-US" w:eastAsia="zh-CN" w:bidi="ar-SA"/>
        </w:rPr>
        <w:t>各水站所有监测仪器、采水设备、配水设备、辅助设备、防雷等基础设施的日常维护、质量控制、数据审核、故障维修、校准等工作，以及承担电费、水费、废液处理费、看护费等。做好水站的防水、防火、防盗等工作，确保固定资产完整。配合采购人开展固定资产盘点、资产清查、设备报废等工作。投标人须接受采购人的质量检查和考核，确保水站各项监测仪器正常稳定运行。</w:t>
      </w:r>
    </w:p>
    <w:p>
      <w:pPr>
        <w:spacing w:line="560" w:lineRule="exact"/>
        <w:ind w:firstLine="640" w:firstLineChars="200"/>
        <w:jc w:val="left"/>
        <w:rPr>
          <w:rFonts w:hint="eastAsia" w:ascii="仿宋_GB2312" w:hAnsi="仿宋_GB2312" w:eastAsia="仿宋_GB2312" w:cs="仿宋_GB2312"/>
          <w:color w:val="auto"/>
          <w:sz w:val="32"/>
          <w:szCs w:val="32"/>
          <w:highlight w:val="none"/>
        </w:rPr>
      </w:pPr>
    </w:p>
    <w:p>
      <w:pPr>
        <w:spacing w:line="560" w:lineRule="exact"/>
        <w:ind w:firstLine="640" w:firstLineChars="200"/>
        <w:jc w:val="left"/>
        <w:rPr>
          <w:rFonts w:hint="eastAsia" w:ascii="仿宋_GB2312" w:hAnsi="仿宋_GB2312" w:eastAsia="仿宋_GB2312" w:cs="仿宋_GB2312"/>
          <w:color w:val="auto"/>
          <w:sz w:val="32"/>
          <w:szCs w:val="32"/>
          <w:highlight w:val="none"/>
        </w:rPr>
        <w:sectPr>
          <w:footerReference r:id="rId3" w:type="default"/>
          <w:pgSz w:w="11906" w:h="16838"/>
          <w:pgMar w:top="1440" w:right="1800" w:bottom="1440" w:left="1800" w:header="851" w:footer="992" w:gutter="0"/>
          <w:pgNumType w:fmt="decimal"/>
          <w:cols w:space="720" w:num="1"/>
          <w:docGrid w:type="lines" w:linePitch="312" w:charSpace="0"/>
        </w:sectPr>
      </w:pPr>
    </w:p>
    <w:p>
      <w:pPr>
        <w:adjustRightInd w:val="0"/>
        <w:snapToGrid w:val="0"/>
        <w:spacing w:before="156" w:beforeLines="50" w:after="156" w:afterLines="50" w:line="520" w:lineRule="exact"/>
        <w:jc w:val="center"/>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rPr>
        <w:t>表1  水质自动监测站概况</w:t>
      </w:r>
    </w:p>
    <w:tbl>
      <w:tblPr>
        <w:tblStyle w:val="24"/>
        <w:tblW w:w="14520" w:type="dxa"/>
        <w:jc w:val="center"/>
        <w:tblLayout w:type="fixed"/>
        <w:tblCellMar>
          <w:top w:w="0" w:type="dxa"/>
          <w:left w:w="108" w:type="dxa"/>
          <w:bottom w:w="0" w:type="dxa"/>
          <w:right w:w="108" w:type="dxa"/>
        </w:tblCellMar>
      </w:tblPr>
      <w:tblGrid>
        <w:gridCol w:w="492"/>
        <w:gridCol w:w="607"/>
        <w:gridCol w:w="672"/>
        <w:gridCol w:w="1400"/>
        <w:gridCol w:w="500"/>
        <w:gridCol w:w="1017"/>
        <w:gridCol w:w="920"/>
        <w:gridCol w:w="1354"/>
        <w:gridCol w:w="1106"/>
        <w:gridCol w:w="2854"/>
        <w:gridCol w:w="2580"/>
        <w:gridCol w:w="1018"/>
      </w:tblGrid>
      <w:tr>
        <w:tblPrEx>
          <w:tblCellMar>
            <w:top w:w="0" w:type="dxa"/>
            <w:left w:w="108" w:type="dxa"/>
            <w:bottom w:w="0" w:type="dxa"/>
            <w:right w:w="108" w:type="dxa"/>
          </w:tblCellMar>
        </w:tblPrEx>
        <w:trPr>
          <w:trHeight w:val="576" w:hRule="atLeast"/>
          <w:tblHeader/>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序号</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水站名称</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设备时间</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经纬度</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监测河流</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仿宋" w:hAnsi="仿宋" w:eastAsia="仿宋" w:cs="仿宋"/>
                <w:b/>
                <w:bCs/>
                <w:color w:val="auto"/>
                <w:kern w:val="0"/>
                <w:sz w:val="21"/>
                <w:szCs w:val="21"/>
                <w:highlight w:val="none"/>
                <w:lang w:bidi="ar"/>
              </w:rPr>
            </w:pPr>
            <w:r>
              <w:rPr>
                <w:rFonts w:hint="eastAsia" w:ascii="仿宋" w:hAnsi="仿宋" w:eastAsia="仿宋" w:cs="仿宋"/>
                <w:b/>
                <w:bCs/>
                <w:color w:val="auto"/>
                <w:kern w:val="0"/>
                <w:sz w:val="21"/>
                <w:szCs w:val="21"/>
                <w:highlight w:val="none"/>
                <w:lang w:bidi="ar"/>
              </w:rPr>
              <w:t>高锰酸盐</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COD</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氨氮</w:t>
            </w:r>
          </w:p>
        </w:tc>
        <w:tc>
          <w:tcPr>
            <w:tcW w:w="1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总磷（总氮）</w:t>
            </w:r>
          </w:p>
        </w:tc>
        <w:tc>
          <w:tcPr>
            <w:tcW w:w="2854" w:type="dxa"/>
            <w:tcBorders>
              <w:top w:val="single" w:color="000000" w:sz="4" w:space="0"/>
              <w:left w:val="single" w:color="000000"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其他参数</w:t>
            </w:r>
          </w:p>
        </w:tc>
        <w:tc>
          <w:tcPr>
            <w:tcW w:w="2580" w:type="dxa"/>
            <w:tcBorders>
              <w:top w:val="single" w:color="000000" w:sz="4" w:space="0"/>
              <w:left w:val="single" w:color="000000" w:sz="4" w:space="0"/>
              <w:bottom w:val="single" w:color="auto" w:sz="4" w:space="0"/>
              <w:right w:val="single" w:color="000000" w:sz="4"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五参数</w:t>
            </w:r>
          </w:p>
        </w:tc>
        <w:tc>
          <w:tcPr>
            <w:tcW w:w="1018" w:type="dxa"/>
            <w:tcBorders>
              <w:top w:val="single" w:color="000000" w:sz="8" w:space="0"/>
              <w:left w:val="nil"/>
              <w:bottom w:val="nil"/>
              <w:right w:val="single" w:color="000000" w:sz="8" w:space="0"/>
            </w:tcBorders>
            <w:noWrap w:val="0"/>
            <w:vAlign w:val="center"/>
          </w:tcPr>
          <w:p>
            <w:pPr>
              <w:widowControl/>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kern w:val="0"/>
                <w:sz w:val="21"/>
                <w:szCs w:val="21"/>
                <w:highlight w:val="none"/>
                <w:lang w:bidi="ar"/>
              </w:rPr>
              <w:t>自动采样器</w:t>
            </w:r>
          </w:p>
        </w:tc>
      </w:tr>
      <w:tr>
        <w:tblPrEx>
          <w:tblCellMar>
            <w:top w:w="0" w:type="dxa"/>
            <w:left w:w="108" w:type="dxa"/>
            <w:bottom w:w="0" w:type="dxa"/>
            <w:right w:w="108" w:type="dxa"/>
          </w:tblCellMar>
        </w:tblPrEx>
        <w:trPr>
          <w:trHeight w:val="1510"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1</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地都</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E:113.90001N:37.97424</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冶河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铅镉：力合 LFZT-DW2005；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六价铬：力合 LFCR-DW2001；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砷：力合 LFAs-DW-2001；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总汞：力合 LFTHg-DW2008；</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tblPrEx>
          <w:tblCellMar>
            <w:top w:w="0" w:type="dxa"/>
            <w:left w:w="108" w:type="dxa"/>
            <w:bottom w:w="0" w:type="dxa"/>
            <w:right w:w="108" w:type="dxa"/>
          </w:tblCellMar>
        </w:tblPrEx>
        <w:trPr>
          <w:trHeight w:val="576"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2</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河西头</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E:113.56364N:38.42102</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铅镉：力合 LFZT-DW2005；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六价铬：力合 LFCR-DW2001；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砷：力合 LFAs-DW-2001；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总汞：力合 LFTHg-DW2008；</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tblPrEx>
          <w:tblCellMar>
            <w:top w:w="0" w:type="dxa"/>
            <w:left w:w="108" w:type="dxa"/>
            <w:bottom w:w="0" w:type="dxa"/>
            <w:right w:w="108" w:type="dxa"/>
          </w:tblCellMar>
        </w:tblPrEx>
        <w:trPr>
          <w:trHeight w:val="1438"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3</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黄壁庄</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E:114.30959N:38.24561</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哈希COD-203A</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哈希Amtax sc</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哈希 NPW-160</w:t>
            </w:r>
          </w:p>
        </w:tc>
        <w:tc>
          <w:tcPr>
            <w:tcW w:w="2854"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水质在线生物安全预警系统：中科水质BEWs-602S；</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砷、六价铬、铅：境辉 JH-9；</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蓝藻叶绿素：bbe</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主机：HACH sC1000；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溶解氧：哈希 LDOⅡ；</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浊度：哈希SOLITAX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 LDOⅡ</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r>
        <w:tblPrEx>
          <w:tblCellMar>
            <w:top w:w="0" w:type="dxa"/>
            <w:left w:w="108" w:type="dxa"/>
            <w:bottom w:w="0" w:type="dxa"/>
            <w:right w:w="108" w:type="dxa"/>
          </w:tblCellMar>
        </w:tblPrEx>
        <w:trPr>
          <w:trHeight w:val="1518" w:hRule="atLeast"/>
          <w:jc w:val="center"/>
        </w:trPr>
        <w:tc>
          <w:tcPr>
            <w:tcW w:w="49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4</w:t>
            </w:r>
          </w:p>
        </w:tc>
        <w:tc>
          <w:tcPr>
            <w:tcW w:w="60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岗南水库</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2014</w:t>
            </w:r>
          </w:p>
        </w:tc>
        <w:tc>
          <w:tcPr>
            <w:tcW w:w="14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E:113.99180N:38.31888</w:t>
            </w:r>
          </w:p>
        </w:tc>
        <w:tc>
          <w:tcPr>
            <w:tcW w:w="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滹沱河</w:t>
            </w:r>
          </w:p>
        </w:tc>
        <w:tc>
          <w:tcPr>
            <w:tcW w:w="101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维斯特DIGS-300</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w:t>
            </w:r>
          </w:p>
        </w:tc>
        <w:tc>
          <w:tcPr>
            <w:tcW w:w="135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布朗卢比 power mon</w:t>
            </w:r>
          </w:p>
        </w:tc>
        <w:tc>
          <w:tcPr>
            <w:tcW w:w="1106" w:type="dxa"/>
            <w:tcBorders>
              <w:top w:val="single" w:color="000000" w:sz="4" w:space="0"/>
              <w:left w:val="single" w:color="000000" w:sz="4" w:space="0"/>
              <w:bottom w:val="single" w:color="000000" w:sz="4" w:space="0"/>
              <w:right w:val="single" w:color="auto"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布朗卢比 power mon</w:t>
            </w:r>
          </w:p>
        </w:tc>
        <w:tc>
          <w:tcPr>
            <w:tcW w:w="2854"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水质在线生物安全预警系统：中科水质BEWs-601S；</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水质基线分析模型系统：哈希GB01-0001C；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多维矢量指纹识别模型系统：哈希GB01-S00002；</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有机物：哈希UVAS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ORP：哈希DRD1R5；</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水中油水质自动分析仪：哈希FP-360；</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叶绿素/蓝绿藻水质分析：哈希DS5X；</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硝氮：哈希NitraTax Plus sc；</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砷，六价铬，铅：境辉 JH-9；</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铜锌镍：境辉  JH-9</w:t>
            </w:r>
          </w:p>
        </w:tc>
        <w:tc>
          <w:tcPr>
            <w:tcW w:w="2580" w:type="dxa"/>
            <w:tcBorders>
              <w:top w:val="single" w:color="auto" w:sz="4" w:space="0"/>
              <w:left w:val="single" w:color="auto" w:sz="4" w:space="0"/>
              <w:bottom w:val="single" w:color="auto" w:sz="4" w:space="0"/>
              <w:right w:val="single" w:color="auto" w:sz="4" w:space="0"/>
            </w:tcBorders>
            <w:noWrap w:val="0"/>
            <w:vAlign w:val="center"/>
          </w:tcPr>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pH：哈希DPD1R1；</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温度：哈希LDOⅡ；          溶解氧：哈希LDOⅡ；</w:t>
            </w:r>
          </w:p>
          <w:p>
            <w:pPr>
              <w:widowControl/>
              <w:jc w:val="left"/>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电导率：哈希3700 ；          浊度：哈希SOLITAX sc</w:t>
            </w:r>
          </w:p>
        </w:tc>
        <w:tc>
          <w:tcPr>
            <w:tcW w:w="1018" w:type="dxa"/>
            <w:tcBorders>
              <w:top w:val="single" w:color="000000" w:sz="4" w:space="0"/>
              <w:left w:val="single" w:color="auto" w:sz="4" w:space="0"/>
              <w:bottom w:val="single" w:color="000000" w:sz="4" w:space="0"/>
              <w:right w:val="single" w:color="000000" w:sz="4" w:space="0"/>
            </w:tcBorders>
            <w:noWrap w:val="0"/>
            <w:vAlign w:val="center"/>
          </w:tcPr>
          <w:p>
            <w:pPr>
              <w:widowControl/>
              <w:jc w:val="center"/>
              <w:textAlignment w:val="center"/>
              <w:rPr>
                <w:rFonts w:hint="eastAsia" w:ascii="仿宋" w:hAnsi="仿宋" w:eastAsia="仿宋" w:cs="仿宋"/>
                <w:color w:val="auto"/>
                <w:kern w:val="0"/>
                <w:sz w:val="21"/>
                <w:szCs w:val="21"/>
                <w:highlight w:val="none"/>
                <w:lang w:bidi="ar"/>
              </w:rPr>
            </w:pPr>
            <w:r>
              <w:rPr>
                <w:rFonts w:hint="eastAsia" w:ascii="仿宋" w:hAnsi="仿宋" w:eastAsia="仿宋" w:cs="仿宋"/>
                <w:color w:val="auto"/>
                <w:kern w:val="0"/>
                <w:sz w:val="21"/>
                <w:szCs w:val="21"/>
                <w:highlight w:val="none"/>
                <w:lang w:bidi="ar"/>
              </w:rPr>
              <w:t>6CAR0511</w:t>
            </w:r>
          </w:p>
        </w:tc>
      </w:tr>
    </w:tbl>
    <w:p>
      <w:pPr>
        <w:adjustRightInd w:val="0"/>
        <w:snapToGrid w:val="0"/>
        <w:spacing w:line="560" w:lineRule="exact"/>
        <w:jc w:val="both"/>
        <w:rPr>
          <w:rFonts w:hint="eastAsia" w:ascii="仿宋" w:hAnsi="仿宋" w:eastAsia="仿宋" w:cs="仿宋"/>
          <w:b/>
          <w:bCs/>
          <w:color w:val="auto"/>
          <w:kern w:val="0"/>
          <w:sz w:val="28"/>
          <w:szCs w:val="28"/>
          <w:highlight w:val="none"/>
        </w:rPr>
      </w:pPr>
    </w:p>
    <w:p>
      <w:pPr>
        <w:adjustRightInd w:val="0"/>
        <w:snapToGrid w:val="0"/>
        <w:spacing w:line="560" w:lineRule="exact"/>
        <w:jc w:val="both"/>
        <w:rPr>
          <w:rFonts w:hint="eastAsia" w:ascii="仿宋" w:hAnsi="仿宋" w:eastAsia="仿宋" w:cs="仿宋"/>
          <w:b/>
          <w:bCs/>
          <w:color w:val="auto"/>
          <w:kern w:val="0"/>
          <w:sz w:val="28"/>
          <w:szCs w:val="28"/>
          <w:highlight w:val="none"/>
        </w:rPr>
      </w:pPr>
    </w:p>
    <w:p>
      <w:pPr>
        <w:spacing w:line="560" w:lineRule="exact"/>
        <w:ind w:firstLine="640" w:firstLineChars="200"/>
        <w:jc w:val="left"/>
        <w:rPr>
          <w:rFonts w:hint="eastAsia" w:ascii="楷体_GB2312" w:hAnsi="楷体_GB2312" w:eastAsia="楷体_GB2312" w:cs="楷体_GB2312"/>
          <w:color w:val="auto"/>
          <w:sz w:val="32"/>
          <w:szCs w:val="32"/>
          <w:highlight w:val="none"/>
          <w:lang w:eastAsia="zh-CN"/>
        </w:rPr>
        <w:sectPr>
          <w:headerReference r:id="rId4" w:type="default"/>
          <w:footerReference r:id="rId5" w:type="default"/>
          <w:pgSz w:w="16840" w:h="11907" w:orient="landscape"/>
          <w:pgMar w:top="1418" w:right="1304" w:bottom="1418" w:left="1418" w:header="720" w:footer="720" w:gutter="0"/>
          <w:pgNumType w:start="1"/>
          <w:cols w:space="720" w:num="1"/>
          <w:formProt w:val="0"/>
          <w:docGrid w:type="lines" w:linePitch="312" w:charSpace="0"/>
        </w:sectPr>
      </w:pPr>
    </w:p>
    <w:p>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二</w:t>
      </w:r>
      <w:r>
        <w:rPr>
          <w:rFonts w:hint="eastAsia" w:ascii="楷体_GB2312" w:hAnsi="楷体_GB2312" w:eastAsia="楷体_GB2312" w:cs="楷体_GB2312"/>
          <w:color w:val="auto"/>
          <w:sz w:val="32"/>
          <w:szCs w:val="32"/>
          <w:highlight w:val="none"/>
          <w:lang w:eastAsia="zh-CN"/>
        </w:rPr>
        <w:t>）</w:t>
      </w:r>
      <w:r>
        <w:rPr>
          <w:rFonts w:hint="eastAsia" w:ascii="楷体_GB2312" w:hAnsi="楷体_GB2312" w:eastAsia="楷体_GB2312" w:cs="楷体_GB2312"/>
          <w:color w:val="auto"/>
          <w:sz w:val="32"/>
          <w:szCs w:val="32"/>
          <w:highlight w:val="none"/>
          <w:lang w:val="en-US" w:eastAsia="zh-CN"/>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2"/>
        <w:rPr>
          <w:rFonts w:hint="eastAsia" w:ascii="仿宋" w:hAnsi="仿宋" w:eastAsia="仿宋" w:cs="仿宋"/>
          <w:color w:val="auto"/>
          <w:sz w:val="32"/>
          <w:szCs w:val="32"/>
          <w:highlight w:val="none"/>
        </w:rPr>
      </w:pPr>
      <w:r>
        <w:rPr>
          <w:rFonts w:hint="eastAsia" w:ascii="仿宋" w:hAnsi="仿宋" w:eastAsia="仿宋" w:cs="仿宋"/>
          <w:b/>
          <w:bCs/>
          <w:color w:val="auto"/>
          <w:sz w:val="32"/>
          <w:szCs w:val="32"/>
          <w:highlight w:val="none"/>
        </w:rPr>
        <w:t>1</w:t>
      </w:r>
      <w:r>
        <w:rPr>
          <w:rFonts w:hint="eastAsia" w:ascii="仿宋" w:hAnsi="仿宋" w:eastAsia="仿宋" w:cs="仿宋"/>
          <w:b/>
          <w:bCs/>
          <w:color w:val="auto"/>
          <w:sz w:val="32"/>
          <w:szCs w:val="32"/>
          <w:highlight w:val="none"/>
          <w:lang w:val="en-US" w:eastAsia="zh-CN"/>
        </w:rPr>
        <w:t>.</w:t>
      </w:r>
      <w:r>
        <w:rPr>
          <w:rFonts w:hint="eastAsia" w:ascii="仿宋" w:hAnsi="仿宋" w:eastAsia="仿宋" w:cs="仿宋"/>
          <w:b/>
          <w:bCs/>
          <w:color w:val="auto"/>
          <w:sz w:val="32"/>
          <w:szCs w:val="32"/>
          <w:highlight w:val="none"/>
        </w:rPr>
        <w:t>技术要求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水站运维及管理期间，投标人必须按照《河北省地表水水质自动监测站运行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〕57号）、《关于印发&lt;国家地表水水质自动监测站运行维护管理实施细则（试行）&gt;等文件的通知》（总站水字〔2019〕649号）</w:t>
      </w:r>
      <w:r>
        <w:rPr>
          <w:rFonts w:hint="eastAsia" w:ascii="仿宋_GB2312" w:hAnsi="黑体" w:eastAsia="仿宋_GB2312" w:cs="Times New Roman"/>
          <w:color w:val="auto"/>
          <w:sz w:val="32"/>
          <w:szCs w:val="32"/>
          <w:highlight w:val="none"/>
          <w:lang w:eastAsia="zh-CN"/>
        </w:rPr>
        <w:t>、</w:t>
      </w:r>
      <w:r>
        <w:rPr>
          <w:rFonts w:hint="eastAsia" w:ascii="仿宋_GB2312" w:hAnsi="仿宋_GB2312" w:eastAsia="仿宋_GB2312" w:cs="仿宋_GB2312"/>
          <w:color w:val="auto"/>
          <w:sz w:val="32"/>
          <w:szCs w:val="32"/>
          <w:highlight w:val="none"/>
        </w:rPr>
        <w:t>中国环境监测总站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地表水自动监测技术规范（试行）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（HJ915-2017）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地表水水质自动监测站（常规五参数、COD</w:t>
      </w:r>
      <w:r>
        <w:rPr>
          <w:rFonts w:hint="eastAsia" w:ascii="仿宋_GB2312" w:hAnsi="仿宋_GB2312" w:eastAsia="仿宋_GB2312" w:cs="仿宋_GB2312"/>
          <w:color w:val="auto"/>
          <w:sz w:val="32"/>
          <w:szCs w:val="32"/>
          <w:highlight w:val="none"/>
          <w:vertAlign w:val="subscript"/>
          <w:lang w:val="en-US" w:eastAsia="zh-CN"/>
        </w:rPr>
        <w:t>Mn</w:t>
      </w:r>
      <w:r>
        <w:rPr>
          <w:rFonts w:hint="eastAsia" w:ascii="仿宋_GB2312" w:hAnsi="仿宋_GB2312" w:eastAsia="仿宋_GB2312" w:cs="仿宋_GB2312"/>
          <w:color w:val="auto"/>
          <w:sz w:val="32"/>
          <w:szCs w:val="32"/>
          <w:highlight w:val="none"/>
          <w:lang w:val="en-US" w:eastAsia="zh-CN"/>
        </w:rPr>
        <w:t>、NH</w:t>
      </w:r>
      <w:r>
        <w:rPr>
          <w:rFonts w:hint="eastAsia" w:ascii="仿宋_GB2312" w:hAnsi="仿宋_GB2312" w:eastAsia="仿宋_GB2312" w:cs="仿宋_GB2312"/>
          <w:color w:val="auto"/>
          <w:sz w:val="32"/>
          <w:szCs w:val="32"/>
          <w:highlight w:val="none"/>
          <w:vertAlign w:val="subscript"/>
          <w:lang w:val="en-US" w:eastAsia="zh-CN"/>
        </w:rPr>
        <w:t>3</w:t>
      </w:r>
      <w:r>
        <w:rPr>
          <w:rFonts w:hint="eastAsia" w:ascii="仿宋_GB2312" w:hAnsi="仿宋_GB2312" w:eastAsia="仿宋_GB2312" w:cs="仿宋_GB2312"/>
          <w:color w:val="auto"/>
          <w:sz w:val="32"/>
          <w:szCs w:val="32"/>
          <w:highlight w:val="none"/>
          <w:lang w:val="en-US" w:eastAsia="zh-CN"/>
        </w:rPr>
        <w:t>-N、TP、TN）运行维护技术规范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HJ915</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-20</w:t>
      </w:r>
      <w:r>
        <w:rPr>
          <w:rFonts w:hint="eastAsia" w:ascii="仿宋_GB2312" w:hAnsi="仿宋_GB2312" w:eastAsia="仿宋_GB2312" w:cs="仿宋_GB2312"/>
          <w:color w:val="auto"/>
          <w:sz w:val="32"/>
          <w:szCs w:val="32"/>
          <w:highlight w:val="none"/>
          <w:lang w:val="en-US" w:eastAsia="zh-CN"/>
        </w:rPr>
        <w:t>24</w:t>
      </w:r>
      <w:r>
        <w:rPr>
          <w:rFonts w:hint="eastAsia" w:ascii="仿宋_GB2312" w:hAnsi="仿宋_GB2312" w:eastAsia="仿宋_GB2312" w:cs="仿宋_GB2312"/>
          <w:color w:val="auto"/>
          <w:sz w:val="32"/>
          <w:szCs w:val="32"/>
          <w:highlight w:val="none"/>
          <w:lang w:eastAsia="zh-CN"/>
        </w:rPr>
        <w:t>）</w:t>
      </w:r>
      <w:r>
        <w:rPr>
          <w:rFonts w:hint="eastAsia" w:ascii="仿宋_GB2312" w:hAnsi="黑体" w:eastAsia="仿宋_GB2312" w:cs="Times New Roman"/>
          <w:color w:val="auto"/>
          <w:sz w:val="32"/>
          <w:szCs w:val="32"/>
          <w:highlight w:val="none"/>
        </w:rPr>
        <w:t>以及其他国家有关法律、法规及有关技术规范开展水站运维，使水站的运行状态满足国家及行业颁布的技术标准和采购人要求的考核指标要求。当采购人依据国家有关规定和技术规范要求出台新的水站运维要求时，以新要求为准。如文件中有不一致的地方，以新发布的文件为准，采购人保留对文件的解释权。</w:t>
      </w:r>
    </w:p>
    <w:p>
      <w:pPr>
        <w:spacing w:line="560" w:lineRule="exact"/>
        <w:ind w:firstLine="640" w:firstLineChars="200"/>
        <w:jc w:val="left"/>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日常运行服务技术要求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运维人员按要求开展站点现场巡检和养护工作，包括但不限于：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（1）检查采水点周边环境，记录水体颜色、嗅味、水位变化等情况，及时清理漂浮物等杂物；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（2）对站点上下游及周边环境进行巡查，存在异常情况的，上报采购人进行报备，并按要求开展调查和记录；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（3）当水位发生较大变化时应调整采水口位置以保障采水正常；在封冻期前做好采排水管路保温等维护工作；</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（4）查看站房内外运行环境，确认室内温度、湿度等条件是否满足要求，保持站房内干净整洁，检查站房外部等设施是否正常；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（5）检查采配水单元是否正常，采排水管路是否存在漏液或堵塞情况，必要时应清洗并排除故障；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（6）检查水质自动监测仪器及不间断电源（UPS）等辅助设备是否正常，必要时应更换耗材；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（7）手动启动水质自动采样器，检查水质自动采样器工作状态；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（8）查看试剂使用状况，及时添加或更换试剂，试剂使用时间最长不超过90天；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（9）查看废液收集情况，避免出现泄漏等情况；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（10）清洗采水单元、配水与预处理单元；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（11）启停各泵、阀，检查工作状态是否正常；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（12）根据要求或结合实际运行情况，定期更换光源、电极、泵、阀、传感器等关键零部件及泵管等易耗品； </w:t>
      </w:r>
    </w:p>
    <w:p>
      <w:pPr>
        <w:spacing w:line="560" w:lineRule="exact"/>
        <w:ind w:firstLine="640" w:firstLineChars="200"/>
        <w:jc w:val="left"/>
        <w:outlineLvl w:val="3"/>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（13）其他采购人要求的现场巡检和养护工作。</w:t>
      </w:r>
    </w:p>
    <w:p>
      <w:pPr>
        <w:spacing w:line="560" w:lineRule="exact"/>
        <w:ind w:firstLine="640" w:firstLineChars="200"/>
        <w:jc w:val="left"/>
        <w:outlineLvl w:val="3"/>
        <w:rPr>
          <w:rFonts w:hint="eastAsia" w:ascii="仿宋" w:hAnsi="仿宋" w:eastAsia="仿宋" w:cs="仿宋"/>
          <w:b/>
          <w:bCs/>
          <w:color w:val="auto"/>
          <w:sz w:val="24"/>
          <w:highlight w:val="none"/>
        </w:rPr>
      </w:pPr>
      <w:r>
        <w:rPr>
          <w:rFonts w:hint="eastAsia" w:ascii="仿宋_GB2312" w:hAnsi="黑体" w:eastAsia="仿宋_GB2312" w:cs="Times New Roman"/>
          <w:color w:val="auto"/>
          <w:sz w:val="32"/>
          <w:szCs w:val="32"/>
          <w:highlight w:val="none"/>
          <w:lang w:val="en-US" w:eastAsia="zh-CN"/>
        </w:rPr>
        <w:t>1.2运维服务保障要求</w:t>
      </w:r>
    </w:p>
    <w:p>
      <w:pPr>
        <w:spacing w:line="360" w:lineRule="auto"/>
        <w:ind w:firstLine="482" w:firstLineChars="200"/>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表</w:t>
      </w:r>
      <w:r>
        <w:rPr>
          <w:rFonts w:hint="eastAsia" w:ascii="仿宋" w:hAnsi="仿宋" w:eastAsia="仿宋" w:cs="仿宋"/>
          <w:b/>
          <w:bCs/>
          <w:color w:val="auto"/>
          <w:sz w:val="24"/>
          <w:highlight w:val="none"/>
          <w:lang w:val="en-US" w:eastAsia="zh-CN"/>
        </w:rPr>
        <w:t>2</w:t>
      </w:r>
      <w:r>
        <w:rPr>
          <w:rFonts w:hint="eastAsia" w:ascii="仿宋" w:hAnsi="仿宋" w:eastAsia="仿宋" w:cs="仿宋"/>
          <w:b/>
          <w:bCs/>
          <w:color w:val="auto"/>
          <w:sz w:val="24"/>
          <w:highlight w:val="none"/>
        </w:rPr>
        <w:t>运维服务基本要求一览表</w:t>
      </w:r>
    </w:p>
    <w:tbl>
      <w:tblPr>
        <w:tblStyle w:val="24"/>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04"/>
        <w:gridCol w:w="2071"/>
        <w:gridCol w:w="3340"/>
        <w:gridCol w:w="217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04"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项目</w:t>
            </w:r>
          </w:p>
        </w:tc>
        <w:tc>
          <w:tcPr>
            <w:tcW w:w="2071"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分类</w:t>
            </w:r>
          </w:p>
        </w:tc>
        <w:tc>
          <w:tcPr>
            <w:tcW w:w="3340"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数量/比例</w:t>
            </w:r>
          </w:p>
        </w:tc>
        <w:tc>
          <w:tcPr>
            <w:tcW w:w="2178" w:type="dxa"/>
            <w:noWrap w:val="0"/>
            <w:vAlign w:val="top"/>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04" w:type="dxa"/>
            <w:vMerge w:val="restart"/>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技术人员</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项目负责人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技术负责人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质量负责人</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1名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本项目中不可兼职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驻站人员</w:t>
            </w:r>
          </w:p>
        </w:tc>
        <w:tc>
          <w:tcPr>
            <w:tcW w:w="3340" w:type="dxa"/>
            <w:noWrap w:val="0"/>
            <w:vAlign w:val="center"/>
          </w:tcPr>
          <w:p>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 xml:space="preserve"> </w:t>
            </w:r>
            <w:r>
              <w:rPr>
                <w:rFonts w:hint="eastAsia" w:ascii="仿宋" w:hAnsi="仿宋" w:eastAsia="仿宋" w:cs="仿宋"/>
                <w:color w:val="auto"/>
                <w:kern w:val="0"/>
                <w:sz w:val="24"/>
                <w:szCs w:val="24"/>
                <w:highlight w:val="none"/>
                <w:lang w:val="en-US" w:eastAsia="zh-CN" w:bidi="ar-SA"/>
              </w:rPr>
              <w:t>3</w:t>
            </w:r>
            <w:r>
              <w:rPr>
                <w:rFonts w:hint="eastAsia" w:ascii="仿宋" w:hAnsi="仿宋" w:eastAsia="仿宋" w:cs="仿宋"/>
                <w:color w:val="auto"/>
                <w:kern w:val="0"/>
                <w:sz w:val="24"/>
                <w:highlight w:val="none"/>
              </w:rPr>
              <w:t>名</w:t>
            </w:r>
          </w:p>
        </w:tc>
        <w:tc>
          <w:tcPr>
            <w:tcW w:w="2178"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专职驻站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3"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现场运维人员</w:t>
            </w:r>
          </w:p>
        </w:tc>
        <w:tc>
          <w:tcPr>
            <w:tcW w:w="334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kern w:val="0"/>
                <w:sz w:val="24"/>
                <w:highlight w:val="none"/>
              </w:rPr>
              <w:t>每2个水站不少于1名</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804"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车辆</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运维车辆</w:t>
            </w:r>
          </w:p>
        </w:tc>
        <w:tc>
          <w:tcPr>
            <w:tcW w:w="3340" w:type="dxa"/>
            <w:noWrap w:val="0"/>
            <w:vAlign w:val="center"/>
          </w:tcPr>
          <w:p>
            <w:pPr>
              <w:jc w:val="center"/>
              <w:rPr>
                <w:rFonts w:ascii="仿宋" w:hAnsi="仿宋" w:eastAsia="仿宋" w:cs="仿宋"/>
                <w:color w:val="auto"/>
                <w:sz w:val="24"/>
                <w:highlight w:val="none"/>
              </w:rPr>
            </w:pPr>
            <w:r>
              <w:rPr>
                <w:rFonts w:hint="eastAsia" w:ascii="仿宋" w:hAnsi="仿宋" w:eastAsia="仿宋" w:cs="仿宋"/>
                <w:color w:val="auto"/>
                <w:kern w:val="0"/>
                <w:sz w:val="24"/>
                <w:highlight w:val="none"/>
              </w:rPr>
              <w:t>每3个水站不少于1辆运维车辆；</w:t>
            </w:r>
            <w:r>
              <w:rPr>
                <w:rFonts w:hint="eastAsia" w:ascii="仿宋" w:hAnsi="仿宋" w:eastAsia="仿宋" w:cs="仿宋"/>
                <w:color w:val="auto"/>
                <w:sz w:val="24"/>
                <w:highlight w:val="none"/>
              </w:rPr>
              <w:t>不少于1辆驻站车辆</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9" w:hRule="atLeast"/>
          <w:jc w:val="center"/>
        </w:trPr>
        <w:tc>
          <w:tcPr>
            <w:tcW w:w="804" w:type="dxa"/>
            <w:vMerge w:val="restart"/>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b/>
                <w:bCs/>
                <w:color w:val="auto"/>
                <w:kern w:val="0"/>
                <w:sz w:val="24"/>
                <w:highlight w:val="none"/>
              </w:rPr>
              <w:t>辅助监测</w:t>
            </w: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CMA认证检测机构</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便携五参数仪器</w:t>
            </w:r>
          </w:p>
        </w:tc>
        <w:tc>
          <w:tcPr>
            <w:tcW w:w="3340" w:type="dxa"/>
            <w:noWrap w:val="0"/>
            <w:vAlign w:val="center"/>
          </w:tcPr>
          <w:p>
            <w:pPr>
              <w:jc w:val="center"/>
              <w:rPr>
                <w:rFonts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备品备件备机库</w:t>
            </w:r>
          </w:p>
        </w:tc>
        <w:tc>
          <w:tcPr>
            <w:tcW w:w="3340" w:type="dxa"/>
            <w:noWrap w:val="0"/>
            <w:vAlign w:val="center"/>
          </w:tcPr>
          <w:p>
            <w:pPr>
              <w:jc w:val="center"/>
              <w:rPr>
                <w:rFonts w:hint="eastAsia" w:ascii="仿宋" w:hAnsi="仿宋" w:eastAsia="仿宋" w:cs="仿宋"/>
                <w:b/>
                <w:bCs/>
                <w:color w:val="auto"/>
                <w:kern w:val="0"/>
                <w:sz w:val="24"/>
                <w:highlight w:val="none"/>
              </w:rPr>
            </w:pPr>
            <w:r>
              <w:rPr>
                <w:rFonts w:hint="eastAsia" w:ascii="仿宋" w:hAnsi="仿宋" w:eastAsia="仿宋" w:cs="仿宋"/>
                <w:color w:val="auto"/>
                <w:kern w:val="0"/>
                <w:sz w:val="24"/>
                <w:highlight w:val="none"/>
              </w:rPr>
              <w:t>至少1个库</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vMerge w:val="continue"/>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ascii="仿宋" w:hAnsi="仿宋" w:eastAsia="仿宋" w:cs="仿宋"/>
                <w:color w:val="auto"/>
                <w:kern w:val="0"/>
                <w:sz w:val="24"/>
                <w:highlight w:val="none"/>
              </w:rPr>
            </w:pPr>
            <w:r>
              <w:rPr>
                <w:rFonts w:hint="eastAsia" w:ascii="仿宋" w:hAnsi="仿宋" w:eastAsia="仿宋" w:cs="仿宋"/>
                <w:color w:val="auto"/>
                <w:kern w:val="0"/>
                <w:sz w:val="24"/>
                <w:highlight w:val="none"/>
              </w:rPr>
              <w:t>化学需氧量（高锰酸盐指数）、氨氮、总磷（总氮）便携式检测仪</w:t>
            </w:r>
          </w:p>
        </w:tc>
        <w:tc>
          <w:tcPr>
            <w:tcW w:w="3340" w:type="dxa"/>
            <w:noWrap w:val="0"/>
            <w:vAlign w:val="center"/>
          </w:tcPr>
          <w:p>
            <w:pPr>
              <w:jc w:val="center"/>
              <w:rPr>
                <w:rFonts w:hint="eastAsia" w:ascii="仿宋" w:hAnsi="仿宋" w:eastAsia="仿宋" w:cs="仿宋"/>
                <w:color w:val="auto"/>
                <w:kern w:val="0"/>
                <w:sz w:val="24"/>
                <w:highlight w:val="none"/>
              </w:rPr>
            </w:pPr>
            <w:r>
              <w:rPr>
                <w:rFonts w:hint="eastAsia" w:ascii="仿宋" w:hAnsi="仿宋" w:eastAsia="仿宋" w:cs="仿宋"/>
                <w:color w:val="auto"/>
                <w:kern w:val="0"/>
                <w:sz w:val="24"/>
                <w:highlight w:val="none"/>
              </w:rPr>
              <w:t>至少1套</w:t>
            </w:r>
          </w:p>
        </w:tc>
        <w:tc>
          <w:tcPr>
            <w:tcW w:w="2178" w:type="dxa"/>
            <w:noWrap w:val="0"/>
            <w:vAlign w:val="center"/>
          </w:tcPr>
          <w:p>
            <w:pPr>
              <w:jc w:val="center"/>
              <w:rPr>
                <w:rFonts w:hint="eastAsia" w:ascii="仿宋" w:hAnsi="仿宋" w:eastAsia="仿宋" w:cs="仿宋"/>
                <w:b/>
                <w:bCs/>
                <w:color w:val="auto"/>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0" w:hRule="atLeast"/>
          <w:jc w:val="center"/>
        </w:trPr>
        <w:tc>
          <w:tcPr>
            <w:tcW w:w="804" w:type="dxa"/>
            <w:noWrap w:val="0"/>
            <w:vAlign w:val="center"/>
          </w:tcPr>
          <w:p>
            <w:pPr>
              <w:jc w:val="center"/>
              <w:rPr>
                <w:rFonts w:hint="eastAsia" w:ascii="仿宋" w:hAnsi="仿宋" w:eastAsia="仿宋" w:cs="仿宋"/>
                <w:b/>
                <w:bCs/>
                <w:color w:val="auto"/>
                <w:kern w:val="0"/>
                <w:sz w:val="24"/>
                <w:highlight w:val="none"/>
              </w:rPr>
            </w:pPr>
          </w:p>
        </w:tc>
        <w:tc>
          <w:tcPr>
            <w:tcW w:w="2071" w:type="dxa"/>
            <w:noWrap w:val="0"/>
            <w:vAlign w:val="center"/>
          </w:tcPr>
          <w:p>
            <w:pPr>
              <w:jc w:val="center"/>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备机</w:t>
            </w:r>
          </w:p>
        </w:tc>
        <w:tc>
          <w:tcPr>
            <w:tcW w:w="3340" w:type="dxa"/>
            <w:noWrap w:val="0"/>
            <w:vAlign w:val="center"/>
          </w:tcPr>
          <w:p>
            <w:pPr>
              <w:jc w:val="center"/>
              <w:rPr>
                <w:rFonts w:hint="default"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至少1套常规九参数备机，1套鱼法在线生物预警设备</w:t>
            </w:r>
          </w:p>
        </w:tc>
        <w:tc>
          <w:tcPr>
            <w:tcW w:w="2178" w:type="dxa"/>
            <w:noWrap w:val="0"/>
            <w:vAlign w:val="center"/>
          </w:tcPr>
          <w:p>
            <w:pPr>
              <w:jc w:val="center"/>
              <w:rPr>
                <w:rFonts w:hint="eastAsia" w:ascii="仿宋" w:hAnsi="仿宋" w:eastAsia="仿宋" w:cs="仿宋"/>
                <w:b/>
                <w:bCs/>
                <w:color w:val="auto"/>
                <w:kern w:val="0"/>
                <w:sz w:val="24"/>
                <w:highlight w:val="none"/>
              </w:rPr>
            </w:pPr>
          </w:p>
        </w:tc>
      </w:tr>
    </w:tbl>
    <w:p>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1.2.1机构要求</w:t>
      </w:r>
    </w:p>
    <w:p>
      <w:pPr>
        <w:spacing w:line="560" w:lineRule="exact"/>
        <w:ind w:firstLine="640" w:firstLineChars="200"/>
        <w:rPr>
          <w:rFonts w:hint="eastAsia" w:ascii="仿宋" w:hAnsi="仿宋" w:eastAsia="仿宋" w:cs="仿宋"/>
          <w:color w:val="auto"/>
          <w:sz w:val="32"/>
          <w:szCs w:val="32"/>
          <w:highlight w:val="yellow"/>
        </w:rPr>
      </w:pPr>
      <w:r>
        <w:rPr>
          <w:rFonts w:hint="eastAsia" w:ascii="仿宋" w:hAnsi="仿宋" w:eastAsia="仿宋" w:cs="仿宋"/>
          <w:color w:val="auto"/>
          <w:sz w:val="32"/>
          <w:szCs w:val="32"/>
        </w:rPr>
        <w:t>为满足水站日常运行和质控要求，投标人须自有或有合作协议的CMA资质实验室。</w:t>
      </w:r>
    </w:p>
    <w:p>
      <w:pPr>
        <w:spacing w:line="560" w:lineRule="exact"/>
        <w:ind w:firstLine="640" w:firstLineChars="200"/>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rPr>
        <w:t>上述CMA资质检测机构的资质认定范围应至少覆盖水质常规五参数（水温、pH值、电导率、浊度、溶解氧）、氨氮、化学需氧量（高锰酸盐指数）、总磷（总氮）</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需覆盖</w:t>
      </w:r>
      <w:r>
        <w:rPr>
          <w:rFonts w:hint="eastAsia" w:ascii="仿宋" w:hAnsi="仿宋" w:eastAsia="仿宋" w:cs="仿宋"/>
          <w:color w:val="auto"/>
          <w:sz w:val="32"/>
          <w:szCs w:val="32"/>
        </w:rPr>
        <w:t>重金属（汞、砷、铅、镉、六价铬</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铜</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锌</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镍</w:t>
      </w:r>
      <w:r>
        <w:rPr>
          <w:rFonts w:hint="eastAsia" w:ascii="仿宋" w:hAnsi="仿宋" w:eastAsia="仿宋" w:cs="仿宋"/>
          <w:color w:val="auto"/>
          <w:sz w:val="32"/>
          <w:szCs w:val="32"/>
        </w:rPr>
        <w:t>）。</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1.2.2人员要求</w:t>
      </w:r>
    </w:p>
    <w:p>
      <w:pPr>
        <w:numPr>
          <w:ilvl w:val="0"/>
          <w:numId w:val="0"/>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kern w:val="2"/>
          <w:sz w:val="32"/>
          <w:szCs w:val="32"/>
          <w:lang w:val="en-US" w:eastAsia="zh-CN" w:bidi="ar-SA"/>
        </w:rPr>
        <w:t>（1）</w:t>
      </w:r>
      <w:r>
        <w:rPr>
          <w:rFonts w:hint="eastAsia" w:ascii="仿宋_GB2312" w:hAnsi="黑体" w:eastAsia="仿宋_GB2312" w:cs="Times New Roman"/>
          <w:color w:val="auto"/>
          <w:sz w:val="32"/>
          <w:szCs w:val="32"/>
          <w:highlight w:val="none"/>
        </w:rPr>
        <w:t>投标人应根据招标文件中的工作内容要求，在投标文件中详细列出参加本项目的人员及人员分工说明（包括项目负责人1名、技术负责人1名、质量负责人1名、驻站人员</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名、现场运维人员按比例配备等）</w:t>
      </w:r>
      <w:r>
        <w:rPr>
          <w:rFonts w:hint="eastAsia" w:ascii="仿宋_GB2312" w:hAnsi="黑体" w:eastAsia="仿宋_GB2312" w:cs="Times New Roman"/>
          <w:color w:val="auto"/>
          <w:sz w:val="32"/>
          <w:szCs w:val="32"/>
          <w:highlight w:val="none"/>
          <w:lang w:eastAsia="zh-CN"/>
        </w:rPr>
        <w:t>。</w:t>
      </w:r>
    </w:p>
    <w:p>
      <w:pPr>
        <w:numPr>
          <w:ilvl w:val="0"/>
          <w:numId w:val="0"/>
        </w:numPr>
        <w:spacing w:line="560" w:lineRule="exact"/>
        <w:ind w:firstLine="640" w:firstLineChars="200"/>
        <w:jc w:val="left"/>
        <w:rPr>
          <w:rFonts w:hint="eastAsia" w:ascii="仿宋_GB2312" w:hAnsi="黑体" w:eastAsia="仿宋_GB2312" w:cs="Times New Roman"/>
          <w:color w:val="auto"/>
          <w:sz w:val="32"/>
          <w:szCs w:val="32"/>
          <w:highlight w:val="none"/>
          <w:lang w:eastAsia="zh-CN"/>
        </w:rPr>
      </w:pPr>
      <w:r>
        <w:rPr>
          <w:rFonts w:hint="eastAsia" w:ascii="仿宋_GB2312" w:hAnsi="黑体" w:eastAsia="仿宋_GB2312" w:cs="Times New Roman"/>
          <w:color w:val="auto"/>
          <w:kern w:val="2"/>
          <w:sz w:val="32"/>
          <w:szCs w:val="32"/>
          <w:lang w:val="en-US" w:eastAsia="zh-CN" w:bidi="ar-SA"/>
        </w:rPr>
        <w:t>（2）</w:t>
      </w:r>
      <w:r>
        <w:rPr>
          <w:rFonts w:hint="eastAsia" w:ascii="仿宋_GB2312" w:hAnsi="黑体" w:eastAsia="仿宋_GB2312" w:cs="Times New Roman"/>
          <w:color w:val="auto"/>
          <w:sz w:val="32"/>
          <w:szCs w:val="32"/>
          <w:highlight w:val="none"/>
          <w:lang w:val="en-US" w:eastAsia="zh-CN"/>
        </w:rPr>
        <w:t>本项目负责人、技术负责人、质量负责人不可兼职。</w:t>
      </w:r>
      <w:r>
        <w:rPr>
          <w:rFonts w:hint="eastAsia" w:ascii="仿宋_GB2312" w:hAnsi="黑体" w:eastAsia="仿宋_GB2312" w:cs="Times New Roman"/>
          <w:color w:val="auto"/>
          <w:sz w:val="32"/>
          <w:szCs w:val="32"/>
          <w:highlight w:val="none"/>
        </w:rPr>
        <w:t>投标人应保证人员的稳定性</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项目负责人、技术负责人、质量负责人、驻站人员、现场运维人员未经采购人允许，原则上不予变动</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如果有特殊情况需要调整的，必须经采购人同意后方能调整，应更换为同等及以上水平的人员。</w:t>
      </w:r>
      <w:r>
        <w:rPr>
          <w:rFonts w:hint="eastAsia" w:ascii="仿宋_GB2312" w:hAnsi="黑体" w:eastAsia="仿宋_GB2312" w:cs="Times New Roman"/>
          <w:color w:val="auto"/>
          <w:sz w:val="32"/>
          <w:szCs w:val="32"/>
          <w:highlight w:val="none"/>
          <w:lang w:val="en-US" w:eastAsia="zh-CN"/>
        </w:rPr>
        <w:t>投标人提供</w:t>
      </w:r>
      <w:r>
        <w:rPr>
          <w:rFonts w:hint="eastAsia" w:ascii="仿宋_GB2312" w:hAnsi="黑体" w:eastAsia="仿宋_GB2312" w:cs="Times New Roman"/>
          <w:color w:val="auto"/>
          <w:sz w:val="32"/>
          <w:szCs w:val="32"/>
          <w:highlight w:val="none"/>
        </w:rPr>
        <w:t>人员工作不力的，采购人有权提出更换满足运维要求的人员，投标人须无条件满足</w:t>
      </w:r>
      <w:r>
        <w:rPr>
          <w:rFonts w:hint="eastAsia" w:ascii="仿宋_GB2312" w:hAnsi="黑体" w:eastAsia="仿宋_GB2312" w:cs="Times New Roman"/>
          <w:color w:val="auto"/>
          <w:sz w:val="32"/>
          <w:szCs w:val="32"/>
          <w:highlight w:val="none"/>
          <w:lang w:eastAsia="zh-CN"/>
        </w:rPr>
        <w:t>。</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）投标人的现场运维人员人数可以根据实际中标包件内的水站数量调整，但调整后的每个包件现场运维人员数量与包件内水站数量比值应保证不低于1/2。</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）为保证水站仪器设备安全，对地处偏远的水站应视情安排值守人员，并明确值守人员的岗位职责。</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）关键岗位人员要求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项目负责人是投标人在该项目上法定授权的第一负责人，全面负责水站的运维工作，对运维过程中的所有工作和问题具有最终审批权和解释权。项目负责人应为公司中层以上管理人员，且有3年及以上水质自动监测站运维项目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技术负责人全面负责投标人本项目技术管理</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应熟练掌握地表水自动监测领域的相关技术规范，能迅速领悟、宣贯和落实采购人提出的各项运维要求，熟悉内部业务管理流程，了解质量体系和质量管理要求；具有较强的水站运维统筹和管理能力，且有3年及以上水质自动监测站运维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质量负责人负责本项目质量控制管理，应熟悉项目质量控制体系和质量管理流程。保障水站各项质控措施顺利开展的同时，做好项目运维各环节内部质控，且有3年及以上水质自动监测站运维管理经验。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现场运维人员需熟悉水站运维操作流程，了解相关技术规范，具有专科及以上学历，具备较强的学习能力和动手能力，工作中能有效落实各项技术管理规范要求，有2年及以上水质自动监测站运维经验并具有省级及以上相关部门颁发的水环境质量自动监测技术方面培训合格证书。</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现场运维人员中骨干人员（不含项目负责人、技术负责人、质量负责人）占比不少于50%，骨干人员指从事地表水水站运维工作满</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年并具有省级及以上相关部门颁发的水环境质量自动监测技术方面培训合格证书。</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投标人应承诺提供经过采购人认可的驻站人员，具有本科及以上学历或有3年以上水质自动监测站运维经验。驻站人员负责投标人和采购人的业务沟通交流，配合采购人开展实时数据审核、</w:t>
      </w:r>
      <w:r>
        <w:rPr>
          <w:rFonts w:hint="eastAsia" w:ascii="仿宋_GB2312" w:hAnsi="黑体" w:eastAsia="仿宋_GB2312" w:cs="Times New Roman"/>
          <w:color w:val="auto"/>
          <w:sz w:val="32"/>
          <w:szCs w:val="32"/>
          <w:highlight w:val="none"/>
          <w:lang w:val="en-US"/>
        </w:rPr>
        <w:t>报告编制</w:t>
      </w:r>
      <w:r>
        <w:rPr>
          <w:rFonts w:hint="eastAsia"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rPr>
        <w:t>现场运维调度管理、数据结转入库等与项目执行相关的工作。需熟练掌握本项目的相关要求和技术规范，具有较强的领悟和沟通能力，在工作中与采购人有较高的沟通效率。投标人应按采购人要求承担必要的运维服务场地和相关办公设备、办公用品</w:t>
      </w:r>
      <w:r>
        <w:rPr>
          <w:rFonts w:hint="eastAsia" w:ascii="仿宋_GB2312" w:hAnsi="黑体" w:eastAsia="仿宋_GB2312" w:cs="Times New Roman"/>
          <w:color w:val="auto"/>
          <w:sz w:val="32"/>
          <w:szCs w:val="32"/>
          <w:highlight w:val="none"/>
          <w:lang w:val="en-US" w:eastAsia="zh-CN"/>
        </w:rPr>
        <w:t>等</w:t>
      </w:r>
      <w:r>
        <w:rPr>
          <w:rFonts w:hint="eastAsia" w:ascii="仿宋_GB2312" w:hAnsi="黑体" w:eastAsia="仿宋_GB2312" w:cs="Times New Roman"/>
          <w:color w:val="auto"/>
          <w:sz w:val="32"/>
          <w:szCs w:val="32"/>
          <w:highlight w:val="none"/>
        </w:rPr>
        <w:t>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rPr>
        <w:fldChar w:fldCharType="begin"/>
      </w:r>
      <w:r>
        <w:rPr>
          <w:rFonts w:hint="eastAsia" w:ascii="仿宋_GB2312" w:hAnsi="黑体" w:eastAsia="仿宋_GB2312" w:cs="Times New Roman"/>
          <w:strike w:val="0"/>
          <w:dstrike w:val="0"/>
          <w:color w:val="auto"/>
          <w:sz w:val="32"/>
          <w:szCs w:val="32"/>
          <w:highlight w:val="none"/>
          <w:lang w:val="en-US"/>
        </w:rPr>
        <w:instrText xml:space="preserve"> = 6 \* GB3 \* MERGEFORMAT </w:instrText>
      </w:r>
      <w:r>
        <w:rPr>
          <w:rFonts w:hint="eastAsia" w:ascii="仿宋_GB2312" w:hAnsi="黑体" w:eastAsia="仿宋_GB2312" w:cs="Times New Roman"/>
          <w:strike w:val="0"/>
          <w:dstrike w:val="0"/>
          <w:color w:val="auto"/>
          <w:sz w:val="32"/>
          <w:szCs w:val="32"/>
          <w:highlight w:val="none"/>
          <w:lang w:val="en-US"/>
        </w:rPr>
        <w:fldChar w:fldCharType="separate"/>
      </w:r>
      <w:r>
        <w:rPr>
          <w:rFonts w:hint="eastAsia" w:ascii="仿宋_GB2312" w:hAnsi="黑体" w:eastAsia="仿宋_GB2312" w:cs="Times New Roman"/>
          <w:strike w:val="0"/>
          <w:dstrike w:val="0"/>
          <w:color w:val="auto"/>
          <w:sz w:val="32"/>
          <w:szCs w:val="32"/>
          <w:highlight w:val="none"/>
          <w:lang w:val="en-US"/>
        </w:rPr>
        <w:t>⑥</w:t>
      </w:r>
      <w:r>
        <w:rPr>
          <w:rFonts w:hint="eastAsia" w:ascii="仿宋_GB2312" w:hAnsi="黑体" w:eastAsia="仿宋_GB2312" w:cs="Times New Roman"/>
          <w:strike w:val="0"/>
          <w:dstrike w:val="0"/>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制定运维人员技术培训计划，定期组织运维人员技术培训，宣贯、落实运维管理相关要求。投标人相关人员须参加采购人组织的技术培训以及运维质量的监督检查，接受采购人或其委托相关机构的监管和考核。</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⑦</w:t>
      </w:r>
      <w:r>
        <w:rPr>
          <w:rFonts w:hint="eastAsia" w:ascii="仿宋_GB2312" w:hAnsi="黑体" w:eastAsia="仿宋_GB2312" w:cs="Times New Roman"/>
          <w:color w:val="auto"/>
          <w:sz w:val="32"/>
          <w:szCs w:val="32"/>
          <w:highlight w:val="none"/>
        </w:rPr>
        <w:t>投标人应采取必要的安全保护及相关措施，保障在该项目中各个工作人员的人身和财产安全。如工作人员在工作中发生任何人身损害及财产损失，投标人负责全权处理并承担全部费用。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6</w:t>
      </w:r>
      <w:r>
        <w:rPr>
          <w:rFonts w:hint="eastAsia" w:ascii="仿宋_GB2312" w:hAnsi="黑体" w:eastAsia="仿宋_GB2312" w:cs="Times New Roman"/>
          <w:color w:val="auto"/>
          <w:sz w:val="32"/>
          <w:szCs w:val="32"/>
          <w:highlight w:val="none"/>
        </w:rPr>
        <w:t>）人员相关资料要求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投标人需提供所有人员身份证信息，学历、学位（如有）、职称证书（如有）、工作履历证明，以及社保缴纳</w:t>
      </w:r>
      <w:r>
        <w:rPr>
          <w:rFonts w:hint="eastAsia" w:ascii="仿宋_GB2312" w:hAnsi="黑体" w:eastAsia="仿宋_GB2312" w:cs="Times New Roman"/>
          <w:color w:val="auto"/>
          <w:sz w:val="32"/>
          <w:szCs w:val="32"/>
          <w:highlight w:val="none"/>
          <w:lang w:val="en-US" w:eastAsia="zh-CN"/>
        </w:rPr>
        <w:t>证明材料</w:t>
      </w:r>
      <w:r>
        <w:rPr>
          <w:rFonts w:hint="eastAsia" w:ascii="仿宋_GB2312" w:hAnsi="黑体" w:eastAsia="仿宋_GB2312" w:cs="Times New Roman"/>
          <w:color w:val="auto"/>
          <w:sz w:val="32"/>
          <w:szCs w:val="32"/>
          <w:highlight w:val="none"/>
        </w:rPr>
        <w:t>，并加盖</w:t>
      </w:r>
      <w:r>
        <w:rPr>
          <w:rFonts w:hint="eastAsia" w:ascii="仿宋_GB2312" w:hAnsi="黑体" w:eastAsia="仿宋_GB2312" w:cs="Times New Roman"/>
          <w:color w:val="auto"/>
          <w:sz w:val="32"/>
          <w:szCs w:val="32"/>
          <w:highlight w:val="none"/>
          <w:lang w:val="en-US" w:eastAsia="zh-CN"/>
        </w:rPr>
        <w:t>投</w:t>
      </w:r>
      <w:r>
        <w:rPr>
          <w:rFonts w:hint="eastAsia" w:ascii="仿宋_GB2312" w:hAnsi="黑体" w:eastAsia="仿宋_GB2312" w:cs="Times New Roman"/>
          <w:color w:val="auto"/>
          <w:sz w:val="32"/>
          <w:szCs w:val="32"/>
          <w:highlight w:val="none"/>
          <w:lang w:eastAsia="zh-CN"/>
        </w:rPr>
        <w:t>标人</w:t>
      </w:r>
      <w:r>
        <w:rPr>
          <w:rFonts w:hint="eastAsia" w:ascii="仿宋_GB2312" w:hAnsi="黑体" w:eastAsia="仿宋_GB2312" w:cs="Times New Roman"/>
          <w:color w:val="auto"/>
          <w:sz w:val="32"/>
          <w:szCs w:val="32"/>
          <w:highlight w:val="none"/>
        </w:rPr>
        <w:t>公章。</w:t>
      </w:r>
    </w:p>
    <w:p>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1.2.3运维车辆要求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每3个水站至少配备1辆满足现有市控水站运维要求的运维车辆。配备不少于1辆驻站车辆。</w:t>
      </w:r>
    </w:p>
    <w:p>
      <w:pPr>
        <w:spacing w:line="560" w:lineRule="exact"/>
        <w:ind w:firstLine="640" w:firstLineChars="200"/>
        <w:jc w:val="left"/>
        <w:outlineLvl w:val="4"/>
        <w:rPr>
          <w:rFonts w:hint="default"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1.2.4设备要求</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（1）便携仪器设备要求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至少配备1套便携五参数（水温、pH值、溶解氧、电导率和浊度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监测设备，溶解氧便携监测设备应满足原位监测要求。便携五参数设备性能应符合行业标准要求并通过计量检定/校准。至少配备1套化学需氧量（高锰酸盐指数）、氨氮、总磷（总氮）便携式检测仪。</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（2）备品备件备机耗材要求</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配备1套常规</w:t>
      </w:r>
      <w:r>
        <w:rPr>
          <w:rFonts w:hint="eastAsia" w:ascii="仿宋_GB2312" w:hAnsi="黑体" w:eastAsia="仿宋_GB2312" w:cs="Times New Roman"/>
          <w:color w:val="auto"/>
          <w:sz w:val="32"/>
          <w:szCs w:val="32"/>
          <w:highlight w:val="none"/>
          <w:lang w:val="en-US" w:eastAsia="zh-CN"/>
        </w:rPr>
        <w:t>九</w:t>
      </w:r>
      <w:r>
        <w:rPr>
          <w:rFonts w:hint="eastAsia" w:ascii="仿宋_GB2312" w:hAnsi="黑体" w:eastAsia="仿宋_GB2312" w:cs="Times New Roman"/>
          <w:color w:val="auto"/>
          <w:sz w:val="32"/>
          <w:szCs w:val="32"/>
          <w:highlight w:val="none"/>
        </w:rPr>
        <w:t>参数备机</w:t>
      </w:r>
      <w:r>
        <w:rPr>
          <w:rFonts w:hint="eastAsia" w:ascii="仿宋_GB2312" w:hAnsi="黑体" w:eastAsia="仿宋_GB2312" w:cs="Times New Roman"/>
          <w:color w:val="auto"/>
          <w:sz w:val="32"/>
          <w:szCs w:val="32"/>
          <w:highlight w:val="none"/>
          <w:lang w:val="en-US" w:eastAsia="zh-CN"/>
        </w:rPr>
        <w:t>和1套鱼法在线生物预警设备</w:t>
      </w:r>
      <w:r>
        <w:rPr>
          <w:rFonts w:hint="eastAsia" w:ascii="仿宋_GB2312" w:hAnsi="黑体" w:eastAsia="仿宋_GB2312" w:cs="Times New Roman"/>
          <w:color w:val="auto"/>
          <w:sz w:val="32"/>
          <w:szCs w:val="32"/>
          <w:highlight w:val="none"/>
        </w:rPr>
        <w:t>。备机性能及功能应满足相关技术规范要求和管理需求。备机均应通过生态环境部环境监测仪器质量监督检验中心的适用性检测，具有生态环境部环境监测仪器质量监督检验中心出具的在有效期内的检测合格报告。测量数据等参数能按国家水站数据传输协议上传平台。</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投标人应在采购人指定地域按采购人要求开展备机性能和功能测试，并承担相关费用。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备品备件数量、质量应满足运维包件内相关水站仪器设备维修保养需求。建立备品备件台账，实现动态管理。</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应建立不少于1个备品备件备机库，并保证库房环境条件满足仪器设备及备品备件存放要求。备品备件备机库须设立在项目所在地。</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 w:hAnsi="仿宋" w:eastAsia="仿宋" w:cs="仿宋"/>
          <w:color w:val="auto"/>
          <w:sz w:val="32"/>
          <w:szCs w:val="32"/>
          <w:highlight w:val="none"/>
        </w:rPr>
        <w:t>⑤</w:t>
      </w:r>
      <w:r>
        <w:rPr>
          <w:rFonts w:hint="eastAsia" w:ascii="仿宋_GB2312" w:hAnsi="黑体" w:eastAsia="仿宋_GB2312" w:cs="Times New Roman"/>
          <w:color w:val="auto"/>
          <w:sz w:val="32"/>
          <w:szCs w:val="32"/>
          <w:highlight w:val="none"/>
        </w:rPr>
        <w:t>耗材须为各水站仪器生产厂家的原装配件或不低于原厂性能指标配件</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投标人须承诺中标后1个月内配齐本服务需求书中所涉及设备的耗材和备件，耗材按照不少于3个月的消耗量配置，备件按照至少1年使用量配置。投标人须结合各水站的仪器设备配置情况，附各仪器所需耗材备件的明细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试剂要求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市控水站使用试剂的纯度需分析纯（AR）以上，标准溶液的试剂纯度应在优级纯（GR）以上。日常质控、核查工作应使用有证标准物质。投标人应向采购人提交试剂配制及使用手册备查。</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投标人应建立试剂管理制度，水站运维试剂应由专人配制，配制信息可溯源，采用专用试剂瓶盛装，贴有明确标识（包括试剂名称、标液浓度、配置人、配制时间、有效期），统一配送、抽检。</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投标人应建立试剂管理台账，对试剂配制记录、配送记录以及更换和使用记录进行动态管理，确保试剂、有证标准物质使用信息可溯源。</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1.2.5废液收集要求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投标人对水站产生的废液须按相关管理规定安全贮存，每年</w:t>
      </w:r>
      <w:r>
        <w:rPr>
          <w:rFonts w:hint="eastAsia" w:ascii="仿宋_GB2312" w:hAnsi="黑体" w:eastAsia="仿宋_GB2312" w:cs="Times New Roman"/>
          <w:color w:val="auto"/>
          <w:sz w:val="32"/>
          <w:szCs w:val="32"/>
          <w:highlight w:val="none"/>
          <w:lang w:val="en-US" w:eastAsia="zh-CN"/>
        </w:rPr>
        <w:t>至少</w:t>
      </w:r>
      <w:r>
        <w:rPr>
          <w:rFonts w:hint="eastAsia" w:ascii="仿宋_GB2312" w:hAnsi="黑体" w:eastAsia="仿宋_GB2312" w:cs="Times New Roman"/>
          <w:color w:val="auto"/>
          <w:sz w:val="32"/>
          <w:szCs w:val="32"/>
          <w:highlight w:val="none"/>
        </w:rPr>
        <w:t>开展一次规范化处置工作，项目结束前一个月须</w:t>
      </w:r>
      <w:r>
        <w:rPr>
          <w:rFonts w:hint="eastAsia" w:ascii="仿宋_GB2312" w:hAnsi="黑体" w:eastAsia="仿宋_GB2312" w:cs="Times New Roman"/>
          <w:color w:val="auto"/>
          <w:sz w:val="32"/>
          <w:szCs w:val="32"/>
          <w:highlight w:val="none"/>
          <w:lang w:val="en-US" w:eastAsia="zh-CN"/>
        </w:rPr>
        <w:t>配合分局</w:t>
      </w:r>
      <w:r>
        <w:rPr>
          <w:rFonts w:hint="eastAsia" w:ascii="仿宋_GB2312" w:hAnsi="黑体" w:eastAsia="仿宋_GB2312" w:cs="Times New Roman"/>
          <w:color w:val="auto"/>
          <w:sz w:val="32"/>
          <w:szCs w:val="32"/>
          <w:highlight w:val="none"/>
        </w:rPr>
        <w:t>完成处置工作</w:t>
      </w:r>
      <w:r>
        <w:rPr>
          <w:rFonts w:hint="eastAsia" w:ascii="仿宋_GB2312" w:hAnsi="黑体" w:eastAsia="仿宋_GB2312" w:cs="Times New Roman"/>
          <w:color w:val="auto"/>
          <w:sz w:val="32"/>
          <w:szCs w:val="32"/>
          <w:highlight w:val="none"/>
          <w:lang w:val="en-US" w:eastAsia="zh-CN"/>
        </w:rPr>
        <w:t>并承担相关费用</w:t>
      </w:r>
      <w:r>
        <w:rPr>
          <w:rFonts w:hint="eastAsia" w:ascii="仿宋_GB2312" w:hAnsi="黑体" w:eastAsia="仿宋_GB2312" w:cs="Times New Roman"/>
          <w:color w:val="auto"/>
          <w:sz w:val="32"/>
          <w:szCs w:val="32"/>
          <w:highlight w:val="none"/>
        </w:rPr>
        <w:t>。</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1.2.6维护物资要求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应按实际运维服务工作要求准备充足的物资，至少应包括：电工工具箱、万用表、电工胶带、生料带、扎带、卡箍、钢丝绳、容量瓶、滴定管、烧杯、移液管、洗耳球、试管刷、救生衣、救生圈、下水服、安全绳、安全帽、护目镜等。 </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1.2.7运维服务管理体系建设要求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关键信息备案要求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投标人应及时落实关键信息备案，向采购人提供以下材料，待审核后，进行信息备案。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营业执照等单位证明文件；</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组织结构示意图，内部组织结构设置和职责；</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 xml:space="preserve">参与本项目运维、管理人员一览表（包括但不限于项目负责人、技术负责人、质量负责人、运维人员等项目相关人员的详细配置信息）；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4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④</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与本项目相关的车辆配备一览表；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5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⑤</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与本项目相关的主要仪器设备信息一览表；</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⑥</w:t>
      </w:r>
      <w:r>
        <w:rPr>
          <w:rFonts w:hint="eastAsia" w:ascii="仿宋_GB2312" w:hAnsi="黑体" w:eastAsia="仿宋_GB2312" w:cs="Times New Roman"/>
          <w:color w:val="auto"/>
          <w:sz w:val="32"/>
          <w:szCs w:val="32"/>
          <w:highlight w:val="none"/>
        </w:rPr>
        <w:t>与本项目相关的备品备件及备机信息一览表（包含但不限于备品备件及备机台账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品牌、</w:t>
      </w:r>
      <w:r>
        <w:rPr>
          <w:rFonts w:hint="eastAsia" w:ascii="仿宋_GB2312" w:hAnsi="黑体" w:eastAsia="仿宋_GB2312" w:cs="Times New Roman"/>
          <w:color w:val="auto"/>
          <w:sz w:val="32"/>
          <w:szCs w:val="32"/>
          <w:highlight w:val="none"/>
          <w:lang w:eastAsia="zh-CN"/>
        </w:rPr>
        <w:t>型号、</w:t>
      </w:r>
      <w:r>
        <w:rPr>
          <w:rFonts w:hint="eastAsia" w:ascii="仿宋_GB2312" w:hAnsi="黑体" w:eastAsia="仿宋_GB2312" w:cs="Times New Roman"/>
          <w:color w:val="auto"/>
          <w:sz w:val="32"/>
          <w:szCs w:val="32"/>
          <w:highlight w:val="none"/>
        </w:rPr>
        <w:t>数量、存放地点等信息）；</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⑦</w:t>
      </w:r>
      <w:r>
        <w:rPr>
          <w:rFonts w:hint="eastAsia" w:ascii="仿宋_GB2312" w:hAnsi="黑体" w:eastAsia="仿宋_GB2312" w:cs="Times New Roman"/>
          <w:color w:val="auto"/>
          <w:sz w:val="32"/>
          <w:szCs w:val="32"/>
          <w:highlight w:val="none"/>
        </w:rPr>
        <w:t>备机的试剂配制手册；</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t>⑧</w:t>
      </w:r>
      <w:r>
        <w:rPr>
          <w:rFonts w:hint="eastAsia" w:ascii="仿宋_GB2312" w:hAnsi="黑体" w:eastAsia="仿宋_GB2312" w:cs="Times New Roman"/>
          <w:color w:val="auto"/>
          <w:sz w:val="32"/>
          <w:szCs w:val="32"/>
          <w:highlight w:val="none"/>
        </w:rPr>
        <w:t>与本项目相关的投标人必要的技术性和管理性支持文件（包含但不限于投标人为本项目制定的运维管理程序文件、质量手册和作业指导书，以及支撑项目执行的水站运维相关管理制度等）；</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⑨备机的传输协议。</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运维管理体系要求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按照采购内容和要求，投标人须严格按照中国环境监测总站下发的《环境质量自动监测运维机构质量管理体系建设通用要求（试行）》的有关规定，建立涵盖运维全过程的运维管理体系。制定水站运维管理程序文件、质量手册和作业指导书</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以及支撑项目执行的运维管理相关制度文件。</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质量监督要求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投标人接受采购人对数据质量的监督，按照采购人制定的质量监督计划，配合采购人开展数据质量核查工作。</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投标人须配合采购人完成质控样考核。</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3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③</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投标人须配合采购人完成水样比对考核。按照采购人要求，开展相关质控工作。</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数据归属及保密</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本项目所形成的数据及报告归采购人所有。未经采购人授权，投标人无权使用监测数据或将数据和报告发送给任何第三方。</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驻站工作人员与采购人签订《保密协议》和《廉洁自律承诺书》，其他参与自动监测工作的投标人的技术人员需遵守《保密协议》的相关规定，并与投标人签订相关保密协议。</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需投标人提供的设计方案、解决方案</w:t>
      </w:r>
      <w:r>
        <w:rPr>
          <w:rFonts w:hint="eastAsia" w:ascii="仿宋_GB2312" w:hAnsi="黑体" w:eastAsia="仿宋_GB2312" w:cs="Times New Roman"/>
          <w:color w:val="auto"/>
          <w:sz w:val="32"/>
          <w:szCs w:val="32"/>
          <w:highlight w:val="none"/>
          <w:lang w:val="en-US" w:eastAsia="zh-CN"/>
        </w:rPr>
        <w:t>和</w:t>
      </w:r>
      <w:r>
        <w:rPr>
          <w:rFonts w:hint="eastAsia" w:ascii="仿宋_GB2312" w:hAnsi="黑体" w:eastAsia="仿宋_GB2312" w:cs="Times New Roman"/>
          <w:color w:val="auto"/>
          <w:sz w:val="32"/>
          <w:szCs w:val="32"/>
          <w:highlight w:val="none"/>
        </w:rPr>
        <w:t xml:space="preserve">组织方案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1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①</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运维交接实施方案</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sz w:val="32"/>
          <w:szCs w:val="32"/>
          <w:highlight w:val="none"/>
          <w:lang w:val="en-US"/>
        </w:rPr>
      </w:pPr>
      <w:r>
        <w:rPr>
          <w:rFonts w:hint="eastAsia" w:ascii="仿宋_GB2312" w:hAnsi="黑体" w:eastAsia="仿宋_GB2312" w:cs="Times New Roman"/>
          <w:color w:val="auto"/>
          <w:sz w:val="32"/>
          <w:szCs w:val="32"/>
          <w:highlight w:val="none"/>
        </w:rPr>
        <w:t>投标人应根据项目需求合理设计运维交接实施方案，至少包括时间</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人员安排、职责分工、交接内容、交接流程等内容。在规定时间内严格按要求完成交接工作</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kern w:val="2"/>
          <w:sz w:val="32"/>
          <w:szCs w:val="32"/>
          <w:highlight w:val="none"/>
          <w:lang w:val="en-US" w:eastAsia="zh-CN" w:bidi="ar-SA"/>
        </w:rPr>
        <w:t>确保交接的市控水站符合相关技术规范要求。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rPr>
        <w:fldChar w:fldCharType="begin"/>
      </w:r>
      <w:r>
        <w:rPr>
          <w:rFonts w:hint="eastAsia" w:ascii="仿宋_GB2312" w:hAnsi="黑体" w:eastAsia="仿宋_GB2312" w:cs="Times New Roman"/>
          <w:color w:val="auto"/>
          <w:sz w:val="32"/>
          <w:szCs w:val="32"/>
          <w:highlight w:val="none"/>
          <w:lang w:val="en-US"/>
        </w:rPr>
        <w:instrText xml:space="preserve"> = 2 \* GB3 \* MERGEFORMAT </w:instrText>
      </w:r>
      <w:r>
        <w:rPr>
          <w:rFonts w:hint="eastAsia" w:ascii="仿宋_GB2312" w:hAnsi="黑体" w:eastAsia="仿宋_GB2312" w:cs="Times New Roman"/>
          <w:color w:val="auto"/>
          <w:sz w:val="32"/>
          <w:szCs w:val="32"/>
          <w:highlight w:val="none"/>
          <w:lang w:val="en-US"/>
        </w:rPr>
        <w:fldChar w:fldCharType="separate"/>
      </w:r>
      <w:r>
        <w:rPr>
          <w:rFonts w:hint="eastAsia" w:ascii="仿宋_GB2312" w:hAnsi="黑体" w:eastAsia="仿宋_GB2312" w:cs="Times New Roman"/>
          <w:color w:val="auto"/>
          <w:sz w:val="32"/>
          <w:szCs w:val="32"/>
          <w:highlight w:val="none"/>
          <w:lang w:val="en-US"/>
        </w:rPr>
        <w:t>②</w:t>
      </w:r>
      <w:r>
        <w:rPr>
          <w:rFonts w:hint="eastAsia" w:ascii="仿宋_GB2312" w:hAnsi="黑体" w:eastAsia="仿宋_GB2312" w:cs="Times New Roman"/>
          <w:color w:val="auto"/>
          <w:sz w:val="32"/>
          <w:szCs w:val="32"/>
          <w:highlight w:val="none"/>
          <w:lang w:val="en-US"/>
        </w:rPr>
        <w:fldChar w:fldCharType="end"/>
      </w:r>
      <w:r>
        <w:rPr>
          <w:rFonts w:hint="eastAsia" w:ascii="仿宋_GB2312" w:hAnsi="黑体" w:eastAsia="仿宋_GB2312" w:cs="Times New Roman"/>
          <w:color w:val="auto"/>
          <w:sz w:val="32"/>
          <w:szCs w:val="32"/>
          <w:highlight w:val="none"/>
        </w:rPr>
        <w:t>日常运维实施及组织方案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投标人应根据项目需求设计日常运维实施及组织方案，包括但不限于运维实施管理组织方案、维护工作流程设计方案、试剂和标准样品管理组织方案。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③运维应急预案（应急处理解决方案）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投标人应根据项目需求合理设计日运维应急预案，包括但不限于数据、水质异常时设计的应急预案、不可抗力导致不具备运维条件时的应急预案。有效应对水站出现的各类异常和突发情况。</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④数据审核方案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投标人应依据《国家地表水水质自动监测数据审核管理办法（试行）》（总站水字〔2020〕554号）、《河北省地表水水质自动监测站运行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〕57号）相关技术规范，根据项目需求合理设计数据审核方案，包括但不限于职责分工、数据审核规则、内部数据审核制度和数据复核以及运维相关日志、关键参数日常审核等内容，确保监测数据的准确性。</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⑤质控方案</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投标人应根据项目需求合理设计质控组织方案，包括但不限于人员、装备、仪器设备、试剂、监测环境、质量监督等方面。严格按照质量控制与质量保证要求及时开展运维工作。</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1.2.8</w:t>
      </w:r>
      <w:r>
        <w:rPr>
          <w:rFonts w:hint="eastAsia" w:ascii="仿宋_GB2312" w:hAnsi="黑体" w:eastAsia="仿宋_GB2312" w:cs="Times New Roman"/>
          <w:color w:val="auto"/>
          <w:sz w:val="32"/>
          <w:szCs w:val="32"/>
          <w:highlight w:val="none"/>
        </w:rPr>
        <w:t>生物站点水质自动监测站补充运维要求（地都生物站、黄壁庄生物站、岗南生物站、河西头生物站）</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标准模式鱼循环养殖系统日常运维</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包括但不限于模式鱼及丰年虾幼虫孵化</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使用丰年虾卵孵化幼虫投喂标准模式鱼</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采集标准模式鱼受精卵进行孵化</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养殖鱼缸的清洗</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循环水箱的清洗</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过滤材料的更换及清洗。</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标准模式鱼循环养殖系统运维要求</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rPr>
        <w:t>每日</w:t>
      </w:r>
      <w:r>
        <w:rPr>
          <w:rFonts w:hint="eastAsia" w:ascii="仿宋_GB2312" w:hAnsi="黑体" w:eastAsia="仿宋_GB2312" w:cs="Times New Roman"/>
          <w:color w:val="auto"/>
          <w:sz w:val="32"/>
          <w:szCs w:val="32"/>
          <w:highlight w:val="none"/>
          <w:lang w:val="en-US" w:eastAsia="zh-CN"/>
        </w:rPr>
        <w:t>需</w:t>
      </w:r>
      <w:r>
        <w:rPr>
          <w:rFonts w:hint="eastAsia" w:ascii="仿宋_GB2312" w:hAnsi="黑体" w:eastAsia="仿宋_GB2312" w:cs="Times New Roman"/>
          <w:color w:val="auto"/>
          <w:sz w:val="32"/>
          <w:szCs w:val="32"/>
          <w:highlight w:val="none"/>
        </w:rPr>
        <w:t>查看室温</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系统养殖水温</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光照周期控制状态</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养殖鱼缸水位并清理养殖垃圾</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每日投喂两次孵化后的丰年虾幼虫；每周</w:t>
      </w:r>
      <w:r>
        <w:rPr>
          <w:rFonts w:hint="eastAsia" w:ascii="仿宋_GB2312" w:hAnsi="黑体" w:eastAsia="仿宋_GB2312" w:cs="Times New Roman"/>
          <w:color w:val="auto"/>
          <w:sz w:val="32"/>
          <w:szCs w:val="32"/>
          <w:highlight w:val="none"/>
          <w:lang w:val="en-US" w:eastAsia="zh-CN"/>
        </w:rPr>
        <w:t>需</w:t>
      </w:r>
      <w:r>
        <w:rPr>
          <w:rFonts w:hint="eastAsia" w:ascii="仿宋_GB2312" w:hAnsi="黑体" w:eastAsia="仿宋_GB2312" w:cs="Times New Roman"/>
          <w:color w:val="auto"/>
          <w:sz w:val="32"/>
          <w:szCs w:val="32"/>
          <w:highlight w:val="none"/>
        </w:rPr>
        <w:t>清洗养殖鱼缸</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每月清洗循环水箱、过滤材料一次，夏天提高清洗频率</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根据生物预警站运行需求安排标准模式鱼繁殖工作，成鱼（三月龄以上）数量应时刻保持在300条以上；保证养殖系统备品备件充足，包括：丰年虾卵、烧杯、捞网、养殖鱼缸、管路配件、滤材、加热棒等。</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1.2.9</w:t>
      </w:r>
      <w:r>
        <w:rPr>
          <w:rFonts w:hint="eastAsia" w:ascii="仿宋_GB2312" w:hAnsi="黑体" w:eastAsia="仿宋_GB2312" w:cs="Times New Roman"/>
          <w:color w:val="auto"/>
          <w:sz w:val="32"/>
          <w:szCs w:val="32"/>
          <w:highlight w:val="none"/>
        </w:rPr>
        <w:t>成果提交</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月度工作计划及报告</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项目执行期间，投标人需每月最后一周制定并提交下月运维、质控计划，每月第一周提交上月运维报告及质控报告。运维报告应涵盖运维计划执行情况，包括当月运维工作完成情况、水站运行情况（仪器运行情况、监测数据有效率等）、异常或应急响应处理情况（数据异常、数据中断）等内容；质控报告应涵盖质控计划执行情况，包括当月公司周、月质控完成情况。</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报告中要包含运维及质控完成情况、存在问题及评价结论，对未完成绩效目标或偏离绩效目标较大的要单独列明，并分析说明原因。</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中期报告</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中期报告应涵盖项目进度与计划执行、投标文件所承诺的各项工作完成情况，对水站运行和运维进行综合、全面</w:t>
      </w:r>
      <w:r>
        <w:rPr>
          <w:rFonts w:hint="eastAsia" w:ascii="仿宋_GB2312" w:hAnsi="黑体" w:eastAsia="仿宋_GB2312" w:cs="Times New Roman"/>
          <w:color w:val="auto"/>
          <w:sz w:val="32"/>
          <w:szCs w:val="32"/>
          <w:highlight w:val="none"/>
          <w:lang w:val="en-US" w:eastAsia="zh-CN"/>
        </w:rPr>
        <w:t>的</w:t>
      </w:r>
      <w:r>
        <w:rPr>
          <w:rFonts w:hint="eastAsia" w:ascii="仿宋_GB2312" w:hAnsi="黑体" w:eastAsia="仿宋_GB2312" w:cs="Times New Roman"/>
          <w:color w:val="auto"/>
          <w:sz w:val="32"/>
          <w:szCs w:val="32"/>
          <w:highlight w:val="none"/>
        </w:rPr>
        <w:t>评价。</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项目整体情况报告</w:t>
      </w:r>
    </w:p>
    <w:p>
      <w:pPr>
        <w:spacing w:line="560" w:lineRule="exact"/>
        <w:ind w:firstLine="640" w:firstLineChars="200"/>
        <w:jc w:val="left"/>
        <w:rPr>
          <w:rFonts w:hint="eastAsia"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rPr>
        <w:t>项目结束后，投标人依据项目执行及完成情况编写项目整体情况报告，并提交给采购人。项目整体情况报告应涵盖项目整体完成情况、各项工作与投标文件所承诺内容的符合情况、项目绩效评价、依约须提交的成果及证明文件等内容。</w:t>
      </w:r>
    </w:p>
    <w:p>
      <w:pPr>
        <w:spacing w:line="560" w:lineRule="exact"/>
        <w:ind w:firstLine="640" w:firstLineChars="200"/>
        <w:jc w:val="left"/>
        <w:outlineLvl w:val="3"/>
        <w:rPr>
          <w:rFonts w:hint="eastAsia" w:ascii="仿宋_GB2312" w:hAnsi="黑体" w:eastAsia="仿宋_GB2312" w:cs="Times New Roman"/>
          <w:b w:val="0"/>
          <w:bCs w:val="0"/>
          <w:color w:val="auto"/>
          <w:sz w:val="32"/>
          <w:szCs w:val="32"/>
          <w:highlight w:val="none"/>
        </w:rPr>
      </w:pPr>
      <w:r>
        <w:rPr>
          <w:rFonts w:hint="eastAsia" w:ascii="仿宋_GB2312" w:hAnsi="黑体" w:eastAsia="仿宋_GB2312" w:cs="Times New Roman"/>
          <w:b w:val="0"/>
          <w:bCs w:val="0"/>
          <w:color w:val="auto"/>
          <w:sz w:val="32"/>
          <w:szCs w:val="32"/>
          <w:highlight w:val="none"/>
          <w:lang w:val="en-US" w:eastAsia="zh-CN"/>
        </w:rPr>
        <w:t>1.3</w:t>
      </w:r>
      <w:r>
        <w:rPr>
          <w:rFonts w:hint="eastAsia" w:ascii="仿宋_GB2312" w:hAnsi="黑体" w:eastAsia="仿宋_GB2312" w:cs="Times New Roman"/>
          <w:b w:val="0"/>
          <w:bCs w:val="0"/>
          <w:color w:val="auto"/>
          <w:sz w:val="32"/>
          <w:szCs w:val="32"/>
          <w:highlight w:val="none"/>
        </w:rPr>
        <w:t>质量控制与质量保证</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1.</w:t>
      </w:r>
      <w:r>
        <w:rPr>
          <w:rFonts w:hint="eastAsia" w:ascii="仿宋_GB2312" w:hAnsi="黑体" w:eastAsia="仿宋_GB2312" w:cs="Times New Roman"/>
          <w:color w:val="auto"/>
          <w:sz w:val="32"/>
          <w:szCs w:val="32"/>
          <w:highlight w:val="none"/>
          <w:lang w:val="en-US" w:eastAsia="zh-CN"/>
        </w:rPr>
        <w:t>3.1</w:t>
      </w:r>
      <w:r>
        <w:rPr>
          <w:rFonts w:hint="eastAsia" w:ascii="仿宋_GB2312" w:hAnsi="黑体" w:eastAsia="仿宋_GB2312" w:cs="Times New Roman"/>
          <w:color w:val="auto"/>
          <w:sz w:val="32"/>
          <w:szCs w:val="32"/>
          <w:highlight w:val="none"/>
        </w:rPr>
        <w:t>质控核查要求</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rPr>
        <w:t>各水站须完成每周周核查；每月完成集成干预检查、多点线性核查、实际水样比对、加标回收；每年完成性能测试等质控措施，且将自动分析的数据结果、流程日志和关键参数上传至平台。详细要求见表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w:t>
      </w:r>
    </w:p>
    <w:p>
      <w:pPr>
        <w:spacing w:line="560" w:lineRule="exact"/>
        <w:ind w:firstLine="640" w:firstLineChars="200"/>
        <w:jc w:val="left"/>
        <w:outlineLvl w:val="4"/>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1.3</w:t>
      </w:r>
      <w:r>
        <w:rPr>
          <w:rFonts w:hint="eastAsia" w:ascii="仿宋_GB2312" w:hAnsi="黑体" w:eastAsia="仿宋_GB2312" w:cs="Times New Roman"/>
          <w:color w:val="auto"/>
          <w:sz w:val="32"/>
          <w:szCs w:val="32"/>
          <w:highlight w:val="none"/>
        </w:rPr>
        <w:t>.</w:t>
      </w:r>
      <w:r>
        <w:rPr>
          <w:rFonts w:hint="eastAsia"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rPr>
        <w:t>质控措施实施与要求</w:t>
      </w:r>
    </w:p>
    <w:p>
      <w:pPr>
        <w:spacing w:line="560" w:lineRule="exact"/>
        <w:ind w:firstLine="640" w:firstLineChars="200"/>
        <w:jc w:val="left"/>
        <w:rPr>
          <w:rFonts w:hint="eastAsia" w:ascii="仿宋" w:hAnsi="仿宋" w:eastAsia="仿宋" w:cs="仿宋"/>
          <w:b/>
          <w:color w:val="auto"/>
          <w:sz w:val="24"/>
          <w:highlight w:val="none"/>
        </w:rPr>
      </w:pPr>
      <w:r>
        <w:rPr>
          <w:rFonts w:hint="eastAsia" w:ascii="仿宋_GB2312" w:hAnsi="黑体" w:eastAsia="仿宋_GB2312" w:cs="Times New Roman"/>
          <w:color w:val="auto"/>
          <w:sz w:val="32"/>
          <w:szCs w:val="32"/>
          <w:highlight w:val="none"/>
        </w:rPr>
        <w:t>水质自动站质控措施开展频次不低于表</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要求，质控措施实施满足表</w:t>
      </w:r>
      <w:r>
        <w:rPr>
          <w:rFonts w:hint="eastAsia" w:ascii="仿宋_GB2312" w:hAnsi="黑体" w:eastAsia="仿宋_GB2312" w:cs="Times New Roman"/>
          <w:color w:val="auto"/>
          <w:sz w:val="32"/>
          <w:szCs w:val="32"/>
          <w:highlight w:val="none"/>
          <w:lang w:val="en-US" w:eastAsia="zh-CN"/>
        </w:rPr>
        <w:t>4</w:t>
      </w:r>
      <w:r>
        <w:rPr>
          <w:rFonts w:hint="eastAsia" w:ascii="仿宋_GB2312" w:hAnsi="黑体" w:eastAsia="仿宋_GB2312" w:cs="Times New Roman"/>
          <w:color w:val="auto"/>
          <w:sz w:val="32"/>
          <w:szCs w:val="32"/>
          <w:highlight w:val="none"/>
        </w:rPr>
        <w:t>、表</w:t>
      </w:r>
      <w:r>
        <w:rPr>
          <w:rFonts w:hint="eastAsia" w:ascii="仿宋_GB2312" w:hAnsi="黑体" w:eastAsia="仿宋_GB2312" w:cs="Times New Roman"/>
          <w:color w:val="auto"/>
          <w:sz w:val="32"/>
          <w:szCs w:val="32"/>
          <w:highlight w:val="none"/>
          <w:lang w:val="en-US" w:eastAsia="zh-CN"/>
        </w:rPr>
        <w:t>5</w:t>
      </w:r>
      <w:r>
        <w:rPr>
          <w:rFonts w:hint="eastAsia" w:ascii="仿宋_GB2312" w:hAnsi="黑体" w:eastAsia="仿宋_GB2312" w:cs="Times New Roman"/>
          <w:color w:val="auto"/>
          <w:sz w:val="32"/>
          <w:szCs w:val="32"/>
          <w:highlight w:val="none"/>
        </w:rPr>
        <w:t>技术规范要求。根据管理部门要求，质控措施如有调整，以新要求为准，增加质控措施，运维费用不变；减少质控措施</w:t>
      </w:r>
      <w:r>
        <w:rPr>
          <w:rFonts w:hint="eastAsia" w:ascii="仿宋_GB2312" w:hAnsi="黑体" w:eastAsia="仿宋_GB2312" w:cs="Times New Roman"/>
          <w:color w:val="auto"/>
          <w:sz w:val="32"/>
          <w:szCs w:val="32"/>
          <w:highlight w:val="none"/>
          <w:lang w:eastAsia="zh-CN"/>
        </w:rPr>
        <w:t>，</w:t>
      </w:r>
      <w:r>
        <w:rPr>
          <w:rFonts w:hint="eastAsia" w:ascii="仿宋_GB2312" w:hAnsi="黑体" w:eastAsia="仿宋_GB2312" w:cs="Times New Roman"/>
          <w:color w:val="auto"/>
          <w:sz w:val="32"/>
          <w:szCs w:val="32"/>
          <w:highlight w:val="none"/>
        </w:rPr>
        <w:t>费用相应减少。</w:t>
      </w:r>
    </w:p>
    <w:p>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3</w:t>
      </w:r>
      <w:r>
        <w:rPr>
          <w:rFonts w:hint="eastAsia" w:ascii="仿宋" w:hAnsi="仿宋" w:eastAsia="仿宋" w:cs="仿宋"/>
          <w:b/>
          <w:color w:val="auto"/>
          <w:sz w:val="24"/>
          <w:highlight w:val="none"/>
        </w:rPr>
        <w:t xml:space="preserve">  质控措施及实施频次</w:t>
      </w:r>
    </w:p>
    <w:tbl>
      <w:tblPr>
        <w:tblStyle w:val="24"/>
        <w:tblpPr w:leftFromText="180" w:rightFromText="180" w:vertAnchor="text" w:horzAnchor="margin" w:tblpXSpec="center" w:tblpY="117"/>
        <w:tblW w:w="8863" w:type="dxa"/>
        <w:tblInd w:w="0" w:type="dxa"/>
        <w:tblLayout w:type="fixed"/>
        <w:tblCellMar>
          <w:top w:w="0" w:type="dxa"/>
          <w:left w:w="108" w:type="dxa"/>
          <w:bottom w:w="0" w:type="dxa"/>
          <w:right w:w="108" w:type="dxa"/>
        </w:tblCellMar>
      </w:tblPr>
      <w:tblGrid>
        <w:gridCol w:w="2120"/>
        <w:gridCol w:w="1400"/>
        <w:gridCol w:w="1429"/>
        <w:gridCol w:w="1140"/>
        <w:gridCol w:w="2774"/>
      </w:tblGrid>
      <w:tr>
        <w:tblPrEx>
          <w:tblCellMar>
            <w:top w:w="0" w:type="dxa"/>
            <w:left w:w="108" w:type="dxa"/>
            <w:bottom w:w="0" w:type="dxa"/>
            <w:right w:w="108" w:type="dxa"/>
          </w:tblCellMar>
        </w:tblPrEx>
        <w:trPr>
          <w:trHeight w:val="512" w:hRule="atLeast"/>
        </w:trPr>
        <w:tc>
          <w:tcPr>
            <w:tcW w:w="212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质控措施</w:t>
            </w:r>
          </w:p>
        </w:tc>
        <w:tc>
          <w:tcPr>
            <w:tcW w:w="2829"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水质类别</w:t>
            </w:r>
          </w:p>
        </w:tc>
        <w:tc>
          <w:tcPr>
            <w:tcW w:w="114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质控频次</w:t>
            </w:r>
          </w:p>
        </w:tc>
        <w:tc>
          <w:tcPr>
            <w:tcW w:w="2774"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实施参数</w:t>
            </w:r>
          </w:p>
        </w:tc>
      </w:tr>
      <w:tr>
        <w:tblPrEx>
          <w:tblCellMar>
            <w:top w:w="0" w:type="dxa"/>
            <w:left w:w="108" w:type="dxa"/>
            <w:bottom w:w="0" w:type="dxa"/>
            <w:right w:w="108" w:type="dxa"/>
          </w:tblCellMar>
        </w:tblPrEx>
        <w:tc>
          <w:tcPr>
            <w:tcW w:w="212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Ⅰ~Ⅱ类水体</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Ⅲ~劣Ⅴ类水体</w:t>
            </w:r>
          </w:p>
        </w:tc>
        <w:tc>
          <w:tcPr>
            <w:tcW w:w="1140"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c>
          <w:tcPr>
            <w:tcW w:w="2774" w:type="dxa"/>
            <w:vMerge w:val="continue"/>
            <w:tcBorders>
              <w:top w:val="single" w:color="auto" w:sz="4" w:space="0"/>
              <w:left w:val="single" w:color="auto" w:sz="4" w:space="0"/>
              <w:bottom w:val="single" w:color="auto" w:sz="4" w:space="0"/>
              <w:right w:val="single" w:color="auto" w:sz="4" w:space="0"/>
            </w:tcBorders>
            <w:noWrap w:val="0"/>
            <w:vAlign w:val="center"/>
          </w:tcPr>
          <w:p>
            <w:pPr>
              <w:rPr>
                <w:rFonts w:hint="eastAsia" w:ascii="仿宋" w:hAnsi="仿宋" w:eastAsia="仿宋" w:cs="仿宋"/>
                <w:color w:val="auto"/>
                <w:sz w:val="24"/>
                <w:highlight w:val="none"/>
              </w:rPr>
            </w:pPr>
          </w:p>
        </w:tc>
      </w:tr>
      <w:tr>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每7天</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p>
        </w:tc>
      </w:tr>
      <w:tr>
        <w:tblPrEx>
          <w:tblCellMar>
            <w:top w:w="0" w:type="dxa"/>
            <w:left w:w="108" w:type="dxa"/>
            <w:bottom w:w="0" w:type="dxa"/>
            <w:right w:w="108" w:type="dxa"/>
          </w:tblCellMar>
        </w:tblPrEx>
        <w:trPr>
          <w:trHeight w:val="504"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both"/>
              <w:rPr>
                <w:rFonts w:hint="eastAsia" w:ascii="仿宋" w:hAnsi="仿宋" w:eastAsia="仿宋" w:cs="仿宋"/>
                <w:color w:val="auto"/>
                <w:sz w:val="24"/>
                <w:highlight w:val="none"/>
                <w:lang w:eastAsia="zh-CN"/>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重金属</w:t>
            </w:r>
            <w:r>
              <w:rPr>
                <w:rFonts w:hint="eastAsia" w:ascii="仿宋" w:hAnsi="仿宋" w:eastAsia="仿宋" w:cs="仿宋"/>
                <w:color w:val="auto"/>
                <w:sz w:val="24"/>
                <w:highlight w:val="none"/>
                <w:lang w:val="en-US" w:eastAsia="zh-CN"/>
              </w:rPr>
              <w:t>等</w:t>
            </w:r>
          </w:p>
        </w:tc>
      </w:tr>
      <w:tr>
        <w:tblPrEx>
          <w:tblCellMar>
            <w:top w:w="0" w:type="dxa"/>
            <w:left w:w="108" w:type="dxa"/>
            <w:bottom w:w="0" w:type="dxa"/>
            <w:right w:w="108" w:type="dxa"/>
          </w:tblCellMar>
        </w:tblPrEx>
        <w:trPr>
          <w:trHeight w:val="439"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restart"/>
            <w:tcBorders>
              <w:top w:val="single" w:color="auto" w:sz="4" w:space="0"/>
              <w:left w:val="single" w:color="auto" w:sz="4" w:space="0"/>
              <w:right w:val="single" w:color="auto" w:sz="4" w:space="0"/>
            </w:tcBorders>
            <w:noWrap w:val="0"/>
            <w:vAlign w:val="center"/>
          </w:tcPr>
          <w:p>
            <w:pPr>
              <w:jc w:val="left"/>
              <w:rPr>
                <w:rFonts w:hint="default" w:ascii="仿宋" w:hAnsi="仿宋" w:eastAsia="仿宋" w:cs="仿宋"/>
                <w:color w:val="auto"/>
                <w:sz w:val="24"/>
                <w:highlight w:val="none"/>
                <w:lang w:val="en-US" w:eastAsia="zh-CN"/>
              </w:rPr>
            </w:pPr>
            <w:r>
              <w:rPr>
                <w:rFonts w:hint="eastAsia" w:ascii="仿宋" w:hAnsi="仿宋" w:eastAsia="仿宋" w:cs="仿宋"/>
                <w:color w:val="auto"/>
                <w:sz w:val="24"/>
                <w:highlight w:val="none"/>
              </w:rPr>
              <w:t>氨氮、高锰酸盐指数、总磷</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总氮</w:t>
            </w:r>
          </w:p>
        </w:tc>
      </w:tr>
      <w:tr>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p>
        </w:tc>
      </w:tr>
      <w:tr>
        <w:tblPrEx>
          <w:tblCellMar>
            <w:top w:w="0" w:type="dxa"/>
            <w:left w:w="108" w:type="dxa"/>
            <w:bottom w:w="0" w:type="dxa"/>
            <w:right w:w="108" w:type="dxa"/>
          </w:tblCellMar>
        </w:tblPrEx>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每月</w:t>
            </w:r>
          </w:p>
        </w:tc>
        <w:tc>
          <w:tcPr>
            <w:tcW w:w="2774" w:type="dxa"/>
            <w:vMerge w:val="continue"/>
            <w:tcBorders>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p>
        </w:tc>
      </w:tr>
      <w:tr>
        <w:tblPrEx>
          <w:tblCellMar>
            <w:top w:w="0" w:type="dxa"/>
            <w:left w:w="108" w:type="dxa"/>
            <w:bottom w:w="0" w:type="dxa"/>
            <w:right w:w="108" w:type="dxa"/>
          </w:tblCellMar>
        </w:tblPrEx>
        <w:trPr>
          <w:trHeight w:val="517" w:hRule="atLeast"/>
        </w:trPr>
        <w:tc>
          <w:tcPr>
            <w:tcW w:w="212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性能测试</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114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每年</w:t>
            </w:r>
          </w:p>
        </w:tc>
        <w:tc>
          <w:tcPr>
            <w:tcW w:w="2774" w:type="dxa"/>
            <w:tcBorders>
              <w:top w:val="single" w:color="auto" w:sz="4" w:space="0"/>
              <w:left w:val="single" w:color="auto" w:sz="4" w:space="0"/>
              <w:bottom w:val="single" w:color="auto" w:sz="4" w:space="0"/>
              <w:right w:val="single" w:color="auto" w:sz="4" w:space="0"/>
            </w:tcBorders>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常规</w:t>
            </w:r>
            <w:r>
              <w:rPr>
                <w:rFonts w:hint="eastAsia" w:ascii="仿宋" w:hAnsi="仿宋" w:eastAsia="仿宋" w:cs="仿宋"/>
                <w:color w:val="auto"/>
                <w:sz w:val="24"/>
                <w:highlight w:val="none"/>
                <w:lang w:val="en-US" w:eastAsia="zh-CN"/>
              </w:rPr>
              <w:t>九</w:t>
            </w:r>
            <w:r>
              <w:rPr>
                <w:rFonts w:hint="eastAsia" w:ascii="仿宋" w:hAnsi="仿宋" w:eastAsia="仿宋" w:cs="仿宋"/>
                <w:color w:val="auto"/>
                <w:sz w:val="24"/>
                <w:highlight w:val="none"/>
              </w:rPr>
              <w:t>参数</w:t>
            </w:r>
          </w:p>
        </w:tc>
      </w:tr>
      <w:tr>
        <w:tc>
          <w:tcPr>
            <w:tcW w:w="8863"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ascii="仿宋" w:hAnsi="仿宋" w:eastAsia="仿宋" w:cs="仿宋"/>
                <w:color w:val="auto"/>
                <w:sz w:val="24"/>
                <w:highlight w:val="none"/>
              </w:rPr>
            </w:pPr>
            <w:r>
              <w:rPr>
                <w:rFonts w:hint="eastAsia" w:ascii="仿宋" w:hAnsi="仿宋" w:eastAsia="仿宋" w:cs="仿宋"/>
                <w:color w:val="auto"/>
                <w:sz w:val="24"/>
                <w:highlight w:val="none"/>
              </w:rPr>
              <w:t>注：</w:t>
            </w:r>
            <w:r>
              <w:rPr>
                <w:rFonts w:hint="eastAsia" w:ascii="仿宋" w:hAnsi="仿宋" w:eastAsia="仿宋" w:cs="仿宋"/>
                <w:b/>
                <w:color w:val="auto"/>
                <w:sz w:val="24"/>
                <w:highlight w:val="none"/>
              </w:rPr>
              <w:t>常规</w:t>
            </w:r>
            <w:r>
              <w:rPr>
                <w:rFonts w:hint="eastAsia" w:ascii="仿宋" w:hAnsi="仿宋" w:eastAsia="仿宋" w:cs="仿宋"/>
                <w:b/>
                <w:color w:val="auto"/>
                <w:sz w:val="24"/>
                <w:highlight w:val="none"/>
                <w:lang w:val="en-US" w:eastAsia="zh-CN"/>
              </w:rPr>
              <w:t>九</w:t>
            </w:r>
            <w:r>
              <w:rPr>
                <w:rFonts w:hint="eastAsia" w:ascii="仿宋" w:hAnsi="仿宋" w:eastAsia="仿宋" w:cs="仿宋"/>
                <w:b/>
                <w:color w:val="auto"/>
                <w:sz w:val="24"/>
                <w:highlight w:val="none"/>
              </w:rPr>
              <w:t>参数</w:t>
            </w:r>
            <w:r>
              <w:rPr>
                <w:rFonts w:hint="eastAsia" w:ascii="仿宋" w:hAnsi="仿宋" w:eastAsia="仿宋" w:cs="仿宋"/>
                <w:color w:val="auto"/>
                <w:sz w:val="24"/>
                <w:highlight w:val="none"/>
              </w:rPr>
              <w:t>是指高锰酸盐指数、氨氮、总磷</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rPr>
              <w:t>总氮、水温、pH值、溶解氧、电导率、浊度</w:t>
            </w:r>
            <w:r>
              <w:rPr>
                <w:rFonts w:hint="eastAsia" w:ascii="仿宋" w:hAnsi="仿宋" w:eastAsia="仿宋" w:cs="仿宋"/>
                <w:color w:val="auto"/>
                <w:sz w:val="24"/>
                <w:highlight w:val="none"/>
                <w:lang w:val="en-US" w:eastAsia="zh-CN"/>
              </w:rPr>
              <w:t>9</w:t>
            </w:r>
            <w:r>
              <w:rPr>
                <w:rFonts w:hint="eastAsia" w:ascii="仿宋" w:hAnsi="仿宋" w:eastAsia="仿宋" w:cs="仿宋"/>
                <w:color w:val="auto"/>
                <w:sz w:val="24"/>
                <w:highlight w:val="none"/>
              </w:rPr>
              <w:t>个监测参数</w:t>
            </w:r>
            <w:r>
              <w:rPr>
                <w:rFonts w:hint="eastAsia" w:ascii="仿宋" w:hAnsi="仿宋" w:eastAsia="仿宋" w:cs="仿宋"/>
                <w:color w:val="auto"/>
                <w:sz w:val="24"/>
                <w:highlight w:val="none"/>
                <w:lang w:eastAsia="zh-CN"/>
              </w:rPr>
              <w:t>；</w:t>
            </w:r>
            <w:r>
              <w:rPr>
                <w:rFonts w:hint="eastAsia" w:ascii="仿宋" w:hAnsi="仿宋" w:eastAsia="仿宋" w:cs="仿宋"/>
                <w:b/>
                <w:color w:val="auto"/>
                <w:sz w:val="24"/>
                <w:highlight w:val="none"/>
              </w:rPr>
              <w:t>重金属</w:t>
            </w:r>
            <w:r>
              <w:rPr>
                <w:rFonts w:hint="eastAsia" w:ascii="仿宋" w:hAnsi="仿宋" w:eastAsia="仿宋" w:cs="仿宋"/>
                <w:color w:val="auto"/>
                <w:sz w:val="24"/>
                <w:highlight w:val="none"/>
              </w:rPr>
              <w:t>是指汞、镉、砷、铅、六价铬</w:t>
            </w:r>
            <w:r>
              <w:rPr>
                <w:rFonts w:hint="eastAsia" w:ascii="仿宋" w:hAnsi="仿宋" w:eastAsia="仿宋" w:cs="仿宋"/>
                <w:color w:val="auto"/>
                <w:sz w:val="24"/>
                <w:highlight w:val="none"/>
                <w:lang w:eastAsia="zh-CN"/>
              </w:rPr>
              <w:t>、</w:t>
            </w:r>
            <w:r>
              <w:rPr>
                <w:rFonts w:hint="eastAsia" w:ascii="仿宋" w:hAnsi="仿宋" w:eastAsia="仿宋" w:cs="仿宋"/>
                <w:color w:val="auto"/>
                <w:sz w:val="24"/>
                <w:highlight w:val="none"/>
                <w:lang w:val="en-US" w:eastAsia="zh-CN"/>
              </w:rPr>
              <w:t>铜、锌、镍；</w:t>
            </w:r>
          </w:p>
        </w:tc>
      </w:tr>
    </w:tbl>
    <w:p>
      <w:pPr>
        <w:spacing w:line="360" w:lineRule="auto"/>
        <w:jc w:val="both"/>
        <w:rPr>
          <w:rFonts w:hint="eastAsia" w:ascii="仿宋" w:hAnsi="仿宋" w:eastAsia="仿宋" w:cs="仿宋"/>
          <w:b/>
          <w:color w:val="auto"/>
          <w:sz w:val="24"/>
          <w:highlight w:val="none"/>
        </w:rPr>
      </w:pPr>
    </w:p>
    <w:p>
      <w:pPr>
        <w:spacing w:line="360" w:lineRule="auto"/>
        <w:ind w:firstLine="482" w:firstLineChars="200"/>
        <w:jc w:val="center"/>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4</w:t>
      </w:r>
      <w:r>
        <w:rPr>
          <w:rFonts w:hint="eastAsia" w:ascii="仿宋" w:hAnsi="仿宋" w:eastAsia="仿宋" w:cs="仿宋"/>
          <w:b/>
          <w:color w:val="auto"/>
          <w:sz w:val="24"/>
          <w:highlight w:val="none"/>
        </w:rPr>
        <w:t xml:space="preserve">  常规五参数质控措施技术要求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3"/>
        <w:gridCol w:w="2505"/>
        <w:gridCol w:w="1230"/>
        <w:gridCol w:w="2055"/>
        <w:gridCol w:w="1320"/>
        <w:gridCol w:w="8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监测项目</w:t>
            </w:r>
          </w:p>
        </w:tc>
        <w:tc>
          <w:tcPr>
            <w:tcW w:w="7110"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17"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817"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 w:hRule="atLeast"/>
          <w:jc w:val="center"/>
        </w:trPr>
        <w:tc>
          <w:tcPr>
            <w:tcW w:w="110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水温</w:t>
            </w: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w:t>
            </w:r>
          </w:p>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水站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pH值</w:t>
            </w:r>
          </w:p>
        </w:tc>
        <w:tc>
          <w:tcPr>
            <w:tcW w:w="373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±0.15</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±0.5</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w:t>
            </w:r>
          </w:p>
        </w:tc>
        <w:tc>
          <w:tcPr>
            <w:tcW w:w="3735"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±0.3mg/L</w:t>
            </w: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w:t>
            </w:r>
            <w:r>
              <w:rPr>
                <w:rFonts w:hint="eastAsia" w:ascii="仿宋" w:hAnsi="仿宋" w:eastAsia="仿宋" w:cs="仿宋"/>
                <w:color w:val="auto"/>
                <w:sz w:val="24"/>
                <w:highlight w:val="none"/>
                <w:lang w:val="en-US" w:eastAsia="zh-CN"/>
              </w:rPr>
              <w:t>5</w:t>
            </w:r>
            <w:r>
              <w:rPr>
                <w:rFonts w:hint="eastAsia" w:ascii="仿宋" w:hAnsi="仿宋" w:eastAsia="仿宋" w:cs="仿宋"/>
                <w:color w:val="auto"/>
                <w:sz w:val="24"/>
                <w:highlight w:val="none"/>
              </w:rPr>
              <w:t>mg/L</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3735" w:type="dxa"/>
            <w:gridSpan w:val="2"/>
            <w:vMerge w:val="continue"/>
            <w:noWrap w:val="0"/>
            <w:vAlign w:val="center"/>
          </w:tcPr>
          <w:p>
            <w:pPr>
              <w:jc w:val="center"/>
              <w:rPr>
                <w:rFonts w:hint="eastAsia" w:ascii="仿宋" w:hAnsi="仿宋" w:eastAsia="仿宋" w:cs="仿宋"/>
                <w:color w:val="auto"/>
                <w:sz w:val="24"/>
                <w:highlight w:val="none"/>
              </w:rPr>
            </w:pPr>
          </w:p>
        </w:tc>
        <w:tc>
          <w:tcPr>
            <w:tcW w:w="3375"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溶解氧过饱和时不考核</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w:t>
            </w:r>
          </w:p>
        </w:tc>
        <w:tc>
          <w:tcPr>
            <w:tcW w:w="250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标准溶液值≤100μS/cm</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±5μS/cm</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电导率≤100μS/cm</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±10μS/cm</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(浑)浊度</w:t>
            </w: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205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浊度≤30NTU；浊度≥1000NTU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不考核</w:t>
            </w:r>
          </w:p>
        </w:tc>
        <w:tc>
          <w:tcPr>
            <w:tcW w:w="817"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±15%</w:t>
            </w:r>
          </w:p>
        </w:tc>
        <w:tc>
          <w:tcPr>
            <w:tcW w:w="205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30NTU＜浊度≤50NTU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±30%</w:t>
            </w:r>
          </w:p>
        </w:tc>
        <w:tc>
          <w:tcPr>
            <w:tcW w:w="817" w:type="dxa"/>
            <w:vMerge w:val="continue"/>
            <w:noWrap w:val="0"/>
            <w:vAlign w:val="center"/>
          </w:tcPr>
          <w:p>
            <w:pPr>
              <w:jc w:val="center"/>
              <w:rPr>
                <w:rFonts w:hint="eastAsia" w:ascii="仿宋" w:hAnsi="仿宋" w:eastAsia="仿宋" w:cs="仿宋"/>
                <w:bCs/>
                <w:color w:val="auto"/>
                <w:sz w:val="24"/>
                <w:highlight w:val="none"/>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103" w:type="dxa"/>
            <w:vMerge w:val="continue"/>
            <w:noWrap w:val="0"/>
            <w:vAlign w:val="center"/>
          </w:tcPr>
          <w:p>
            <w:pPr>
              <w:jc w:val="center"/>
              <w:rPr>
                <w:rFonts w:hint="eastAsia" w:ascii="仿宋" w:hAnsi="仿宋" w:eastAsia="仿宋" w:cs="仿宋"/>
                <w:color w:val="auto"/>
                <w:sz w:val="24"/>
                <w:highlight w:val="none"/>
              </w:rPr>
            </w:pPr>
          </w:p>
        </w:tc>
        <w:tc>
          <w:tcPr>
            <w:tcW w:w="2505"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23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2055"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50NTU＜浊度＜1000NTU</w:t>
            </w:r>
          </w:p>
        </w:tc>
        <w:tc>
          <w:tcPr>
            <w:tcW w:w="1320"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±20%</w:t>
            </w:r>
          </w:p>
        </w:tc>
        <w:tc>
          <w:tcPr>
            <w:tcW w:w="817" w:type="dxa"/>
            <w:vMerge w:val="continue"/>
            <w:noWrap w:val="0"/>
            <w:vAlign w:val="center"/>
          </w:tcPr>
          <w:p>
            <w:pPr>
              <w:jc w:val="center"/>
              <w:rPr>
                <w:rFonts w:hint="eastAsia" w:ascii="仿宋" w:hAnsi="仿宋" w:eastAsia="仿宋" w:cs="仿宋"/>
                <w:bCs/>
                <w:color w:val="auto"/>
                <w:sz w:val="24"/>
                <w:highlight w:val="none"/>
                <w:lang w:val="zh-CN"/>
              </w:rPr>
            </w:pPr>
          </w:p>
        </w:tc>
      </w:tr>
    </w:tbl>
    <w:p>
      <w:pPr>
        <w:spacing w:line="360" w:lineRule="auto"/>
        <w:ind w:firstLine="480" w:firstLineChars="200"/>
        <w:jc w:val="center"/>
        <w:rPr>
          <w:rFonts w:hint="eastAsia" w:ascii="仿宋" w:hAnsi="仿宋" w:eastAsia="仿宋" w:cs="仿宋"/>
          <w:color w:val="auto"/>
          <w:sz w:val="24"/>
          <w:highlight w:val="none"/>
        </w:rPr>
      </w:pPr>
    </w:p>
    <w:p>
      <w:pPr>
        <w:spacing w:line="360" w:lineRule="auto"/>
        <w:ind w:firstLine="482" w:firstLineChars="200"/>
        <w:rPr>
          <w:rFonts w:hint="eastAsia" w:ascii="仿宋" w:hAnsi="仿宋" w:eastAsia="仿宋" w:cs="仿宋"/>
          <w:b/>
          <w:color w:val="auto"/>
          <w:sz w:val="24"/>
          <w:highlight w:val="none"/>
        </w:rPr>
      </w:pPr>
      <w:r>
        <w:rPr>
          <w:rFonts w:hint="eastAsia" w:ascii="仿宋" w:hAnsi="仿宋" w:eastAsia="仿宋" w:cs="仿宋"/>
          <w:b/>
          <w:color w:val="auto"/>
          <w:sz w:val="24"/>
          <w:highlight w:val="none"/>
        </w:rPr>
        <w:t>表</w:t>
      </w:r>
      <w:r>
        <w:rPr>
          <w:rFonts w:hint="eastAsia" w:ascii="仿宋" w:hAnsi="仿宋" w:eastAsia="仿宋" w:cs="仿宋"/>
          <w:b/>
          <w:color w:val="auto"/>
          <w:sz w:val="24"/>
          <w:highlight w:val="none"/>
          <w:lang w:val="en-US" w:eastAsia="zh-CN"/>
        </w:rPr>
        <w:t>5</w:t>
      </w:r>
      <w:r>
        <w:rPr>
          <w:rFonts w:hint="eastAsia" w:ascii="仿宋" w:hAnsi="仿宋" w:eastAsia="仿宋" w:cs="仿宋"/>
          <w:b/>
          <w:color w:val="auto"/>
          <w:sz w:val="24"/>
          <w:highlight w:val="none"/>
        </w:rPr>
        <w:t xml:space="preserve">  氨氮、化学需氧量（高锰酸盐指数）、总磷（总氮）质控措施技术要求</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3"/>
        <w:gridCol w:w="1541"/>
        <w:gridCol w:w="1730"/>
        <w:gridCol w:w="386"/>
        <w:gridCol w:w="1708"/>
        <w:gridCol w:w="1763"/>
        <w:gridCol w:w="8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质控措施</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技术要求</w:t>
            </w:r>
          </w:p>
        </w:tc>
        <w:tc>
          <w:tcPr>
            <w:tcW w:w="864"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化学需氧量（高锰酸盐指数）</w:t>
            </w:r>
          </w:p>
        </w:tc>
        <w:tc>
          <w:tcPr>
            <w:tcW w:w="1708"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氨氮</w:t>
            </w:r>
          </w:p>
        </w:tc>
        <w:tc>
          <w:tcPr>
            <w:tcW w:w="1763" w:type="dxa"/>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总磷（总氮）</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2604"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标样核查</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bCs/>
                <w:color w:val="auto"/>
                <w:sz w:val="24"/>
                <w:highlight w:val="none"/>
              </w:rPr>
              <w:t>±10%</w:t>
            </w:r>
          </w:p>
        </w:tc>
        <w:tc>
          <w:tcPr>
            <w:tcW w:w="864" w:type="dxa"/>
            <w:vMerge w:val="restart"/>
            <w:noWrap w:val="0"/>
            <w:vAlign w:val="center"/>
          </w:tcPr>
          <w:p>
            <w:pPr>
              <w:rPr>
                <w:rFonts w:hint="eastAsia" w:ascii="仿宋" w:hAnsi="仿宋" w:eastAsia="仿宋" w:cs="仿宋"/>
                <w:color w:val="auto"/>
                <w:sz w:val="24"/>
                <w:highlight w:val="none"/>
              </w:rPr>
            </w:pPr>
          </w:p>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所有水站</w:t>
            </w:r>
          </w:p>
          <w:p>
            <w:pPr>
              <w:rPr>
                <w:rFonts w:hint="eastAsia" w:ascii="仿宋" w:hAnsi="仿宋" w:eastAsia="仿宋" w:cs="仿宋"/>
                <w:color w:val="auto"/>
                <w:sz w:val="24"/>
                <w:highlight w:val="none"/>
              </w:rPr>
            </w:pPr>
          </w:p>
          <w:p>
            <w:pPr>
              <w:jc w:val="left"/>
              <w:rPr>
                <w:rFonts w:hint="eastAsia" w:ascii="仿宋" w:hAnsi="仿宋" w:eastAsia="仿宋" w:cs="仿宋"/>
                <w:color w:val="auto"/>
                <w:sz w:val="24"/>
                <w:highlight w:val="none"/>
              </w:rPr>
            </w:pPr>
          </w:p>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1063" w:type="dxa"/>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多点线性核查</w:t>
            </w:r>
          </w:p>
        </w:tc>
        <w:tc>
          <w:tcPr>
            <w:tcW w:w="1541" w:type="dxa"/>
            <w:noWrap w:val="0"/>
            <w:vAlign w:val="center"/>
          </w:tcPr>
          <w:p>
            <w:pPr>
              <w:rPr>
                <w:rFonts w:hint="eastAsia" w:ascii="仿宋" w:hAnsi="仿宋" w:eastAsia="仿宋" w:cs="仿宋"/>
                <w:color w:val="auto"/>
                <w:sz w:val="24"/>
                <w:highlight w:val="none"/>
              </w:rPr>
            </w:pPr>
            <w:r>
              <w:rPr>
                <w:rFonts w:hint="eastAsia" w:ascii="仿宋" w:hAnsi="仿宋" w:eastAsia="仿宋" w:cs="仿宋"/>
                <w:color w:val="auto"/>
                <w:sz w:val="24"/>
                <w:highlight w:val="none"/>
              </w:rPr>
              <w:t>相关系数r</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≥0.98</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atLeast"/>
          <w:jc w:val="center"/>
        </w:trPr>
        <w:tc>
          <w:tcPr>
            <w:tcW w:w="1063" w:type="dxa"/>
            <w:vMerge w:val="continue"/>
            <w:noWrap w:val="0"/>
            <w:vAlign w:val="center"/>
          </w:tcPr>
          <w:p>
            <w:pPr>
              <w:jc w:val="center"/>
              <w:rPr>
                <w:rFonts w:hint="eastAsia" w:ascii="仿宋" w:hAnsi="仿宋" w:eastAsia="仿宋" w:cs="仿宋"/>
                <w:color w:val="auto"/>
                <w:sz w:val="24"/>
                <w:highlight w:val="none"/>
              </w:rPr>
            </w:pPr>
          </w:p>
        </w:tc>
        <w:tc>
          <w:tcPr>
            <w:tcW w:w="1541" w:type="dxa"/>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示值误差（浓度＞20%FS）</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±10%</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063" w:type="dxa"/>
            <w:vMerge w:val="continue"/>
            <w:noWrap w:val="0"/>
            <w:vAlign w:val="center"/>
          </w:tcPr>
          <w:p>
            <w:pPr>
              <w:jc w:val="center"/>
              <w:rPr>
                <w:rFonts w:hint="eastAsia" w:ascii="仿宋" w:hAnsi="仿宋" w:eastAsia="仿宋" w:cs="仿宋"/>
                <w:color w:val="auto"/>
                <w:sz w:val="24"/>
                <w:highlight w:val="none"/>
              </w:rPr>
            </w:pPr>
          </w:p>
        </w:tc>
        <w:tc>
          <w:tcPr>
            <w:tcW w:w="1541" w:type="dxa"/>
            <w:noWrap w:val="0"/>
            <w:vAlign w:val="center"/>
          </w:tcPr>
          <w:p>
            <w:pPr>
              <w:jc w:val="left"/>
              <w:rPr>
                <w:rFonts w:hint="eastAsia" w:ascii="仿宋" w:hAnsi="仿宋" w:eastAsia="仿宋" w:cs="仿宋"/>
                <w:color w:val="auto"/>
                <w:sz w:val="24"/>
                <w:highlight w:val="none"/>
              </w:rPr>
            </w:pPr>
            <w:r>
              <w:rPr>
                <w:rFonts w:hint="eastAsia" w:ascii="仿宋" w:hAnsi="仿宋" w:eastAsia="仿宋" w:cs="仿宋"/>
                <w:color w:val="auto"/>
                <w:sz w:val="24"/>
                <w:highlight w:val="none"/>
              </w:rPr>
              <w:t>示值误差（浓度≤20% FS）</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参照零点核查要求</w:t>
            </w:r>
          </w:p>
        </w:tc>
        <w:tc>
          <w:tcPr>
            <w:tcW w:w="864" w:type="dxa"/>
            <w:vMerge w:val="continue"/>
            <w:noWrap w:val="0"/>
            <w:vAlign w:val="center"/>
          </w:tcPr>
          <w:p>
            <w:pPr>
              <w:jc w:val="cente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实际水样比对</w:t>
            </w: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643255" cy="168275"/>
                  <wp:effectExtent l="0" t="0" r="0" b="1460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7"/>
                          <a:stretch>
                            <a:fillRect/>
                          </a:stretch>
                        </pic:blipFill>
                        <pic:spPr>
                          <a:xfrm>
                            <a:off x="0" y="0"/>
                            <a:ext cx="643255"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相对误差≤20%</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color w:val="auto"/>
                <w:position w:val="-6"/>
                <w:sz w:val="24"/>
                <w:highlight w:val="none"/>
                <w:shd w:val="clear" w:color="auto" w:fill="FFFFFF"/>
              </w:rPr>
              <w:drawing>
                <wp:inline distT="0" distB="0" distL="114300" distR="114300">
                  <wp:extent cx="914400" cy="168275"/>
                  <wp:effectExtent l="0" t="0" r="0" b="146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8"/>
                          <a:stretch>
                            <a:fillRect/>
                          </a:stretch>
                        </pic:blipFill>
                        <pic:spPr>
                          <a:xfrm>
                            <a:off x="0" y="0"/>
                            <a:ext cx="914400"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相对误差≤30%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2116" w:type="dxa"/>
            <w:gridSpan w:val="2"/>
            <w:noWrap w:val="0"/>
            <w:vAlign w:val="center"/>
          </w:tcPr>
          <w:p>
            <w:pPr>
              <w:jc w:val="center"/>
              <w:rPr>
                <w:rFonts w:hint="eastAsia" w:ascii="仿宋" w:hAnsi="仿宋" w:eastAsia="仿宋" w:cs="仿宋"/>
                <w:bCs/>
                <w:color w:val="auto"/>
                <w:sz w:val="24"/>
                <w:highlight w:val="none"/>
              </w:rPr>
            </w:pPr>
            <w:r>
              <w:rPr>
                <w:rFonts w:hint="eastAsia" w:ascii="仿宋" w:hAnsi="仿宋" w:eastAsia="仿宋" w:cs="仿宋"/>
                <w:i/>
                <w:color w:val="auto"/>
                <w:position w:val="-6"/>
                <w:sz w:val="24"/>
                <w:highlight w:val="none"/>
                <w:shd w:val="clear" w:color="auto" w:fill="FFFFFF"/>
              </w:rPr>
              <w:drawing>
                <wp:inline distT="0" distB="0" distL="114300" distR="114300">
                  <wp:extent cx="643890" cy="168275"/>
                  <wp:effectExtent l="0" t="0" r="0" b="14605"/>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9"/>
                          <a:stretch>
                            <a:fillRect/>
                          </a:stretch>
                        </pic:blipFill>
                        <pic:spPr>
                          <a:xfrm>
                            <a:off x="0" y="0"/>
                            <a:ext cx="643890" cy="168275"/>
                          </a:xfrm>
                          <a:prstGeom prst="rect">
                            <a:avLst/>
                          </a:prstGeom>
                          <a:noFill/>
                          <a:ln>
                            <a:noFill/>
                          </a:ln>
                        </pic:spPr>
                      </pic:pic>
                    </a:graphicData>
                  </a:graphic>
                </wp:inline>
              </w:drawing>
            </w:r>
          </w:p>
        </w:tc>
        <w:tc>
          <w:tcPr>
            <w:tcW w:w="3471"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相对误差≤40%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5587" w:type="dxa"/>
            <w:gridSpan w:val="4"/>
            <w:noWrap w:val="0"/>
            <w:vAlign w:val="center"/>
          </w:tcPr>
          <w:p>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除湖库总磷外，当自动监测结果和实验室分析结果均低于BⅡ时，认定比对实验结果合格。</w:t>
            </w:r>
          </w:p>
          <w:p>
            <w:pPr>
              <w:jc w:val="left"/>
              <w:rPr>
                <w:rFonts w:hint="eastAsia" w:ascii="仿宋" w:hAnsi="仿宋" w:eastAsia="仿宋" w:cs="仿宋"/>
                <w:color w:val="auto"/>
                <w:sz w:val="24"/>
                <w:highlight w:val="none"/>
                <w:shd w:val="clear" w:color="auto" w:fill="FFFFFF"/>
              </w:rPr>
            </w:pPr>
            <w:r>
              <w:rPr>
                <w:rFonts w:hint="eastAsia" w:ascii="仿宋" w:hAnsi="仿宋" w:eastAsia="仿宋" w:cs="仿宋"/>
                <w:color w:val="auto"/>
                <w:sz w:val="24"/>
                <w:highlight w:val="none"/>
                <w:shd w:val="clear" w:color="auto" w:fill="FFFFFF"/>
              </w:rPr>
              <w:t>当湖库总磷自动监测结果和实验室分析结果均低于BⅢ时，认定比对实验结果合格。</w:t>
            </w:r>
          </w:p>
          <w:p>
            <w:pPr>
              <w:spacing w:line="560" w:lineRule="exact"/>
              <w:jc w:val="left"/>
              <w:rPr>
                <w:rFonts w:hint="eastAsia" w:ascii="仿宋" w:hAnsi="仿宋" w:eastAsia="仿宋" w:cs="仿宋"/>
                <w:color w:val="auto"/>
                <w:sz w:val="24"/>
                <w:highlight w:val="none"/>
              </w:rPr>
            </w:pPr>
            <w:r>
              <w:rPr>
                <w:rFonts w:hint="eastAsia" w:ascii="仿宋" w:hAnsi="仿宋" w:eastAsia="仿宋" w:cs="仿宋"/>
                <w:bCs/>
                <w:color w:val="auto"/>
                <w:sz w:val="24"/>
                <w:highlight w:val="none"/>
                <w:shd w:val="clear" w:color="auto" w:fill="FFFFFF"/>
              </w:rPr>
              <w:t>注：①</w:t>
            </w:r>
            <w:r>
              <w:rPr>
                <w:rFonts w:hint="eastAsia" w:ascii="仿宋" w:hAnsi="仿宋" w:eastAsia="仿宋" w:cs="仿宋"/>
                <w:i/>
                <w:color w:val="auto"/>
                <w:position w:val="-6"/>
                <w:sz w:val="24"/>
                <w:highlight w:val="none"/>
                <w:shd w:val="clear" w:color="auto" w:fill="FFFFFF"/>
              </w:rPr>
              <w:drawing>
                <wp:inline distT="0" distB="0" distL="114300" distR="114300">
                  <wp:extent cx="222885" cy="167640"/>
                  <wp:effectExtent l="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9"/>
                          <a:srcRect r="65385" b="377"/>
                          <a:stretch>
                            <a:fillRect/>
                          </a:stretch>
                        </pic:blipFill>
                        <pic:spPr>
                          <a:xfrm>
                            <a:off x="0" y="0"/>
                            <a:ext cx="222885" cy="167640"/>
                          </a:xfrm>
                          <a:prstGeom prst="rect">
                            <a:avLst/>
                          </a:prstGeom>
                          <a:noFill/>
                          <a:ln>
                            <a:noFill/>
                          </a:ln>
                        </pic:spPr>
                      </pic:pic>
                    </a:graphicData>
                  </a:graphic>
                </wp:inline>
              </w:drawing>
            </w:r>
            <w:r>
              <w:rPr>
                <w:rFonts w:hint="eastAsia" w:ascii="仿宋" w:hAnsi="仿宋" w:eastAsia="仿宋" w:cs="仿宋"/>
                <w:color w:val="auto"/>
                <w:sz w:val="24"/>
                <w:highlight w:val="none"/>
              </w:rPr>
              <w:t>为实验室分析结果；</w:t>
            </w:r>
          </w:p>
          <w:p>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②B 为《地表水环境质量标准》（GB 3838-2002）规定的水质类别限值；</w:t>
            </w:r>
          </w:p>
          <w:p>
            <w:pPr>
              <w:jc w:val="left"/>
              <w:rPr>
                <w:rFonts w:hint="eastAsia" w:ascii="仿宋" w:hAnsi="仿宋" w:eastAsia="仿宋" w:cs="仿宋"/>
                <w:bCs/>
                <w:color w:val="auto"/>
                <w:sz w:val="24"/>
                <w:highlight w:val="none"/>
              </w:rPr>
            </w:pPr>
            <w:r>
              <w:rPr>
                <w:rFonts w:hint="eastAsia" w:ascii="仿宋" w:hAnsi="仿宋" w:eastAsia="仿宋" w:cs="仿宋"/>
                <w:bCs/>
                <w:color w:val="auto"/>
                <w:sz w:val="24"/>
                <w:highlight w:val="none"/>
              </w:rPr>
              <w:t>③总氮河流无水质类别标准，可参考湖库标准。</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2604" w:type="dxa"/>
            <w:gridSpan w:val="2"/>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加标回收率自动测试</w:t>
            </w:r>
          </w:p>
        </w:tc>
        <w:tc>
          <w:tcPr>
            <w:tcW w:w="5587" w:type="dxa"/>
            <w:gridSpan w:val="4"/>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80%~120%</w:t>
            </w:r>
          </w:p>
        </w:tc>
        <w:tc>
          <w:tcPr>
            <w:tcW w:w="864" w:type="dxa"/>
            <w:vMerge w:val="continue"/>
            <w:noWrap w:val="0"/>
            <w:vAlign w:val="center"/>
          </w:tcPr>
          <w:p>
            <w:pPr>
              <w:jc w:val="left"/>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2604" w:type="dxa"/>
            <w:gridSpan w:val="2"/>
            <w:vMerge w:val="restart"/>
            <w:noWrap w:val="0"/>
            <w:vAlign w:val="center"/>
          </w:tcPr>
          <w:p>
            <w:pPr>
              <w:jc w:val="center"/>
              <w:rPr>
                <w:rFonts w:hint="eastAsia" w:ascii="仿宋" w:hAnsi="仿宋" w:eastAsia="仿宋" w:cs="仿宋"/>
                <w:color w:val="auto"/>
                <w:sz w:val="24"/>
                <w:highlight w:val="none"/>
              </w:rPr>
            </w:pPr>
            <w:r>
              <w:rPr>
                <w:rFonts w:hint="eastAsia" w:ascii="仿宋" w:hAnsi="仿宋" w:eastAsia="仿宋" w:cs="仿宋"/>
                <w:color w:val="auto"/>
                <w:sz w:val="24"/>
                <w:highlight w:val="none"/>
              </w:rPr>
              <w:t>集成干预检查</w:t>
            </w:r>
          </w:p>
        </w:tc>
        <w:tc>
          <w:tcPr>
            <w:tcW w:w="1730" w:type="dxa"/>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Ⅰ~Ⅱ类</w:t>
            </w:r>
          </w:p>
        </w:tc>
        <w:tc>
          <w:tcPr>
            <w:tcW w:w="3857" w:type="dxa"/>
            <w:gridSpan w:val="3"/>
            <w:noWrap w:val="0"/>
            <w:vAlign w:val="center"/>
          </w:tcPr>
          <w:p>
            <w:pPr>
              <w:snapToGrid w:val="0"/>
              <w:contextualSpacing/>
              <w:jc w:val="left"/>
              <w:rPr>
                <w:rFonts w:hint="eastAsia" w:ascii="仿宋" w:hAnsi="仿宋" w:eastAsia="仿宋" w:cs="仿宋"/>
                <w:color w:val="auto"/>
                <w:kern w:val="0"/>
                <w:sz w:val="24"/>
                <w:highlight w:val="none"/>
                <w:shd w:val="clear" w:color="auto" w:fill="FFFFFF"/>
              </w:rPr>
            </w:pPr>
            <w:r>
              <w:rPr>
                <w:rFonts w:hint="eastAsia" w:ascii="仿宋" w:hAnsi="仿宋" w:eastAsia="仿宋" w:cs="仿宋"/>
                <w:color w:val="auto"/>
                <w:kern w:val="0"/>
                <w:sz w:val="24"/>
                <w:highlight w:val="none"/>
                <w:shd w:val="clear" w:color="auto" w:fill="FFFFFF"/>
              </w:rPr>
              <w:t>两者结果均低于BⅡ时，认定集成干预检查结果合格（湖库总磷两者结果均低于BⅢ时，认定比对实验结果合格）。</w:t>
            </w:r>
          </w:p>
        </w:tc>
        <w:tc>
          <w:tcPr>
            <w:tcW w:w="864" w:type="dxa"/>
            <w:vMerge w:val="continue"/>
            <w:noWrap w:val="0"/>
            <w:vAlign w:val="center"/>
          </w:tcPr>
          <w:p>
            <w:pPr>
              <w:rPr>
                <w:rFonts w:hint="eastAsia" w:ascii="仿宋" w:hAnsi="仿宋" w:eastAsia="仿宋" w:cs="仿宋"/>
                <w:color w:val="auto"/>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2604" w:type="dxa"/>
            <w:gridSpan w:val="2"/>
            <w:vMerge w:val="continue"/>
            <w:noWrap w:val="0"/>
            <w:vAlign w:val="center"/>
          </w:tcPr>
          <w:p>
            <w:pPr>
              <w:jc w:val="center"/>
              <w:rPr>
                <w:rFonts w:hint="eastAsia" w:ascii="仿宋" w:hAnsi="仿宋" w:eastAsia="仿宋" w:cs="仿宋"/>
                <w:color w:val="auto"/>
                <w:sz w:val="24"/>
                <w:highlight w:val="none"/>
              </w:rPr>
            </w:pPr>
          </w:p>
        </w:tc>
        <w:tc>
          <w:tcPr>
            <w:tcW w:w="1730" w:type="dxa"/>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Ⅲ~劣Ⅴ类</w:t>
            </w:r>
          </w:p>
        </w:tc>
        <w:tc>
          <w:tcPr>
            <w:tcW w:w="3857" w:type="dxa"/>
            <w:gridSpan w:val="3"/>
            <w:noWrap w:val="0"/>
            <w:vAlign w:val="center"/>
          </w:tcPr>
          <w:p>
            <w:pPr>
              <w:snapToGrid w:val="0"/>
              <w:contextualSpacing/>
              <w:jc w:val="center"/>
              <w:rPr>
                <w:rFonts w:hint="eastAsia" w:ascii="仿宋" w:hAnsi="仿宋" w:eastAsia="仿宋" w:cs="仿宋"/>
                <w:bCs/>
                <w:color w:val="auto"/>
                <w:kern w:val="0"/>
                <w:sz w:val="24"/>
                <w:highlight w:val="none"/>
              </w:rPr>
            </w:pPr>
            <w:r>
              <w:rPr>
                <w:rFonts w:hint="eastAsia" w:ascii="仿宋" w:hAnsi="仿宋" w:eastAsia="仿宋" w:cs="仿宋"/>
                <w:bCs/>
                <w:color w:val="auto"/>
                <w:kern w:val="0"/>
                <w:sz w:val="24"/>
                <w:highlight w:val="none"/>
              </w:rPr>
              <w:t>±10%</w:t>
            </w:r>
          </w:p>
        </w:tc>
        <w:tc>
          <w:tcPr>
            <w:tcW w:w="864" w:type="dxa"/>
            <w:vMerge w:val="continue"/>
            <w:noWrap w:val="0"/>
            <w:vAlign w:val="center"/>
          </w:tcPr>
          <w:p>
            <w:pPr>
              <w:jc w:val="left"/>
              <w:rPr>
                <w:rFonts w:hint="eastAsia" w:ascii="仿宋" w:hAnsi="仿宋" w:eastAsia="仿宋" w:cs="仿宋"/>
                <w:color w:val="auto"/>
                <w:sz w:val="24"/>
                <w:highlight w:val="none"/>
              </w:rPr>
            </w:pPr>
          </w:p>
        </w:tc>
      </w:tr>
    </w:tbl>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1</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3</w:t>
      </w:r>
      <w:r>
        <w:rPr>
          <w:rFonts w:hint="default" w:ascii="仿宋_GB2312" w:hAnsi="黑体" w:eastAsia="仿宋_GB2312" w:cs="Times New Roman"/>
          <w:color w:val="auto"/>
          <w:sz w:val="32"/>
          <w:szCs w:val="32"/>
          <w:highlight w:val="none"/>
          <w:lang w:val="en-US" w:eastAsia="zh-CN"/>
        </w:rPr>
        <w:t xml:space="preserve"> </w:t>
      </w:r>
      <w:r>
        <w:rPr>
          <w:rFonts w:hint="eastAsia" w:ascii="仿宋_GB2312" w:hAnsi="黑体" w:eastAsia="仿宋_GB2312" w:cs="Times New Roman"/>
          <w:color w:val="auto"/>
          <w:sz w:val="32"/>
          <w:szCs w:val="32"/>
          <w:highlight w:val="none"/>
          <w:lang w:val="en-US" w:eastAsia="zh-CN"/>
        </w:rPr>
        <w:t xml:space="preserve">维护质量控制实施要求包括但不限于：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1</w:t>
      </w:r>
      <w:r>
        <w:rPr>
          <w:rFonts w:hint="eastAsia" w:ascii="仿宋_GB2312" w:hAnsi="黑体" w:eastAsia="仿宋_GB2312" w:cs="Times New Roman"/>
          <w:color w:val="auto"/>
          <w:sz w:val="32"/>
          <w:szCs w:val="32"/>
          <w:highlight w:val="none"/>
          <w:lang w:val="en-US" w:eastAsia="zh-CN"/>
        </w:rPr>
        <w:t xml:space="preserve">）更换试剂（清洗水、标准样品除外）后，应开展空白校准和标样校准；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2</w:t>
      </w:r>
      <w:r>
        <w:rPr>
          <w:rFonts w:hint="eastAsia" w:ascii="仿宋_GB2312" w:hAnsi="黑体" w:eastAsia="仿宋_GB2312" w:cs="Times New Roman"/>
          <w:color w:val="auto"/>
          <w:sz w:val="32"/>
          <w:szCs w:val="32"/>
          <w:highlight w:val="none"/>
          <w:lang w:val="en-US" w:eastAsia="zh-CN"/>
        </w:rPr>
        <w:t xml:space="preserve">）当监测仪器关键部件更换后，须进行多点线性核查，必要时应开展实际水样比对；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w:t>
      </w:r>
      <w:r>
        <w:rPr>
          <w:rFonts w:hint="default"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lang w:val="en-US" w:eastAsia="zh-CN"/>
        </w:rPr>
        <w:t>）更换备机后，须对备机进行校准、标液核查、多点线性核查，并对监测数据进行分析，若监测数据与更换备机前发生较大变化，应开展实际水样比对。</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 特殊情况处置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1.4.1自动监测数据超标 </w:t>
      </w:r>
    </w:p>
    <w:p>
      <w:pPr>
        <w:spacing w:line="560" w:lineRule="exact"/>
        <w:ind w:firstLine="640" w:firstLineChars="200"/>
        <w:jc w:val="left"/>
        <w:rPr>
          <w:rFonts w:hint="eastAsia" w:ascii="仿宋_GB2312" w:hAnsi="黑体" w:eastAsia="仿宋_GB2312" w:cs="Times New Roman"/>
          <w:color w:val="0000FF"/>
          <w:sz w:val="32"/>
          <w:szCs w:val="32"/>
          <w:highlight w:val="none"/>
        </w:rPr>
      </w:pPr>
      <w:r>
        <w:rPr>
          <w:rFonts w:hint="eastAsia" w:ascii="仿宋_GB2312" w:hAnsi="黑体" w:eastAsia="仿宋_GB2312" w:cs="Times New Roman"/>
          <w:color w:val="000000"/>
          <w:sz w:val="32"/>
          <w:szCs w:val="32"/>
          <w:highlight w:val="none"/>
          <w:lang w:val="en-US" w:eastAsia="zh-CN"/>
        </w:rPr>
        <w:t>当日均值发生自动监测数据超标或异常情况时，应及时开展标样核查、留样复测（复测结果次日出）、采水点上下游核查和仪器设备核查等，通过核查结果初步判定仪表当前的状态是否正常，并核查数据</w:t>
      </w:r>
      <w:r>
        <w:rPr>
          <w:rFonts w:hint="eastAsia" w:ascii="仿宋_GB2312" w:hAnsi="黑体" w:eastAsia="仿宋_GB2312" w:cs="Times New Roman"/>
          <w:color w:val="auto"/>
          <w:sz w:val="32"/>
          <w:szCs w:val="32"/>
          <w:highlight w:val="none"/>
          <w:lang w:val="en-US" w:eastAsia="zh-CN"/>
        </w:rPr>
        <w:t>有效性</w:t>
      </w:r>
      <w:r>
        <w:rPr>
          <w:rFonts w:hint="eastAsia" w:ascii="仿宋_GB2312" w:hAnsi="黑体" w:eastAsia="仿宋_GB2312" w:cs="Times New Roman"/>
          <w:color w:val="000000"/>
          <w:sz w:val="32"/>
          <w:szCs w:val="32"/>
          <w:highlight w:val="none"/>
          <w:lang w:val="en-US" w:eastAsia="zh-CN"/>
        </w:rPr>
        <w:t>。日均值连续超标三天进行实验室比对监测。确系污染过程等特殊情况，应按采购人要求开展加密监测。</w:t>
      </w:r>
      <w:r>
        <w:rPr>
          <w:rFonts w:hint="eastAsia" w:ascii="仿宋_GB2312" w:hAnsi="黑体" w:eastAsia="仿宋_GB2312" w:cs="Times New Roman"/>
          <w:color w:val="0000FF"/>
          <w:sz w:val="32"/>
          <w:szCs w:val="32"/>
          <w:highlight w:val="none"/>
          <w:lang w:val="en-US" w:eastAsia="zh-CN"/>
        </w:rPr>
        <w:t xml:space="preserve">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1.4.2突发异常或污染事故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当水站监测数据发现异常或水站所在水体发生污染事故时，须立刻报告采购人，保证系统仪器正常运行，监测数据准确，传输畅通；必要时增加水站自动监测频次；安排技术人员24小时值班，必要时进行实验室检测，检测项目需覆盖氨氮、高锰酸盐指数、化学需氧量、总磷、总氮等主要监测指标。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1.4.3仪器或系统故障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投标人须采取切实有效的预防措施，加强仪器设备日常维护力度，降低故障率。当水站仪器或系统发生故障时，应在24小时内到达现场，对于在现场能够诊断明确且可通过更换备品备件解决的问题，应在现场及时解决故障；对于其他不易诊断和检修的故障，原则上应在48小时内采用备机替代发生故障的仪器并按规范流程进行监测。须按采购人要求采集实际水样送第三方实验室进行备机准确性方面的比对验证。数据补测相关要求见“1.4.5数据补测”部分。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1.4.4水站停运和复运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因自然断流或水位过低、地震、封航、暴雨、台风、山洪、封路等不可抗力因素需要停运的；由不可抗力导致停电、采水系统或仪器故障等需要停运的；因水站升级、改造或搬迁等原因需要停运的；投标人应及时按照采购人要求开展停运。</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停运期间，视实际情况开展数据补测，数据补测要求参见“1.4.5数据补测”部分。 </w:t>
      </w:r>
    </w:p>
    <w:p>
      <w:pPr>
        <w:spacing w:line="560" w:lineRule="exact"/>
        <w:ind w:firstLine="640" w:firstLineChars="200"/>
        <w:jc w:val="left"/>
        <w:rPr>
          <w:rFonts w:hint="eastAsia" w:ascii="仿宋_GB2312" w:hAnsi="黑体" w:eastAsia="仿宋_GB2312" w:cs="Times New Roman"/>
          <w:strike w:val="0"/>
          <w:dstrike w:val="0"/>
          <w:color w:val="auto"/>
          <w:sz w:val="32"/>
          <w:szCs w:val="32"/>
          <w:highlight w:val="none"/>
        </w:rPr>
      </w:pPr>
      <w:r>
        <w:rPr>
          <w:rFonts w:hint="eastAsia" w:ascii="仿宋_GB2312" w:hAnsi="黑体" w:eastAsia="仿宋_GB2312" w:cs="Times New Roman"/>
          <w:strike w:val="0"/>
          <w:dstrike w:val="0"/>
          <w:color w:val="auto"/>
          <w:sz w:val="32"/>
          <w:szCs w:val="32"/>
          <w:highlight w:val="none"/>
          <w:lang w:val="en-US" w:eastAsia="zh-CN"/>
        </w:rPr>
        <w:t xml:space="preserve">停运时长小于48小时（含48小时），须进行低浓度标液（可为零点液）和高浓度标液核查,合格后恢复运行；停运时长为48小时至14天（含14天），须进行低浓度标液（可为零点液）、高浓度标液核查和与实际水样浓度相近的标液核查,合格后恢复运行，若更换试剂则还须进行重新校准；停运时长15天至30天（含30天），须进行仪器多点线性核查、集成干预检查,合格后恢复运行；停运时长超过30天的，须在系统启动前进行全面检查，进行仪器校准、多点线性核查和集成干预检查，核查结果合格后恢复运行。复运后应对监测数据进行分析，水质环比比停运前变化较大的，还应进行实际水样比对。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1.4.5数据补测 </w:t>
      </w:r>
    </w:p>
    <w:p>
      <w:pPr>
        <w:spacing w:line="560" w:lineRule="exact"/>
        <w:ind w:firstLine="640" w:firstLineChars="200"/>
        <w:jc w:val="left"/>
        <w:rPr>
          <w:rFonts w:hint="eastAsia" w:ascii="仿宋_GB2312" w:hAnsi="黑体" w:eastAsia="仿宋_GB2312" w:cs="Times New Roman"/>
          <w:color w:val="auto"/>
          <w:sz w:val="32"/>
          <w:szCs w:val="32"/>
          <w:highlight w:val="none"/>
        </w:rPr>
      </w:pPr>
      <w:r>
        <w:rPr>
          <w:rFonts w:hint="eastAsia" w:ascii="仿宋_GB2312" w:hAnsi="黑体" w:eastAsia="仿宋_GB2312" w:cs="Times New Roman"/>
          <w:color w:val="auto"/>
          <w:sz w:val="32"/>
          <w:szCs w:val="32"/>
          <w:highlight w:val="none"/>
          <w:lang w:val="en-US" w:eastAsia="zh-CN"/>
        </w:rPr>
        <w:t xml:space="preserve">（1）水站日常监测的项目均为补测项目（采购人可根据实际情况增加补测项目），按采购人的要求，可采用人工采水自动监测仪器补测和送CMA实验室补测等方式进行。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2）采取送CMA实验室补测的方式时须做好相关记录；常规五参数可由检定合格并经校准的便携仪器现场测量；化学需氧量（高锰酸盐指数）、氨氮、总磷（总氮）等项目由运维服务人员现场采样，规范保存及运输后送CMA实验室分析；补测的实验室分析数据应以加盖CMA章及数据表的形式及时提交给采购人。 </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（3）具备补充监测条件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运维公司应对水站开展补充监测，补测的数据应满足相关质控要求，开展周核查等质控工作</w:t>
      </w:r>
      <w:r>
        <w:rPr>
          <w:rFonts w:hint="eastAsia" w:ascii="仿宋_GB2312" w:hAnsi="黑体" w:eastAsia="仿宋_GB2312" w:cs="Times New Roman"/>
          <w:color w:val="0000FF"/>
          <w:sz w:val="32"/>
          <w:szCs w:val="32"/>
          <w:highlight w:val="none"/>
          <w:lang w:val="en-US" w:eastAsia="zh-CN"/>
        </w:rPr>
        <w:t>，</w:t>
      </w:r>
      <w:r>
        <w:rPr>
          <w:rFonts w:hint="eastAsia" w:ascii="仿宋_GB2312" w:hAnsi="黑体" w:eastAsia="仿宋_GB2312" w:cs="Times New Roman"/>
          <w:color w:val="auto"/>
          <w:sz w:val="32"/>
          <w:szCs w:val="32"/>
          <w:highlight w:val="none"/>
          <w:lang w:val="en-US" w:eastAsia="zh-CN"/>
        </w:rPr>
        <w:t>否则按无效数据处理。停运期间，运维公司应采取手工采样，按照管理要求每周补测2次（采样时间间隔不得小于48小时），保证仪器设备及环境设施设备的安全，并关注现场环境变化，具备条件后应及时恢复运行。</w:t>
      </w:r>
    </w:p>
    <w:p>
      <w:pPr>
        <w:spacing w:line="560" w:lineRule="exact"/>
        <w:ind w:firstLine="640" w:firstLineChars="200"/>
        <w:jc w:val="left"/>
        <w:rPr>
          <w:rFonts w:hint="eastAsia" w:ascii="仿宋_GB2312" w:hAnsi="黑体" w:eastAsia="仿宋_GB2312" w:cs="Times New Roman"/>
          <w:color w:val="auto"/>
          <w:sz w:val="32"/>
          <w:szCs w:val="32"/>
          <w:highlight w:val="none"/>
          <w:lang w:val="en-US"/>
        </w:rPr>
      </w:pPr>
      <w:r>
        <w:rPr>
          <w:rFonts w:hint="eastAsia" w:ascii="仿宋" w:hAnsi="仿宋" w:eastAsia="仿宋" w:cs="仿宋"/>
          <w:color w:val="auto"/>
          <w:sz w:val="32"/>
          <w:szCs w:val="32"/>
          <w:highlight w:val="none"/>
          <w:lang w:val="en-US" w:eastAsia="zh-CN"/>
        </w:rPr>
        <w:t>①</w:t>
      </w:r>
      <w:r>
        <w:rPr>
          <w:rFonts w:hint="eastAsia" w:ascii="仿宋_GB2312" w:hAnsi="黑体" w:eastAsia="仿宋_GB2312" w:cs="Times New Roman"/>
          <w:color w:val="auto"/>
          <w:sz w:val="32"/>
          <w:szCs w:val="32"/>
          <w:highlight w:val="none"/>
          <w:lang w:val="en-US" w:eastAsia="zh-CN"/>
        </w:rPr>
        <w:t>因采水设施故障或采水点处水位过低、冰封等因素导致水站停运，在保证自动监测仪器满足相关质控要求的前提下，优先采取人工采水自动监测仪器补测的方式，在水站停运的48小时内或48小时的当天须补测1组自动监测仪器数据。后续每自然周至少2次，2次间隔不小于48小时。补测当日上传至少2组有效数据，2组有效数据在当天间隔不小于4小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当无法开展水质自动监测仪器补测时，须人工取样送具有CMA资质的实验室分析。在水站停运的48小时内或48小时的当天须补测1组实验室分析数据，后续每周保证2次手工采样（采样时间间隔不得小于48小时）。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②</w:t>
      </w:r>
      <w:r>
        <w:rPr>
          <w:rFonts w:hint="eastAsia" w:ascii="仿宋_GB2312" w:hAnsi="黑体" w:eastAsia="仿宋_GB2312" w:cs="Times New Roman"/>
          <w:color w:val="auto"/>
          <w:sz w:val="32"/>
          <w:szCs w:val="32"/>
          <w:highlight w:val="none"/>
          <w:lang w:val="en-US" w:eastAsia="zh-CN"/>
        </w:rPr>
        <w:t>因供电故障或其他原因导致水站停运，在水站停运的48小时内或48小时的当天须补测1组实验室分析数据，后续每周保证2次手工采样（采样时间间隔不得小于48小时）；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 w:hAnsi="仿宋" w:eastAsia="仿宋" w:cs="仿宋"/>
          <w:color w:val="auto"/>
          <w:sz w:val="32"/>
          <w:szCs w:val="32"/>
          <w:highlight w:val="none"/>
          <w:lang w:val="en-US" w:eastAsia="zh-CN"/>
        </w:rPr>
        <w:t>③</w:t>
      </w:r>
      <w:r>
        <w:rPr>
          <w:rFonts w:hint="eastAsia" w:ascii="仿宋_GB2312" w:hAnsi="黑体" w:eastAsia="仿宋_GB2312" w:cs="Times New Roman"/>
          <w:color w:val="auto"/>
          <w:sz w:val="32"/>
          <w:szCs w:val="32"/>
          <w:highlight w:val="none"/>
          <w:lang w:val="en-US" w:eastAsia="zh-CN"/>
        </w:rPr>
        <w:t>因仪器或工控机等维护、故障导致水站不正常运行、数据异常且48小时内无法修复的，须开展手工数据补测工作：仪器故障导致数据异常且短时间无法修复，应当在48小时内使用备机监测，备机须在水站现场完成校准、标液核查和多点线性核查且结果合格有效。在数据出现异常至备机调试完毕开展自动监测的时间段内，至少应补测1组CMA实验室分析数据。在备机更换后开始运行的当天，至少应同步补测1组CMA实验室分析数据，验证备机的可靠性。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 xml:space="preserve"> 故障在96小时内未能修复或未使用备机，则须按照每4小时1次、每天6次手工采样频次进行实验室分析数据补测；常规五参数应开展便携设备监测补录数据，频次同上。</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（4）不具备补充监测条件</w:t>
      </w:r>
    </w:p>
    <w:p>
      <w:pPr>
        <w:spacing w:line="560" w:lineRule="exact"/>
        <w:ind w:firstLine="640" w:firstLineChars="200"/>
        <w:jc w:val="left"/>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停运期间，运维公司应根据实际情况对停运水站</w:t>
      </w:r>
      <w:r>
        <w:rPr>
          <w:rFonts w:hint="eastAsia" w:ascii="仿宋_GB2312" w:hAnsi="黑体" w:eastAsia="仿宋_GB2312" w:cs="Times New Roman"/>
          <w:strike w:val="0"/>
          <w:dstrike w:val="0"/>
          <w:color w:val="auto"/>
          <w:sz w:val="32"/>
          <w:szCs w:val="32"/>
          <w:highlight w:val="none"/>
          <w:lang w:val="en-US" w:eastAsia="zh-CN"/>
        </w:rPr>
        <w:t>开展周核查工作</w:t>
      </w:r>
      <w:r>
        <w:rPr>
          <w:rFonts w:hint="eastAsia" w:ascii="仿宋_GB2312" w:hAnsi="黑体" w:eastAsia="仿宋_GB2312" w:cs="Times New Roman"/>
          <w:color w:val="auto"/>
          <w:sz w:val="32"/>
          <w:szCs w:val="32"/>
          <w:highlight w:val="none"/>
          <w:lang w:val="en-US" w:eastAsia="zh-CN"/>
        </w:rPr>
        <w:t>，保证仪器设备及环境设施的安全，并关注现场环境变化，具备条件后应及时恢复运行。</w:t>
      </w:r>
    </w:p>
    <w:p>
      <w:pPr>
        <w:pStyle w:val="2"/>
        <w:keepNext w:val="0"/>
        <w:keepLines w:val="0"/>
        <w:pageBreakBefore w:val="0"/>
        <w:widowControl w:val="0"/>
        <w:kinsoku/>
        <w:wordWrap/>
        <w:overflowPunct/>
        <w:topLinePunct w:val="0"/>
        <w:bidi w:val="0"/>
        <w:snapToGrid/>
        <w:spacing w:after="0" w:line="560" w:lineRule="exact"/>
        <w:ind w:firstLine="640" w:firstLineChars="200"/>
        <w:jc w:val="both"/>
        <w:textAlignment w:val="auto"/>
        <w:outlineLvl w:val="3"/>
        <w:rPr>
          <w:rFonts w:hint="default" w:ascii="仿宋_GB2312" w:hAnsi="黑体" w:eastAsia="仿宋_GB2312" w:cs="Times New Roman"/>
          <w:b w:val="0"/>
          <w:bCs w:val="0"/>
          <w:color w:val="auto"/>
          <w:kern w:val="2"/>
          <w:sz w:val="32"/>
          <w:szCs w:val="32"/>
          <w:highlight w:val="none"/>
          <w:lang w:val="en-US" w:eastAsia="zh-CN" w:bidi="ar-SA"/>
        </w:rPr>
      </w:pPr>
      <w:r>
        <w:rPr>
          <w:rFonts w:hint="eastAsia" w:ascii="仿宋_GB2312" w:hAnsi="黑体" w:eastAsia="仿宋_GB2312" w:cs="Times New Roman"/>
          <w:b w:val="0"/>
          <w:bCs w:val="0"/>
          <w:color w:val="auto"/>
          <w:kern w:val="2"/>
          <w:sz w:val="32"/>
          <w:szCs w:val="32"/>
          <w:highlight w:val="none"/>
          <w:lang w:val="en-US" w:eastAsia="zh-CN" w:bidi="ar-SA"/>
        </w:rPr>
        <w:t>1.5其他要求</w:t>
      </w:r>
    </w:p>
    <w:p>
      <w:pPr>
        <w:pStyle w:val="2"/>
        <w:keepNext w:val="0"/>
        <w:keepLines w:val="0"/>
        <w:pageBreakBefore w:val="0"/>
        <w:widowControl w:val="0"/>
        <w:numPr>
          <w:ilvl w:val="0"/>
          <w:numId w:val="0"/>
        </w:numPr>
        <w:kinsoku/>
        <w:wordWrap/>
        <w:overflowPunct/>
        <w:topLinePunct w:val="0"/>
        <w:bidi w:val="0"/>
        <w:snapToGrid/>
        <w:spacing w:after="0" w:line="560" w:lineRule="exact"/>
        <w:ind w:firstLine="640" w:firstLineChars="200"/>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（1）水站运维及管理期间发生的水费、电费、废液处理费、站房看护等费用均由投标人支付，相关费用包含在投标报价中。</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水站设施（采水系统、消防、变压器、防雷系统等）的维修维护，以及水站内其他相关辅助设施（供电、供水、采配水系统、集成系统、站房内家具家电等设施、实验台、空调、采暖设备、值守人员必备物品等）的维护、保养、维修均由投标人负责，所发生的费用均由投标人支付。</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运维期间，投标人负责水站安全检查工作，并对检查出来的不符合项进行整改，整改合格的报告提交给采购人。安全整改所发生的费用均由投标人支付。</w:t>
      </w:r>
    </w:p>
    <w:p>
      <w:pPr>
        <w:keepNext w:val="0"/>
        <w:keepLines w:val="0"/>
        <w:pageBreakBefore w:val="0"/>
        <w:widowControl w:val="0"/>
        <w:kinsoku/>
        <w:wordWrap/>
        <w:overflowPunct/>
        <w:topLinePunct w:val="0"/>
        <w:bidi w:val="0"/>
        <w:snapToGrid/>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（3）投标人须具备对控制系统改造的能力，可通过控制软件实现采水时间的调整，所发生的费用均由投标人支付。</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投标人须在水站防雷年检到期前，委托有防雷检测资质的单位对所运维水站的防雷系统进行年检，如年检不合格，投标人须按照要求进行整改直至年检合格，并将报告交至采购人，相关费用包含在投标报价中。</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（5）投标人应依照国家有关规范，结合水站消防设备实际，使水站消防系统始终处于良好的运行状态。依据消防器材实际状态更换或更新消防设施。</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运维期间，投标人须每日通过石家庄市水环境质量断面自动监测平台对水站运维情况及相关信息进行统计和评价，包括运维巡检频次、故障响应情况、超标响应情况等信息统计，结合数据有效率等对水站的运行维护情况进行跟踪、监督、整改。每日通过水站视频系统对水站采水、出入、仪器间情况进行逐帧查看，如发现异常情况应立刻通知运维人员到现场处理，并将情况上报采购人。</w:t>
      </w:r>
    </w:p>
    <w:p>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（7）投标人须配合采购人完成检查及考核工作；投标人须制定突发事件应急预案及节假日值班安排，对突发事件迅速、及时处置。</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（8）水站因故申请停运期间，或其它外部因素干扰不具备代表性、不满足水质评价需求时，投标人应根据相关规范要求进行补测，并保证补测流程的规范性、质控措施的完整性以及补测数据的可溯源性。</w:t>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auto"/>
          <w:kern w:val="2"/>
          <w:sz w:val="32"/>
          <w:szCs w:val="32"/>
          <w:highlight w:val="none"/>
          <w:lang w:val="en-GB" w:eastAsia="zh-CN" w:bidi="ar-SA"/>
        </w:rPr>
      </w:pPr>
      <w:r>
        <w:rPr>
          <w:rFonts w:hint="eastAsia" w:ascii="仿宋_GB2312" w:hAnsi="黑体" w:eastAsia="仿宋_GB2312" w:cs="Times New Roman"/>
          <w:color w:val="auto"/>
          <w:kern w:val="2"/>
          <w:sz w:val="32"/>
          <w:szCs w:val="32"/>
          <w:highlight w:val="none"/>
          <w:lang w:val="en-US" w:eastAsia="zh-CN" w:bidi="ar-SA"/>
        </w:rPr>
        <w:t>（9）投标人应按照采购人要求定期开展网络安全检查工作，并由有资质的公司出具检测报告。投标人</w:t>
      </w:r>
      <w:r>
        <w:rPr>
          <w:rFonts w:hint="eastAsia" w:ascii="仿宋_GB2312" w:hAnsi="黑体" w:eastAsia="仿宋_GB2312" w:cs="Times New Roman"/>
          <w:color w:val="auto"/>
          <w:kern w:val="2"/>
          <w:sz w:val="32"/>
          <w:szCs w:val="32"/>
          <w:highlight w:val="none"/>
          <w:lang w:val="en-GB" w:eastAsia="zh-CN" w:bidi="ar-SA"/>
        </w:rPr>
        <w:t>应当履行网络安全的义务，由于</w:t>
      </w:r>
      <w:r>
        <w:rPr>
          <w:rFonts w:hint="eastAsia" w:ascii="仿宋_GB2312" w:hAnsi="黑体" w:eastAsia="仿宋_GB2312" w:cs="Times New Roman"/>
          <w:color w:val="auto"/>
          <w:kern w:val="2"/>
          <w:sz w:val="32"/>
          <w:szCs w:val="32"/>
          <w:highlight w:val="none"/>
          <w:lang w:val="en-US" w:eastAsia="zh-CN" w:bidi="ar-SA"/>
        </w:rPr>
        <w:t>投标方</w:t>
      </w:r>
      <w:r>
        <w:rPr>
          <w:rFonts w:hint="eastAsia" w:ascii="仿宋_GB2312" w:hAnsi="黑体" w:eastAsia="仿宋_GB2312" w:cs="Times New Roman"/>
          <w:color w:val="auto"/>
          <w:kern w:val="2"/>
          <w:sz w:val="32"/>
          <w:szCs w:val="32"/>
          <w:highlight w:val="none"/>
          <w:lang w:val="en-GB" w:eastAsia="zh-CN" w:bidi="ar-SA"/>
        </w:rPr>
        <w:t>运维服务不力，导致网络安全事故的发生，给</w:t>
      </w:r>
      <w:r>
        <w:rPr>
          <w:rFonts w:hint="eastAsia" w:ascii="仿宋_GB2312" w:hAnsi="黑体" w:eastAsia="仿宋_GB2312" w:cs="Times New Roman"/>
          <w:color w:val="auto"/>
          <w:kern w:val="2"/>
          <w:sz w:val="32"/>
          <w:szCs w:val="32"/>
          <w:highlight w:val="none"/>
          <w:lang w:val="en-US" w:eastAsia="zh-CN" w:bidi="ar-SA"/>
        </w:rPr>
        <w:t>采购</w:t>
      </w:r>
      <w:r>
        <w:rPr>
          <w:rFonts w:hint="eastAsia" w:ascii="仿宋_GB2312" w:hAnsi="黑体" w:eastAsia="仿宋_GB2312" w:cs="Times New Roman"/>
          <w:color w:val="auto"/>
          <w:kern w:val="2"/>
          <w:sz w:val="32"/>
          <w:szCs w:val="32"/>
          <w:highlight w:val="none"/>
          <w:lang w:val="en-GB" w:eastAsia="zh-CN" w:bidi="ar-SA"/>
        </w:rPr>
        <w:t>方造成不良影响及后果的，由</w:t>
      </w:r>
      <w:r>
        <w:rPr>
          <w:rFonts w:hint="eastAsia" w:ascii="仿宋_GB2312" w:hAnsi="黑体" w:eastAsia="仿宋_GB2312" w:cs="Times New Roman"/>
          <w:color w:val="auto"/>
          <w:kern w:val="2"/>
          <w:sz w:val="32"/>
          <w:szCs w:val="32"/>
          <w:highlight w:val="none"/>
          <w:lang w:val="en-US" w:eastAsia="zh-CN" w:bidi="ar-SA"/>
        </w:rPr>
        <w:t>投标人</w:t>
      </w:r>
      <w:r>
        <w:rPr>
          <w:rFonts w:hint="eastAsia" w:ascii="仿宋_GB2312" w:hAnsi="黑体" w:eastAsia="仿宋_GB2312" w:cs="Times New Roman"/>
          <w:color w:val="auto"/>
          <w:kern w:val="2"/>
          <w:sz w:val="32"/>
          <w:szCs w:val="32"/>
          <w:highlight w:val="none"/>
          <w:lang w:val="en-GB" w:eastAsia="zh-CN" w:bidi="ar-SA"/>
        </w:rPr>
        <w:t>承担相应损失。</w:t>
      </w:r>
    </w:p>
    <w:p>
      <w:pPr>
        <w:keepNext w:val="0"/>
        <w:keepLines w:val="0"/>
        <w:pageBreakBefore w:val="0"/>
        <w:widowControl w:val="0"/>
        <w:kinsoku/>
        <w:wordWrap/>
        <w:overflowPunct/>
        <w:topLinePunct w:val="0"/>
        <w:bidi w:val="0"/>
        <w:snapToGrid/>
        <w:spacing w:line="560" w:lineRule="exact"/>
        <w:ind w:firstLine="640" w:firstLineChars="200"/>
        <w:textAlignment w:val="auto"/>
        <w:rPr>
          <w:rFonts w:hint="eastAsia" w:ascii="仿宋_GB2312" w:hAnsi="黑体" w:eastAsia="仿宋_GB2312" w:cs="Times New Roman"/>
          <w:color w:val="0000FF"/>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10）如因国家政策或法规变化、项目财政预算调整或未获批复、其他不可抗力等原因造成采购人采购需求发生变化，采购人有权根据实际情况变更采购范围及采购金额，直至合同取消，采购人对此变更不承担任何责任。</w:t>
      </w:r>
    </w:p>
    <w:p>
      <w:pPr>
        <w:spacing w:line="560" w:lineRule="exact"/>
        <w:ind w:firstLine="640" w:firstLineChars="200"/>
        <w:jc w:val="left"/>
        <w:outlineLvl w:val="3"/>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1.7技术规范和标准</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（1）《关于印发&lt;国家地表水水质自动监测站运行维护管理实施细则（试行）&gt;等文件的通知》（总站水字〔2019〕649号）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（2）《国家地表水水质自动监测站补充监测技术规定（试行）》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（3）《国家地表水水质自动监测站常规五参数现场比对技术要求（试行）》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（4）《国家地表水水质自动监测站盲样考核管理规定（试行）》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（5）《国家地表水水质自动监测数据审核技术细则（试行）》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（6）《国家地表水水质自动监测数据审核管理办法（试行）》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（7）《国家地表水自动监测系统通信协议技术要求》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（8）《国家地表水自动监测仪器通信协议技术要求》</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（9）</w:t>
      </w:r>
      <w:r>
        <w:rPr>
          <w:rFonts w:hint="eastAsia" w:ascii="仿宋_GB2312" w:hAnsi="黑体" w:eastAsia="仿宋_GB2312" w:cs="Times New Roman"/>
          <w:color w:val="auto"/>
          <w:sz w:val="32"/>
          <w:szCs w:val="32"/>
          <w:highlight w:val="none"/>
        </w:rPr>
        <w:t>《河北省地表水水质自动监测站运行</w:t>
      </w:r>
      <w:r>
        <w:rPr>
          <w:rFonts w:hint="eastAsia" w:ascii="仿宋_GB2312" w:hAnsi="黑体" w:eastAsia="仿宋_GB2312" w:cs="Times New Roman"/>
          <w:color w:val="auto"/>
          <w:sz w:val="32"/>
          <w:szCs w:val="32"/>
          <w:highlight w:val="none"/>
          <w:lang w:val="en-US" w:eastAsia="zh-CN"/>
        </w:rPr>
        <w:t>及数据统计</w:t>
      </w:r>
      <w:r>
        <w:rPr>
          <w:rFonts w:hint="eastAsia" w:ascii="仿宋_GB2312" w:hAnsi="黑体" w:eastAsia="仿宋_GB2312" w:cs="Times New Roman"/>
          <w:color w:val="auto"/>
          <w:sz w:val="32"/>
          <w:szCs w:val="32"/>
          <w:highlight w:val="none"/>
        </w:rPr>
        <w:t>管理办法》（</w:t>
      </w:r>
      <w:r>
        <w:rPr>
          <w:rFonts w:hint="eastAsia" w:ascii="仿宋_GB2312" w:hAnsi="黑体" w:eastAsia="仿宋_GB2312" w:cs="Times New Roman"/>
          <w:color w:val="auto"/>
          <w:sz w:val="32"/>
          <w:szCs w:val="32"/>
          <w:highlight w:val="none"/>
          <w:lang w:val="en-US" w:eastAsia="zh-CN"/>
        </w:rPr>
        <w:t>冀环办发</w:t>
      </w:r>
      <w:r>
        <w:rPr>
          <w:rFonts w:hint="eastAsia" w:ascii="仿宋_GB2312" w:hAnsi="黑体" w:eastAsia="仿宋_GB2312" w:cs="Times New Roman"/>
          <w:color w:val="auto"/>
          <w:sz w:val="32"/>
          <w:szCs w:val="32"/>
          <w:highlight w:val="none"/>
        </w:rPr>
        <w:t>〔202</w:t>
      </w:r>
      <w:r>
        <w:rPr>
          <w:rFonts w:hint="eastAsia" w:ascii="仿宋_GB2312" w:hAnsi="黑体" w:eastAsia="仿宋_GB2312" w:cs="Times New Roman"/>
          <w:color w:val="auto"/>
          <w:sz w:val="32"/>
          <w:szCs w:val="32"/>
          <w:highlight w:val="none"/>
          <w:lang w:val="en-US" w:eastAsia="zh-CN"/>
        </w:rPr>
        <w:t>3</w:t>
      </w:r>
      <w:r>
        <w:rPr>
          <w:rFonts w:hint="eastAsia" w:ascii="仿宋_GB2312" w:hAnsi="黑体" w:eastAsia="仿宋_GB2312" w:cs="Times New Roman"/>
          <w:color w:val="auto"/>
          <w:sz w:val="32"/>
          <w:szCs w:val="32"/>
          <w:highlight w:val="none"/>
        </w:rPr>
        <w:t>〕57号）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（10）《环境质量自动监测运维机构质量管理体系建设通用要求（试行）》</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sz w:val="32"/>
          <w:szCs w:val="32"/>
          <w:highlight w:val="none"/>
          <w:lang w:val="en-US" w:eastAsia="zh-CN"/>
        </w:rPr>
      </w:pPr>
      <w:r>
        <w:rPr>
          <w:rFonts w:hint="eastAsia" w:ascii="仿宋_GB2312" w:hAnsi="黑体" w:eastAsia="仿宋_GB2312" w:cs="Times New Roman"/>
          <w:color w:val="auto"/>
          <w:sz w:val="32"/>
          <w:szCs w:val="32"/>
          <w:highlight w:val="none"/>
          <w:lang w:val="en-US" w:eastAsia="zh-CN"/>
        </w:rPr>
        <w:t>（11）《地表水自动监测技术规范（试行）》（HJ915-2017）</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sz w:val="32"/>
          <w:szCs w:val="32"/>
          <w:highlight w:val="none"/>
          <w:lang w:val="en-US" w:eastAsia="zh-CN"/>
        </w:rPr>
        <w:t>（12）地表水水质自动监测站（常规五参数、CODMn、NH3-N、TP、TN）运行维护技术规范（HJ915.3-2024）</w:t>
      </w:r>
    </w:p>
    <w:p>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rPr>
      </w:pPr>
      <w:r>
        <w:rPr>
          <w:rFonts w:hint="eastAsia" w:ascii="楷体_GB2312" w:hAnsi="楷体_GB2312" w:eastAsia="楷体_GB2312" w:cs="楷体_GB2312"/>
          <w:color w:val="auto"/>
          <w:sz w:val="32"/>
          <w:szCs w:val="32"/>
          <w:highlight w:val="none"/>
          <w:lang w:val="en-US" w:eastAsia="zh-CN"/>
        </w:rPr>
        <w:t>2.</w:t>
      </w:r>
      <w:r>
        <w:rPr>
          <w:rFonts w:hint="eastAsia" w:ascii="仿宋_GB2312" w:hAnsi="仿宋_GB2312" w:eastAsia="仿宋_GB2312" w:cs="仿宋_GB2312"/>
          <w:b/>
          <w:bCs/>
          <w:color w:val="auto"/>
          <w:sz w:val="32"/>
          <w:szCs w:val="32"/>
          <w:highlight w:val="none"/>
        </w:rPr>
        <w:t>商务要求</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地表水自动监测站运维项目01包期限为：2026年8月1日至2027年7月31日。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color w:val="auto"/>
          <w:kern w:val="2"/>
          <w:sz w:val="32"/>
          <w:szCs w:val="32"/>
          <w:highlight w:val="none"/>
          <w:lang w:val="en-US" w:eastAsia="zh-CN" w:bidi="ar-SA"/>
        </w:rPr>
      </w:pPr>
      <w:r>
        <w:rPr>
          <w:rFonts w:hint="eastAsia" w:ascii="仿宋_GB2312" w:hAnsi="黑体" w:eastAsia="仿宋_GB2312" w:cs="Times New Roman"/>
          <w:color w:val="auto"/>
          <w:kern w:val="2"/>
          <w:sz w:val="32"/>
          <w:szCs w:val="32"/>
          <w:highlight w:val="none"/>
          <w:lang w:val="en-US" w:eastAsia="zh-CN" w:bidi="ar-SA"/>
        </w:rPr>
        <w:t>资金支付方式：分期支付</w:t>
      </w:r>
    </w:p>
    <w:p>
      <w:pPr>
        <w:pStyle w:val="2"/>
        <w:keepNext w:val="0"/>
        <w:keepLines w:val="0"/>
        <w:pageBreakBefore w:val="0"/>
        <w:numPr>
          <w:ilvl w:val="0"/>
          <w:numId w:val="0"/>
        </w:numPr>
        <w:kinsoku/>
        <w:wordWrap/>
        <w:overflowPunct/>
        <w:topLinePunct w:val="0"/>
        <w:autoSpaceDE/>
        <w:autoSpaceDN/>
        <w:bidi w:val="0"/>
        <w:adjustRightInd w:val="0"/>
        <w:snapToGrid/>
        <w:spacing w:beforeAutospacing="0" w:after="0" w:afterAutospacing="0" w:line="240" w:lineRule="auto"/>
        <w:ind w:left="0" w:leftChars="0" w:right="0" w:rightChars="0" w:firstLine="640" w:firstLineChars="200"/>
        <w:jc w:val="both"/>
        <w:textAlignment w:val="auto"/>
        <w:outlineLvl w:val="9"/>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合同签订生效并具备实施条件后7个工作日内，乙方向甲方提交符合财务规定的合法发票后，甲方向乙方支付预付款97.1751万元；运维6个月后，乙方向甲方提交符合财务规定的合法发票后，甲方向乙方支付中标金额的20%；运维9个月以后，乙方向甲方提交符合财务规定的合法发票后，甲方向乙方支付中标金额的35%；乙方履行合同完毕，向甲方递交服务总结报告和履约验收申请，按照合同约定进行履约验收并开展考核工作。项目通过履约验收且乙方无违反合同规定，并向甲方提交符合财务规定的合法发票后,甲方向乙方支付剩余金额；如乙方不能达到或违反合同相关条款之情形，甲方按照相关约定据实核算从项目尾款中扣减相应金额，不足部分由乙方在10个日历内补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当国家、省、市及地方管理部门相关文件和技术要求发生变化，增加新的检测设备（如：总氮），运维费用不变。当运维水站数量减少或运维设备数量减少时，运维费用对应减少。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运维期间：（1）如遇国家、省进行水站上收，应配合做好上收工作，投标人负责水站内原有仪器设备的转运、安放和重新安装调试；并按照相关要求对站房、采水等设施进行升级改造，投标人须提供必要的配合；投标人负责结清水站上收前水费、电费、看护等费用，并配合采购人完成交接工作。以上所有费用均由投标人承担。</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2）当采购人依据国家、省、市及地方管理部门相关文件和技术要求为水站更新或新增仪器设备、优化或更新供水、供电、通讯、采配水、集成系统、数采传输等设施，投标人要配合相关供货单位做好安装调试、试运行等验收前准备工作，并在验收后做好仪器及相关运维的交接工作，并为后续的运行维护工作提供保障支持。全部费用均由投标人承担。同时，根据不同时期的管理要求，所运维水站是动态调整的，如遇到水站数量（或设备）减少，运维费用也会相应减少。</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left"/>
        <w:textAlignment w:val="auto"/>
        <w:rPr>
          <w:rFonts w:hint="eastAsia" w:ascii="仿宋_GB2312" w:hAnsi="黑体" w:eastAsia="仿宋_GB2312" w:cs="Times New Roman"/>
          <w:b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3）如采购人为水站更换或调整仪器设备，投标人要按照采购人要求开展相应工作，包括但不限于运输、安装、调试、性能测试、联网、数据传输等工作，并承担全部费用。并免费运维该仪器设备至项目合同终止。</w:t>
      </w:r>
    </w:p>
    <w:p>
      <w:pPr>
        <w:tabs>
          <w:tab w:val="left" w:pos="2280"/>
        </w:tabs>
        <w:spacing w:line="560" w:lineRule="exact"/>
        <w:ind w:firstLine="640" w:firstLineChars="200"/>
        <w:contextualSpacing/>
        <w:outlineLvl w:val="1"/>
        <w:rPr>
          <w:rFonts w:hint="eastAsia" w:ascii="仿宋_GB2312" w:hAnsi="黑体" w:eastAsia="仿宋_GB2312" w:cs="Times New Roman"/>
          <w:strike w:val="0"/>
          <w:dstrike w:val="0"/>
          <w:color w:val="auto"/>
          <w:kern w:val="2"/>
          <w:sz w:val="32"/>
          <w:szCs w:val="32"/>
          <w:highlight w:val="none"/>
          <w:lang w:val="en-US" w:eastAsia="zh-CN" w:bidi="ar-SA"/>
        </w:rPr>
      </w:pPr>
      <w:r>
        <w:rPr>
          <w:rFonts w:hint="eastAsia" w:ascii="仿宋_GB2312" w:hAnsi="黑体" w:eastAsia="仿宋_GB2312" w:cs="Times New Roman"/>
          <w:b w:val="0"/>
          <w:color w:val="auto"/>
          <w:kern w:val="2"/>
          <w:sz w:val="32"/>
          <w:szCs w:val="32"/>
          <w:highlight w:val="none"/>
          <w:lang w:val="en-US" w:eastAsia="zh-CN" w:bidi="ar-SA"/>
        </w:rPr>
        <w:t>（4）投标人可参与多个分包项目投标，但只允许中标一个分包项目，若投标人在前一个分包项目被评为中标供应商，该投标人在其后续分包项目中只参与评审，不再作为中标供应商。</w:t>
      </w:r>
    </w:p>
    <w:p>
      <w:pPr>
        <w:tabs>
          <w:tab w:val="left" w:pos="2280"/>
        </w:tabs>
        <w:spacing w:line="560" w:lineRule="exact"/>
        <w:ind w:firstLine="640" w:firstLineChars="200"/>
        <w:contextualSpacing/>
        <w:outlineLvl w:val="1"/>
        <w:rPr>
          <w:rFonts w:hint="eastAsia" w:ascii="仿宋_GB2312" w:hAnsi="黑体" w:eastAsia="仿宋_GB2312" w:cs="Times New Roman"/>
          <w:color w:val="auto"/>
          <w:kern w:val="2"/>
          <w:sz w:val="32"/>
          <w:szCs w:val="32"/>
          <w:highlight w:val="none"/>
          <w:lang w:val="en-US" w:eastAsia="zh-CN" w:bidi="ar-SA"/>
        </w:rPr>
      </w:pPr>
      <w:r>
        <w:rPr>
          <w:rFonts w:hint="eastAsia" w:ascii="楷体_GB2312" w:hAnsi="楷体_GB2312" w:eastAsia="楷体_GB2312" w:cs="楷体_GB2312"/>
          <w:color w:val="auto"/>
          <w:sz w:val="32"/>
          <w:szCs w:val="32"/>
          <w:highlight w:val="none"/>
          <w:lang w:val="en-US" w:eastAsia="zh-CN"/>
        </w:rPr>
        <w:t>（五）项目绩效</w:t>
      </w:r>
    </w:p>
    <w:p>
      <w:pPr>
        <w:spacing w:line="560" w:lineRule="exact"/>
        <w:ind w:firstLine="640" w:firstLineChars="200"/>
        <w:jc w:val="left"/>
        <w:outlineLvl w:val="2"/>
        <w:rPr>
          <w:rFonts w:hint="eastAsia" w:ascii="仿宋_GB2312" w:hAnsi="仿宋_GB2312" w:eastAsia="仿宋_GB2312" w:cs="仿宋_GB2312"/>
          <w:b/>
          <w:bCs/>
          <w:color w:val="auto"/>
          <w:sz w:val="32"/>
          <w:szCs w:val="32"/>
          <w:highlight w:val="none"/>
          <w:lang w:val="en-US" w:eastAsia="zh-CN"/>
        </w:rPr>
      </w:pPr>
      <w:r>
        <w:rPr>
          <w:rFonts w:hint="eastAsia" w:ascii="仿宋_GB2312" w:hAnsi="黑体" w:eastAsia="仿宋_GB2312" w:cs="Times New Roman"/>
          <w:color w:val="auto"/>
          <w:kern w:val="2"/>
          <w:sz w:val="32"/>
          <w:szCs w:val="32"/>
          <w:highlight w:val="none"/>
          <w:lang w:val="en-US" w:eastAsia="zh-CN" w:bidi="ar-SA"/>
        </w:rPr>
        <w:t>该项目实施后，使我市水质自动监测站具备对主要河流的实时监控能力和对重要水体的污染事故的预警能力，满足《石家庄市人民政府办公室《关于进一步加强石家庄市河流跨界断面水质生态补偿的通知》（市政办〔2021〕3号）文件中所须的对各个区县的生态断面考核的自动监测数据要求，为保障水质安全发挥重要的作用。</w:t>
      </w:r>
    </w:p>
    <w:p>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pPr>
        <w:spacing w:line="560" w:lineRule="exact"/>
        <w:ind w:firstLine="643" w:firstLineChars="200"/>
        <w:jc w:val="left"/>
        <w:outlineLvl w:val="2"/>
        <w:rPr>
          <w:rFonts w:hint="eastAsia" w:ascii="仿宋_GB2312" w:hAnsi="仿宋_GB2312" w:eastAsia="仿宋_GB2312" w:cs="仿宋_GB2312"/>
          <w:b/>
          <w:bCs/>
          <w:color w:val="auto"/>
          <w:sz w:val="32"/>
          <w:szCs w:val="32"/>
          <w:highlight w:val="none"/>
          <w:lang w:val="en-US" w:eastAsia="zh-CN"/>
        </w:rPr>
      </w:pPr>
    </w:p>
    <w:p>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eastAsia" w:ascii="黑体" w:hAnsi="黑体" w:eastAsia="黑体" w:cs="黑体"/>
          <w:b w:val="0"/>
          <w:bCs/>
          <w:sz w:val="32"/>
          <w:szCs w:val="32"/>
          <w:highlight w:val="none"/>
        </w:rPr>
      </w:pPr>
    </w:p>
    <w:p>
      <w:pPr>
        <w:rPr>
          <w:rFonts w:hint="eastAsia" w:ascii="黑体" w:hAnsi="黑体" w:eastAsia="黑体" w:cs="黑体"/>
          <w:b w:val="0"/>
          <w:bCs/>
          <w:sz w:val="32"/>
          <w:szCs w:val="32"/>
          <w:highlight w:val="none"/>
        </w:rPr>
      </w:pPr>
      <w:r>
        <w:rPr>
          <w:rFonts w:hint="eastAsia" w:ascii="黑体" w:hAnsi="黑体" w:eastAsia="黑体" w:cs="黑体"/>
          <w:b w:val="0"/>
          <w:bCs/>
          <w:sz w:val="32"/>
          <w:szCs w:val="32"/>
          <w:highlight w:val="none"/>
        </w:rPr>
        <w:br w:type="page"/>
      </w:r>
    </w:p>
    <w:p>
      <w:pPr>
        <w:pStyle w:val="2"/>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highlight w:val="none"/>
        </w:rPr>
      </w:pPr>
      <w:r>
        <w:rPr>
          <w:rFonts w:hint="eastAsia" w:ascii="黑体" w:hAnsi="黑体" w:eastAsia="黑体" w:cs="黑体"/>
          <w:b w:val="0"/>
          <w:bCs/>
          <w:sz w:val="32"/>
          <w:szCs w:val="32"/>
          <w:highlight w:val="none"/>
        </w:rPr>
        <w:t>附件3</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r>
        <w:rPr>
          <w:rFonts w:hint="eastAsia" w:ascii="仿宋_GB2312" w:hAnsi="仿宋_GB2312" w:eastAsia="仿宋_GB2312" w:cs="仿宋_GB2312"/>
          <w:b/>
          <w:sz w:val="36"/>
          <w:highlight w:val="none"/>
        </w:rPr>
        <w:t>正本(副本)</w:t>
      </w: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highlight w:val="none"/>
        </w:rPr>
      </w:pPr>
    </w:p>
    <w:p>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highlight w:val="none"/>
        </w:rPr>
      </w:pPr>
      <w:r>
        <w:rPr>
          <w:rFonts w:hint="eastAsia" w:ascii="仿宋_GB2312" w:hAnsi="仿宋_GB2312" w:eastAsia="仿宋_GB2312" w:cs="仿宋_GB2312"/>
          <w:bCs/>
          <w:sz w:val="36"/>
          <w:highlight w:val="none"/>
          <w:u w:val="single"/>
        </w:rPr>
        <w:t xml:space="preserve">                             </w:t>
      </w:r>
      <w:r>
        <w:rPr>
          <w:rFonts w:hint="eastAsia" w:ascii="仿宋_GB2312" w:hAnsi="仿宋_GB2312" w:eastAsia="仿宋_GB2312" w:cs="仿宋_GB2312"/>
          <w:b/>
          <w:sz w:val="36"/>
          <w:highlight w:val="none"/>
        </w:rPr>
        <w:t>项目</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highlight w:val="none"/>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highlight w:val="none"/>
        </w:rPr>
      </w:pPr>
      <w:r>
        <w:rPr>
          <w:rFonts w:hint="eastAsia" w:ascii="仿宋_GB2312" w:hAnsi="仿宋_GB2312" w:eastAsia="仿宋_GB2312" w:cs="仿宋_GB2312"/>
          <w:b/>
          <w:sz w:val="72"/>
          <w:highlight w:val="none"/>
        </w:rPr>
        <w:t>询价响应文件</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highlight w:val="none"/>
        </w:rPr>
      </w:pPr>
    </w:p>
    <w:p>
      <w:pPr>
        <w:pStyle w:val="15"/>
        <w:rPr>
          <w:rFonts w:ascii="仿宋_GB2312" w:hAnsi="仿宋_GB2312" w:eastAsia="仿宋_GB2312" w:cs="仿宋_GB2312"/>
          <w:b/>
          <w:sz w:val="48"/>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pacing w:val="14"/>
          <w:sz w:val="30"/>
          <w:szCs w:val="30"/>
          <w:highlight w:val="none"/>
        </w:rPr>
        <w:t>项目名称</w:t>
      </w:r>
      <w:r>
        <w:rPr>
          <w:rFonts w:hint="eastAsia" w:ascii="仿宋_GB2312" w:hAnsi="仿宋_GB2312" w:eastAsia="仿宋_GB2312" w:cs="仿宋_GB2312"/>
          <w:b/>
          <w:sz w:val="30"/>
          <w:szCs w:val="30"/>
          <w:highlight w:val="none"/>
        </w:rPr>
        <w:t>：</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w:t>
      </w:r>
    </w:p>
    <w:p>
      <w:pPr>
        <w:pStyle w:val="15"/>
        <w:rPr>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报价单位：</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（公章）</w:t>
      </w:r>
    </w:p>
    <w:p>
      <w:pPr>
        <w:pStyle w:val="15"/>
        <w:rPr>
          <w:highlight w:val="none"/>
        </w:rPr>
      </w:pPr>
    </w:p>
    <w:p>
      <w:pPr>
        <w:pStyle w:val="13"/>
        <w:rPr>
          <w:highlight w:val="none"/>
        </w:rPr>
      </w:pPr>
    </w:p>
    <w:p>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highlight w:val="none"/>
          <w:u w:val="single"/>
        </w:rPr>
      </w:pPr>
      <w:r>
        <w:rPr>
          <w:rFonts w:hint="eastAsia" w:ascii="仿宋_GB2312" w:hAnsi="仿宋_GB2312" w:eastAsia="仿宋_GB2312" w:cs="仿宋_GB2312"/>
          <w:b/>
          <w:sz w:val="30"/>
          <w:highlight w:val="none"/>
        </w:rPr>
        <w:t>法定代表人：</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ab/>
      </w:r>
      <w:r>
        <w:rPr>
          <w:rFonts w:hint="eastAsia" w:ascii="仿宋_GB2312" w:hAnsi="仿宋_GB2312" w:eastAsia="仿宋_GB2312" w:cs="仿宋_GB2312"/>
          <w:b/>
          <w:sz w:val="30"/>
          <w:highlight w:val="none"/>
          <w:u w:val="single"/>
        </w:rPr>
        <w:t xml:space="preserve">       （印鉴）</w:t>
      </w:r>
    </w:p>
    <w:p>
      <w:pPr>
        <w:pStyle w:val="15"/>
        <w:rPr>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hint="eastAsia" w:ascii="仿宋_GB2312" w:hAnsi="仿宋_GB2312" w:eastAsia="仿宋_GB2312" w:cs="仿宋_GB2312"/>
          <w:b/>
          <w:sz w:val="30"/>
          <w:highlight w:val="none"/>
        </w:rPr>
        <w:t xml:space="preserve">           日  期：</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年</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月</w:t>
      </w:r>
      <w:r>
        <w:rPr>
          <w:rFonts w:hint="eastAsia" w:ascii="仿宋_GB2312" w:hAnsi="仿宋_GB2312" w:eastAsia="仿宋_GB2312" w:cs="仿宋_GB2312"/>
          <w:b/>
          <w:sz w:val="30"/>
          <w:highlight w:val="none"/>
          <w:u w:val="single"/>
        </w:rPr>
        <w:t xml:space="preserve">      </w:t>
      </w:r>
      <w:r>
        <w:rPr>
          <w:rFonts w:hint="eastAsia" w:ascii="仿宋_GB2312" w:hAnsi="仿宋_GB2312" w:eastAsia="仿宋_GB2312" w:cs="仿宋_GB2312"/>
          <w:b/>
          <w:sz w:val="30"/>
          <w:highlight w:val="none"/>
        </w:rPr>
        <w:t>日</w:t>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r>
        <w:rPr>
          <w:rFonts w:ascii="仿宋_GB2312" w:hAnsi="仿宋_GB2312" w:eastAsia="仿宋_GB2312" w:cs="仿宋_GB2312"/>
          <w:b/>
          <w:sz w:val="30"/>
          <w:highlight w:val="none"/>
        </w:rPr>
        <w:br w:type="page"/>
      </w:r>
    </w:p>
    <w:p>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highlight w:val="none"/>
        </w:r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报价承诺函</w:t>
      </w:r>
    </w:p>
    <w:p>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致: </w:t>
      </w:r>
      <w:r>
        <w:rPr>
          <w:rFonts w:hint="eastAsia" w:ascii="仿宋_GB2312" w:hAnsi="仿宋_GB2312" w:eastAsia="仿宋_GB2312" w:cs="仿宋_GB2312"/>
          <w:sz w:val="28"/>
          <w:highlight w:val="none"/>
          <w:lang w:eastAsia="zh-CN"/>
        </w:rPr>
        <w:t>XXX（单位）</w:t>
      </w:r>
      <w:r>
        <w:rPr>
          <w:rFonts w:hint="eastAsia" w:ascii="仿宋_GB2312" w:hAnsi="仿宋_GB2312" w:eastAsia="仿宋_GB2312" w:cs="仿宋_GB2312"/>
          <w:sz w:val="28"/>
          <w:highlight w:val="none"/>
        </w:rPr>
        <w:t>:</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授权</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为全权代表,参加贵单位采购项目询价的有关活动并报价。为此，我方郑重声明以下诸点：</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提交下述文件正本一份和副本贰份</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初始报价表</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采购项目报价简要说明</w:t>
      </w:r>
    </w:p>
    <w:p>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二次报价表</w:t>
      </w:r>
    </w:p>
    <w:p>
      <w:pPr>
        <w:keepNext w:val="0"/>
        <w:keepLines w:val="0"/>
        <w:pageBreakBefore w:val="0"/>
        <w:numPr>
          <w:ilvl w:val="0"/>
          <w:numId w:val="2"/>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highlight w:val="none"/>
        </w:rPr>
      </w:pPr>
      <w:r>
        <w:rPr>
          <w:rFonts w:hint="eastAsia" w:ascii="黑体" w:hAnsi="黑体" w:eastAsia="黑体" w:cs="黑体"/>
          <w:sz w:val="28"/>
          <w:highlight w:val="none"/>
        </w:rPr>
        <w:t>据此函，法人授权委托代理人代表宣布如下</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我公司已详细审阅项目全部的有关文件（包括但不限于</w:t>
      </w:r>
      <w:r>
        <w:rPr>
          <w:rFonts w:hint="eastAsia" w:ascii="仿宋_GB2312" w:hAnsi="仿宋_GB2312" w:eastAsia="仿宋_GB2312" w:cs="仿宋_GB2312"/>
          <w:sz w:val="28"/>
          <w:szCs w:val="28"/>
          <w:highlight w:val="none"/>
          <w:lang w:eastAsia="zh-CN"/>
        </w:rPr>
        <w:t>设备</w:t>
      </w:r>
      <w:r>
        <w:rPr>
          <w:rFonts w:hint="eastAsia" w:ascii="仿宋_GB2312" w:hAnsi="仿宋_GB2312" w:eastAsia="仿宋_GB2312" w:cs="仿宋_GB2312"/>
          <w:sz w:val="28"/>
          <w:szCs w:val="28"/>
          <w:highlight w:val="none"/>
        </w:rPr>
        <w:t>方案、采购明细、技术参数、实现的功能或者目标等），我们完全理解并同意放弃对此方面有不明及误解的权利。</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我公司将按询价响应文件的有关承诺规定履行责任和义务。</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报价之日起有效期为</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个日历日。</w:t>
      </w:r>
    </w:p>
    <w:p>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初始报价为(小写)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元；(大写)</w:t>
      </w:r>
      <w:r>
        <w:rPr>
          <w:rFonts w:hint="eastAsia" w:ascii="仿宋_GB2312" w:hAnsi="仿宋_GB2312" w:eastAsia="仿宋_GB2312" w:cs="仿宋_GB2312"/>
          <w:sz w:val="28"/>
          <w:szCs w:val="28"/>
          <w:highlight w:val="none"/>
          <w:u w:val="single"/>
        </w:rPr>
        <w:t xml:space="preserve">             </w:t>
      </w:r>
      <w:r>
        <w:rPr>
          <w:rFonts w:hint="eastAsia" w:ascii="仿宋_GB2312" w:hAnsi="仿宋_GB2312" w:eastAsia="仿宋_GB2312" w:cs="仿宋_GB2312"/>
          <w:sz w:val="28"/>
          <w:szCs w:val="28"/>
          <w:highlight w:val="none"/>
        </w:rPr>
        <w:t xml:space="preserve"> ； </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highlight w:val="none"/>
        </w:rPr>
      </w:pPr>
      <w:r>
        <w:rPr>
          <w:rFonts w:hint="eastAsia" w:ascii="仿宋_GB2312" w:hAnsi="仿宋_GB2312" w:eastAsia="仿宋_GB2312" w:cs="仿宋_GB2312"/>
          <w:b/>
          <w:sz w:val="28"/>
          <w:szCs w:val="28"/>
          <w:highlight w:val="none"/>
        </w:rPr>
        <w:t xml:space="preserve">    </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投 标 单 位：（盖章）</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法人授权代表：（签字）</w:t>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ab/>
      </w:r>
      <w:r>
        <w:rPr>
          <w:rFonts w:hint="eastAsia" w:ascii="仿宋_GB2312" w:hAnsi="仿宋_GB2312" w:eastAsia="仿宋_GB2312" w:cs="仿宋_GB2312"/>
          <w:sz w:val="28"/>
          <w:szCs w:val="28"/>
          <w:highlight w:val="none"/>
        </w:rPr>
        <w:t xml:space="preserve">  </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rPr>
        <w:t xml:space="preserve">  年    月    日</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highlight w:val="none"/>
        </w:rPr>
        <w:sectPr>
          <w:pgSz w:w="11907" w:h="16840"/>
          <w:pgMar w:top="1304" w:right="1418" w:bottom="1418" w:left="1418" w:header="720" w:footer="720" w:gutter="0"/>
          <w:pgNumType w:start="1"/>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初始报价表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highlight w:val="none"/>
        </w:rPr>
      </w:pPr>
      <w:r>
        <w:rPr>
          <w:rFonts w:hint="eastAsia" w:ascii="黑体" w:hAnsi="黑体" w:eastAsia="黑体" w:cs="黑体"/>
          <w:sz w:val="44"/>
          <w:szCs w:val="44"/>
          <w:highlight w:val="none"/>
        </w:rPr>
        <w:t xml:space="preserve">                               </w:t>
      </w:r>
      <w:r>
        <w:rPr>
          <w:rFonts w:hint="eastAsia" w:ascii="华文仿宋" w:hAnsi="华文仿宋" w:eastAsia="华文仿宋" w:cs="仿宋_GB2312"/>
          <w:sz w:val="28"/>
          <w:highlight w:val="none"/>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初始报价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highlight w:val="none"/>
        </w:rPr>
      </w:pPr>
      <w:r>
        <w:rPr>
          <w:rFonts w:hint="eastAsia" w:ascii="华文仿宋" w:hAnsi="华文仿宋" w:eastAsia="华文仿宋"/>
          <w:bCs/>
          <w:sz w:val="28"/>
          <w:szCs w:val="28"/>
          <w:highlight w:val="none"/>
        </w:rPr>
        <w:t xml:space="preserve">    说明：要求内容填写清楚，准确无误。本表中的总报价应与分项报价表费用总和一致。</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采购项目报价简要说明</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highlight w:val="none"/>
        </w:rPr>
      </w:pPr>
      <w:r>
        <w:rPr>
          <w:rFonts w:hint="eastAsia" w:ascii="黑体" w:hAnsi="黑体" w:eastAsia="黑体" w:cs="黑体"/>
          <w:i/>
          <w:iCs/>
          <w:sz w:val="44"/>
          <w:szCs w:val="44"/>
          <w:highlight w:val="none"/>
        </w:rPr>
        <w:t>（仅做参考，可依据项目方案预算实际情况编制）</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序号</w:t>
            </w:r>
          </w:p>
        </w:tc>
        <w:tc>
          <w:tcPr>
            <w:tcW w:w="190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项目明细</w:t>
            </w: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型号规格</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及技术参数</w:t>
            </w:r>
          </w:p>
        </w:tc>
        <w:tc>
          <w:tcPr>
            <w:tcW w:w="97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数量</w:t>
            </w:r>
          </w:p>
        </w:tc>
        <w:tc>
          <w:tcPr>
            <w:tcW w:w="840" w:type="dxa"/>
            <w:vAlign w:val="center"/>
          </w:tcPr>
          <w:p>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单价</w:t>
            </w:r>
          </w:p>
        </w:tc>
        <w:tc>
          <w:tcPr>
            <w:tcW w:w="81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金额</w:t>
            </w:r>
          </w:p>
        </w:tc>
        <w:tc>
          <w:tcPr>
            <w:tcW w:w="93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品牌</w:t>
            </w:r>
          </w:p>
        </w:tc>
        <w:tc>
          <w:tcPr>
            <w:tcW w:w="23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产地及制造厂商</w:t>
            </w:r>
          </w:p>
        </w:tc>
        <w:tc>
          <w:tcPr>
            <w:tcW w:w="1487"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性能说明</w:t>
            </w:r>
          </w:p>
        </w:tc>
        <w:tc>
          <w:tcPr>
            <w:tcW w:w="1350"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1</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2</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w:t>
            </w:r>
          </w:p>
        </w:tc>
        <w:tc>
          <w:tcPr>
            <w:tcW w:w="190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62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7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4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81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93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23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487"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highlight w:val="none"/>
              </w:rPr>
            </w:pPr>
            <w:r>
              <w:rPr>
                <w:rFonts w:hint="eastAsia" w:ascii="华文仿宋" w:hAnsi="华文仿宋" w:eastAsia="华文仿宋" w:cs="仿宋_GB2312"/>
                <w:b/>
                <w:bCs/>
                <w:sz w:val="28"/>
                <w:highlight w:val="none"/>
              </w:rPr>
              <w:t>初始报价总价</w:t>
            </w:r>
          </w:p>
        </w:tc>
        <w:tc>
          <w:tcPr>
            <w:tcW w:w="7369" w:type="dxa"/>
            <w:gridSpan w:val="6"/>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c>
          <w:tcPr>
            <w:tcW w:w="1350" w:type="dxa"/>
          </w:tcPr>
          <w:p>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单位：元</w:t>
            </w:r>
          </w:p>
        </w:tc>
      </w:tr>
    </w:tbl>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报价单位代表（签字或盖章）:____________________</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sectPr>
          <w:pgSz w:w="16838" w:h="11906" w:orient="landscape"/>
          <w:pgMar w:top="1803" w:right="1440" w:bottom="1803" w:left="1440" w:header="851" w:footer="992" w:gutter="0"/>
          <w:cols w:space="720" w:num="1"/>
          <w:formProt w:val="0"/>
          <w:docGrid w:type="lines" w:linePitch="319" w:charSpace="0"/>
        </w:sect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二次报价表</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highlight w:val="none"/>
        </w:rPr>
      </w:pPr>
      <w:r>
        <w:rPr>
          <w:rFonts w:hint="eastAsia" w:ascii="华文仿宋" w:hAnsi="华文仿宋" w:eastAsia="华文仿宋" w:cs="仿宋_GB2312"/>
          <w:sz w:val="28"/>
          <w:highlight w:val="none"/>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项目名称</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二次报价</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人民币大写：</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质量</w:t>
            </w:r>
          </w:p>
        </w:tc>
        <w:tc>
          <w:tcPr>
            <w:tcW w:w="6925"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交付期</w:t>
            </w: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报价单位</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highlight w:val="none"/>
              </w:rPr>
            </w:pPr>
          </w:p>
        </w:tc>
        <w:tc>
          <w:tcPr>
            <w:tcW w:w="6925" w:type="dxa"/>
          </w:tcPr>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法定代表人（签字或盖章）：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委托代理人（签字或盖章）：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（公章）</w:t>
            </w:r>
          </w:p>
          <w:p>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highlight w:val="none"/>
              </w:rPr>
            </w:pPr>
            <w:r>
              <w:rPr>
                <w:rFonts w:hint="eastAsia" w:ascii="华文仿宋" w:hAnsi="华文仿宋" w:eastAsia="华文仿宋" w:cs="仿宋_GB2312"/>
                <w:sz w:val="28"/>
                <w:highlight w:val="none"/>
              </w:rPr>
              <w:t xml:space="preserve">             年     月    日</w:t>
            </w:r>
          </w:p>
        </w:tc>
      </w:tr>
    </w:tbl>
    <w:p>
      <w:pPr>
        <w:pStyle w:val="2"/>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highlight w:val="none"/>
        </w:rPr>
      </w:pPr>
    </w:p>
    <w:p>
      <w:pPr>
        <w:pStyle w:val="2"/>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highlight w:val="none"/>
        </w:rPr>
      </w:pPr>
      <w:r>
        <w:rPr>
          <w:rFonts w:hint="eastAsia" w:ascii="黑体" w:hAnsi="黑体" w:eastAsia="黑体" w:cs="黑体"/>
          <w:b w:val="0"/>
          <w:bCs/>
          <w:sz w:val="28"/>
          <w:highlight w:val="none"/>
        </w:rPr>
        <w:t xml:space="preserve">    </w:t>
      </w:r>
      <w:r>
        <w:rPr>
          <w:rFonts w:hint="eastAsia" w:ascii="黑体" w:hAnsi="黑体" w:eastAsia="黑体" w:cs="黑体"/>
          <w:sz w:val="28"/>
          <w:highlight w:val="none"/>
        </w:rPr>
        <w:t>注：本次询价分初始报价和二次报价，经与采购方询价小组谈判后，再填制二次报价表（手工填写）。</w:t>
      </w:r>
    </w:p>
    <w:p>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highlight w:val="none"/>
        </w:rPr>
      </w:pPr>
      <w:r>
        <w:rPr>
          <w:rFonts w:hint="eastAsia" w:ascii="方正小标宋简体" w:hAnsi="方正小标宋简体" w:eastAsia="方正小标宋简体" w:cs="方正小标宋简体"/>
          <w:b w:val="0"/>
          <w:bCs w:val="0"/>
          <w:sz w:val="36"/>
          <w:szCs w:val="36"/>
          <w:highlight w:val="none"/>
        </w:rPr>
        <w:t>授权委托书</w:t>
      </w:r>
    </w:p>
    <w:p>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highlight w:val="none"/>
        </w:rPr>
      </w:pP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本授权委托书声明：我</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（姓名）系</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w:t>
      </w:r>
      <w:r>
        <w:rPr>
          <w:rFonts w:hint="eastAsia" w:ascii="仿宋_GB2312" w:hAnsi="仿宋_GB2312" w:eastAsia="仿宋_GB2312" w:cs="仿宋_GB2312"/>
          <w:sz w:val="28"/>
          <w:highlight w:val="none"/>
          <w:lang w:eastAsia="zh-CN"/>
        </w:rPr>
        <w:t>单位</w:t>
      </w:r>
      <w:r>
        <w:rPr>
          <w:rFonts w:hint="eastAsia" w:ascii="仿宋_GB2312" w:hAnsi="仿宋_GB2312" w:eastAsia="仿宋_GB2312" w:cs="仿宋_GB2312"/>
          <w:sz w:val="28"/>
          <w:highlight w:val="none"/>
        </w:rPr>
        <w:t>名称）的法定代表人，现授权委托</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（单位名称）的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（姓名、职务）为我公司代理人，以本公司的名义参加</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XXX（单位）</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的</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highlight w:val="none"/>
          <w:u w:val="single"/>
        </w:rPr>
        <w:t xml:space="preserve"> </w:t>
      </w:r>
      <w:r>
        <w:rPr>
          <w:rFonts w:hint="eastAsia" w:ascii="仿宋_GB2312" w:hAnsi="仿宋_GB2312" w:eastAsia="仿宋_GB2312" w:cs="仿宋_GB2312"/>
          <w:sz w:val="28"/>
          <w:highlight w:val="none"/>
        </w:rPr>
        <w:t xml:space="preserve"> 项目的市场询价活动。代理人在询价谈判过程中所签署的一切文件和处理与之有关的一切事务，我均予以承认。</w:t>
      </w:r>
    </w:p>
    <w:p>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代理人无转委托权。特此委托。</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代理人：                性别：    年龄：</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单位：                  职务：    身份证号：</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lang w:eastAsia="zh-CN"/>
        </w:rPr>
      </w:pPr>
      <w:r>
        <w:rPr>
          <w:rFonts w:hint="eastAsia" w:ascii="仿宋_GB2312" w:hAnsi="仿宋_GB2312" w:eastAsia="仿宋_GB2312" w:cs="仿宋_GB2312"/>
          <w:sz w:val="28"/>
          <w:highlight w:val="none"/>
          <w:lang w:eastAsia="zh-CN"/>
        </w:rPr>
        <w:t>固定电话：</w:t>
      </w:r>
      <w:r>
        <w:rPr>
          <w:rFonts w:hint="eastAsia" w:ascii="仿宋_GB2312" w:hAnsi="仿宋_GB2312" w:eastAsia="仿宋_GB2312" w:cs="仿宋_GB2312"/>
          <w:sz w:val="28"/>
          <w:highlight w:val="none"/>
          <w:lang w:val="en-US" w:eastAsia="zh-CN"/>
        </w:rPr>
        <w:t xml:space="preserve">              手机号码：</w:t>
      </w: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报价单位：（盖章）</w:t>
      </w: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法定代表人：（盖章）</w:t>
      </w:r>
    </w:p>
    <w:p>
      <w:pPr>
        <w:pStyle w:val="15"/>
        <w:rPr>
          <w:rFonts w:hint="eastAsia" w:ascii="仿宋_GB2312" w:hAnsi="仿宋_GB2312" w:eastAsia="仿宋_GB2312" w:cs="仿宋_GB2312"/>
          <w:sz w:val="28"/>
          <w:highlight w:val="none"/>
        </w:rPr>
      </w:pPr>
    </w:p>
    <w:p>
      <w:pPr>
        <w:pStyle w:val="13"/>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有效期：  年  月  日至  年  月  日</w:t>
      </w:r>
    </w:p>
    <w:p>
      <w:pPr>
        <w:pStyle w:val="15"/>
        <w:rPr>
          <w:rFonts w:hint="eastAsia"/>
          <w:highlight w:val="none"/>
        </w:rPr>
      </w:pPr>
    </w:p>
    <w:p>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highlight w:val="none"/>
        </w:rPr>
      </w:pP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pPr>
      <w:r>
        <w:rPr>
          <w:rFonts w:hint="eastAsia" w:ascii="仿宋_GB2312" w:hAnsi="仿宋_GB2312" w:eastAsia="仿宋_GB2312" w:cs="仿宋_GB2312"/>
          <w:sz w:val="28"/>
          <w:highlight w:val="none"/>
        </w:rPr>
        <w:t xml:space="preserve">                           日期：  年  月  日</w:t>
      </w:r>
    </w:p>
    <w:p>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highlight w:val="none"/>
        </w:rPr>
        <w:sectPr>
          <w:pgSz w:w="11906" w:h="16838"/>
          <w:pgMar w:top="1440" w:right="1800" w:bottom="1440" w:left="1800" w:header="851" w:footer="992" w:gutter="0"/>
          <w:cols w:space="720" w:num="1"/>
          <w:formProt w:val="0"/>
          <w:docGrid w:type="lines" w:linePitch="312" w:charSpace="0"/>
        </w:sectPr>
      </w:pP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【营业执照副本（或三证合一）复印件】（加盖单位公章和法人章）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【相关资质复印件】（加盖单位公章和法人章）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【被询价单位法人身份证复印件】（加盖单位公章和法人章）【被询价单位委托代理人身份证复印件】（加盖单位公章和法人章）</w:t>
      </w:r>
    </w:p>
    <w:p>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highlight w:val="none"/>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highlight w:val="none"/>
        </w:rPr>
        <w:t>【其他】</w:t>
      </w:r>
    </w:p>
    <w:p>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石家庄市环境监控中心</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eastAsia" w:ascii="方正小标宋_GBK" w:hAnsi="方正小标宋_GBK" w:eastAsia="方正小标宋_GBK" w:cs="方正小标宋_GBK"/>
          <w:bCs/>
          <w:sz w:val="44"/>
          <w:szCs w:val="44"/>
          <w:highlight w:val="none"/>
          <w:lang w:val="en-US" w:eastAsia="zh-CN"/>
        </w:rPr>
      </w:pPr>
      <w:r>
        <w:rPr>
          <w:rFonts w:hint="eastAsia" w:ascii="方正小标宋_GBK" w:hAnsi="方正小标宋_GBK" w:eastAsia="方正小标宋_GBK" w:cs="方正小标宋_GBK"/>
          <w:bCs/>
          <w:sz w:val="44"/>
          <w:szCs w:val="44"/>
          <w:highlight w:val="none"/>
          <w:lang w:val="en-US" w:eastAsia="zh-CN"/>
        </w:rPr>
        <w:t>地表水自动监测站运维项目01包</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highlight w:val="none"/>
        </w:rPr>
      </w:pPr>
      <w:r>
        <w:rPr>
          <w:rFonts w:hint="eastAsia" w:ascii="方正小标宋_GBK" w:hAnsi="方正小标宋_GBK" w:eastAsia="方正小标宋_GBK" w:cs="方正小标宋_GBK"/>
          <w:bCs/>
          <w:sz w:val="44"/>
          <w:szCs w:val="44"/>
          <w:highlight w:val="none"/>
        </w:rPr>
        <w:t>询价告知卡</w:t>
      </w:r>
    </w:p>
    <w:p>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highlight w:val="none"/>
        </w:rPr>
      </w:pP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r>
        <w:rPr>
          <w:rFonts w:hint="eastAsia" w:ascii="方正小标宋_GBK" w:hAnsi="方正小标宋_GBK" w:eastAsia="方正小标宋_GBK" w:cs="方正小标宋_GBK"/>
          <w:b w:val="0"/>
          <w:bCs/>
          <w:sz w:val="32"/>
          <w:szCs w:val="32"/>
          <w:highlight w:val="none"/>
        </w:rPr>
        <w:t xml:space="preserve"> （报价单位名称）：</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石家庄市环境监控中心关于地表水自动监测站运维项目01包</w:t>
      </w:r>
      <w:r>
        <w:rPr>
          <w:rFonts w:hint="eastAsia" w:ascii="方正小标宋_GBK" w:hAnsi="方正小标宋_GBK" w:eastAsia="方正小标宋_GBK" w:cs="方正小标宋_GBK"/>
          <w:b w:val="0"/>
          <w:bCs/>
          <w:sz w:val="32"/>
          <w:szCs w:val="32"/>
          <w:highlight w:val="none"/>
        </w:rPr>
        <w:t>的询价信息公告”是否阅知？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石家庄市环境监控中心地表水自动监测站运维项目01包询价要求及流程</w:t>
      </w:r>
      <w:r>
        <w:rPr>
          <w:rFonts w:hint="eastAsia" w:ascii="方正小标宋_GBK" w:hAnsi="方正小标宋_GBK" w:eastAsia="方正小标宋_GBK" w:cs="方正小标宋_GBK"/>
          <w:b w:val="0"/>
          <w:bCs/>
          <w:sz w:val="32"/>
          <w:szCs w:val="32"/>
          <w:highlight w:val="none"/>
        </w:rPr>
        <w:t>”是否阅知？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numPr>
          <w:ilvl w:val="0"/>
          <w:numId w:val="5"/>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我单位官网发布的“</w:t>
      </w:r>
      <w:r>
        <w:rPr>
          <w:rFonts w:hint="eastAsia" w:ascii="方正小标宋_GBK" w:hAnsi="方正小标宋_GBK" w:eastAsia="方正小标宋_GBK" w:cs="方正小标宋_GBK"/>
          <w:b w:val="0"/>
          <w:bCs/>
          <w:sz w:val="32"/>
          <w:szCs w:val="32"/>
          <w:highlight w:val="none"/>
          <w:lang w:val="en-US" w:eastAsia="zh-CN"/>
        </w:rPr>
        <w:t>石家庄市环境监控中心地表水自动监测站运维项目01包工作方案</w:t>
      </w:r>
      <w:r>
        <w:rPr>
          <w:rFonts w:hint="eastAsia" w:ascii="方正小标宋_GBK" w:hAnsi="方正小标宋_GBK" w:eastAsia="方正小标宋_GBK" w:cs="方正小标宋_GBK"/>
          <w:b w:val="0"/>
          <w:bCs/>
          <w:sz w:val="32"/>
          <w:szCs w:val="32"/>
          <w:highlight w:val="none"/>
        </w:rPr>
        <w:t>”及采购需求是否阅知？</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r>
        <w:rPr>
          <w:rFonts w:hint="eastAsia" w:ascii="方正小标宋_GBK" w:hAnsi="方正小标宋_GBK" w:eastAsia="方正小标宋_GBK" w:cs="方正小标宋_GBK"/>
          <w:b w:val="0"/>
          <w:bCs/>
          <w:sz w:val="32"/>
          <w:szCs w:val="32"/>
          <w:highlight w:val="none"/>
        </w:rPr>
        <w:t>报价单位（公章）：</w:t>
      </w:r>
      <w:r>
        <w:rPr>
          <w:rFonts w:hint="eastAsia" w:ascii="方正小标宋_GBK" w:hAnsi="方正小标宋_GBK" w:eastAsia="方正小标宋_GBK" w:cs="方正小标宋_GBK"/>
          <w:b w:val="0"/>
          <w:bCs/>
          <w:sz w:val="32"/>
          <w:szCs w:val="32"/>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highlight w:val="none"/>
          <w:u w:val="singl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r>
        <w:rPr>
          <w:rFonts w:hint="eastAsia" w:ascii="方正小标宋_GBK" w:hAnsi="方正小标宋_GBK" w:eastAsia="方正小标宋_GBK" w:cs="方正小标宋_GBK"/>
          <w:b w:val="0"/>
          <w:bCs/>
          <w:sz w:val="32"/>
          <w:szCs w:val="32"/>
          <w:highlight w:val="none"/>
        </w:rPr>
        <w:t>委托代理人（签字）：</w:t>
      </w: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rPr>
      </w:pPr>
    </w:p>
    <w:p>
      <w:pPr>
        <w:pStyle w:val="2"/>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highlight w:val="none"/>
          <w:lang w:val="en-US" w:eastAsia="zh-CN"/>
        </w:rPr>
      </w:pPr>
      <w:r>
        <w:rPr>
          <w:rFonts w:hint="eastAsia" w:ascii="方正小标宋_GBK" w:hAnsi="方正小标宋_GBK" w:eastAsia="方正小标宋_GBK" w:cs="方正小标宋_GBK"/>
          <w:b w:val="0"/>
          <w:bCs/>
          <w:sz w:val="32"/>
          <w:szCs w:val="32"/>
          <w:highlight w:val="none"/>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Droid Sans Fallback">
    <w:altName w:val="宋体"/>
    <w:panose1 w:val="020B0502000000000001"/>
    <w:charset w:val="86"/>
    <w:family w:val="swiss"/>
    <w:pitch w:val="default"/>
    <w:sig w:usb0="00000000" w:usb1="00000000" w:usb2="00000036" w:usb3="00000000" w:csb0="203F01FF" w:csb1="D7FF0000"/>
  </w:font>
  <w:font w:name="方正小标宋简体">
    <w:panose1 w:val="02000000000000000000"/>
    <w:charset w:val="86"/>
    <w:family w:val="script"/>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12"/>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6"/>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hlYTY0ZDFlNzFmZDU0NTFkMmQwMzI0ODBjN2JlZGMifQ=="/>
    <w:docVar w:name="KSO_WPS_MARK_KEY" w:val="fd7e451a-e72b-4b0f-98e5-cef820c0169f"/>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2006978"/>
    <w:rsid w:val="02355E6E"/>
    <w:rsid w:val="02785724"/>
    <w:rsid w:val="02B80751"/>
    <w:rsid w:val="02DF2C1C"/>
    <w:rsid w:val="034E7427"/>
    <w:rsid w:val="035B12CD"/>
    <w:rsid w:val="03E5503B"/>
    <w:rsid w:val="03F84D6E"/>
    <w:rsid w:val="04207874"/>
    <w:rsid w:val="054637EC"/>
    <w:rsid w:val="058C1873"/>
    <w:rsid w:val="05AA1AAE"/>
    <w:rsid w:val="05C20325"/>
    <w:rsid w:val="05F72D00"/>
    <w:rsid w:val="06FF4152"/>
    <w:rsid w:val="074D53D1"/>
    <w:rsid w:val="0758159A"/>
    <w:rsid w:val="077A3CEC"/>
    <w:rsid w:val="077BA652"/>
    <w:rsid w:val="08910593"/>
    <w:rsid w:val="08CE609D"/>
    <w:rsid w:val="0A2555E1"/>
    <w:rsid w:val="0A93380A"/>
    <w:rsid w:val="0AE24082"/>
    <w:rsid w:val="0AEC1CA4"/>
    <w:rsid w:val="0BA31992"/>
    <w:rsid w:val="0C1F2E83"/>
    <w:rsid w:val="0C63233E"/>
    <w:rsid w:val="0CC25F19"/>
    <w:rsid w:val="0CD60C9A"/>
    <w:rsid w:val="0D0B3D64"/>
    <w:rsid w:val="0D755681"/>
    <w:rsid w:val="0E2B3022"/>
    <w:rsid w:val="0E4A4418"/>
    <w:rsid w:val="0E88796A"/>
    <w:rsid w:val="0EA77C5D"/>
    <w:rsid w:val="0EC0759D"/>
    <w:rsid w:val="0EDF32A9"/>
    <w:rsid w:val="105B6A84"/>
    <w:rsid w:val="10BD0069"/>
    <w:rsid w:val="10E34450"/>
    <w:rsid w:val="11965AF0"/>
    <w:rsid w:val="11E76B9F"/>
    <w:rsid w:val="12684593"/>
    <w:rsid w:val="129A3494"/>
    <w:rsid w:val="12DC612D"/>
    <w:rsid w:val="1320369B"/>
    <w:rsid w:val="13325751"/>
    <w:rsid w:val="135D040F"/>
    <w:rsid w:val="13621EEC"/>
    <w:rsid w:val="138564F0"/>
    <w:rsid w:val="13AA5E2B"/>
    <w:rsid w:val="13D73627"/>
    <w:rsid w:val="13E41600"/>
    <w:rsid w:val="14575AE1"/>
    <w:rsid w:val="147E606E"/>
    <w:rsid w:val="14FC1A0E"/>
    <w:rsid w:val="150001D9"/>
    <w:rsid w:val="15A52F2E"/>
    <w:rsid w:val="16287735"/>
    <w:rsid w:val="171E3417"/>
    <w:rsid w:val="17C821C3"/>
    <w:rsid w:val="18C563ED"/>
    <w:rsid w:val="190D4BE0"/>
    <w:rsid w:val="194A05B4"/>
    <w:rsid w:val="1A110D24"/>
    <w:rsid w:val="1A64092F"/>
    <w:rsid w:val="1A6E3285"/>
    <w:rsid w:val="1AC66850"/>
    <w:rsid w:val="1AE300CE"/>
    <w:rsid w:val="1B8D5C41"/>
    <w:rsid w:val="1CD64CCD"/>
    <w:rsid w:val="1D212913"/>
    <w:rsid w:val="1E486234"/>
    <w:rsid w:val="1E89442B"/>
    <w:rsid w:val="1F012D15"/>
    <w:rsid w:val="1F6623C1"/>
    <w:rsid w:val="1F7312F5"/>
    <w:rsid w:val="1F8E5335"/>
    <w:rsid w:val="20142AD8"/>
    <w:rsid w:val="201C373B"/>
    <w:rsid w:val="20304FD0"/>
    <w:rsid w:val="204E102B"/>
    <w:rsid w:val="206D2D4F"/>
    <w:rsid w:val="213868ED"/>
    <w:rsid w:val="219A57C2"/>
    <w:rsid w:val="21D70261"/>
    <w:rsid w:val="222840E4"/>
    <w:rsid w:val="22552F34"/>
    <w:rsid w:val="22DF2C0B"/>
    <w:rsid w:val="238D0876"/>
    <w:rsid w:val="23973171"/>
    <w:rsid w:val="2441271F"/>
    <w:rsid w:val="24BB6482"/>
    <w:rsid w:val="275D3454"/>
    <w:rsid w:val="27D2138F"/>
    <w:rsid w:val="2805730B"/>
    <w:rsid w:val="28D94CC5"/>
    <w:rsid w:val="28E145A1"/>
    <w:rsid w:val="28F120E8"/>
    <w:rsid w:val="2901229F"/>
    <w:rsid w:val="29B570DA"/>
    <w:rsid w:val="29BC1BEA"/>
    <w:rsid w:val="29C9791F"/>
    <w:rsid w:val="29F554B9"/>
    <w:rsid w:val="2A962289"/>
    <w:rsid w:val="2B364DB1"/>
    <w:rsid w:val="2B57444A"/>
    <w:rsid w:val="2BCD7650"/>
    <w:rsid w:val="2C115C1E"/>
    <w:rsid w:val="2C770D7D"/>
    <w:rsid w:val="2C8E40DA"/>
    <w:rsid w:val="2C994A91"/>
    <w:rsid w:val="2D5A65C5"/>
    <w:rsid w:val="2D7F55C2"/>
    <w:rsid w:val="2DEB62CF"/>
    <w:rsid w:val="2DFC0D95"/>
    <w:rsid w:val="2E0F58AB"/>
    <w:rsid w:val="2E922A59"/>
    <w:rsid w:val="2EB57CCE"/>
    <w:rsid w:val="2F6E0D6D"/>
    <w:rsid w:val="2F811C83"/>
    <w:rsid w:val="2F9013C2"/>
    <w:rsid w:val="311A1F18"/>
    <w:rsid w:val="31327760"/>
    <w:rsid w:val="31363B59"/>
    <w:rsid w:val="3156643E"/>
    <w:rsid w:val="31681A0B"/>
    <w:rsid w:val="32BC67A5"/>
    <w:rsid w:val="32D76267"/>
    <w:rsid w:val="332609ED"/>
    <w:rsid w:val="33433250"/>
    <w:rsid w:val="346A24A1"/>
    <w:rsid w:val="348B67C9"/>
    <w:rsid w:val="36050B3C"/>
    <w:rsid w:val="36336D3C"/>
    <w:rsid w:val="36AFD352"/>
    <w:rsid w:val="37664A4B"/>
    <w:rsid w:val="376A10BB"/>
    <w:rsid w:val="37D31B27"/>
    <w:rsid w:val="37E34E12"/>
    <w:rsid w:val="37EE1126"/>
    <w:rsid w:val="3962445C"/>
    <w:rsid w:val="39965EB4"/>
    <w:rsid w:val="39D81C4D"/>
    <w:rsid w:val="39F57F23"/>
    <w:rsid w:val="3A3F6D53"/>
    <w:rsid w:val="3A4818A4"/>
    <w:rsid w:val="3A96260F"/>
    <w:rsid w:val="3A9F725A"/>
    <w:rsid w:val="3AD42E7F"/>
    <w:rsid w:val="3AF5DAB1"/>
    <w:rsid w:val="3B2535D0"/>
    <w:rsid w:val="3C3314A1"/>
    <w:rsid w:val="3C771D8C"/>
    <w:rsid w:val="3D0773AA"/>
    <w:rsid w:val="3D096A38"/>
    <w:rsid w:val="3E2E7003"/>
    <w:rsid w:val="3E8264FA"/>
    <w:rsid w:val="3ED04B63"/>
    <w:rsid w:val="3EFF8D60"/>
    <w:rsid w:val="3F345B9D"/>
    <w:rsid w:val="3FC2791B"/>
    <w:rsid w:val="3FCD703E"/>
    <w:rsid w:val="40375B01"/>
    <w:rsid w:val="403959A7"/>
    <w:rsid w:val="42B43088"/>
    <w:rsid w:val="43324E9F"/>
    <w:rsid w:val="43F9776B"/>
    <w:rsid w:val="44127729"/>
    <w:rsid w:val="452C0D9A"/>
    <w:rsid w:val="45330549"/>
    <w:rsid w:val="462A00B0"/>
    <w:rsid w:val="46810B28"/>
    <w:rsid w:val="46B362F7"/>
    <w:rsid w:val="46BE0967"/>
    <w:rsid w:val="46E464B1"/>
    <w:rsid w:val="47D64CBF"/>
    <w:rsid w:val="47F46841"/>
    <w:rsid w:val="480A63EB"/>
    <w:rsid w:val="484713ED"/>
    <w:rsid w:val="486D2B74"/>
    <w:rsid w:val="488A68CF"/>
    <w:rsid w:val="489E4EF2"/>
    <w:rsid w:val="48BA422E"/>
    <w:rsid w:val="48E44E8E"/>
    <w:rsid w:val="491A440C"/>
    <w:rsid w:val="497F0713"/>
    <w:rsid w:val="49862862"/>
    <w:rsid w:val="4A103E4C"/>
    <w:rsid w:val="4A1C0A19"/>
    <w:rsid w:val="4AED1D55"/>
    <w:rsid w:val="4B34396A"/>
    <w:rsid w:val="4B4935DD"/>
    <w:rsid w:val="4B562B1E"/>
    <w:rsid w:val="4BC82845"/>
    <w:rsid w:val="4BFC55E5"/>
    <w:rsid w:val="4C900CC1"/>
    <w:rsid w:val="4CF136D5"/>
    <w:rsid w:val="4D002DEA"/>
    <w:rsid w:val="4D4E52B1"/>
    <w:rsid w:val="4DD864BE"/>
    <w:rsid w:val="4DE1199C"/>
    <w:rsid w:val="4E276751"/>
    <w:rsid w:val="4E486040"/>
    <w:rsid w:val="4EAD187E"/>
    <w:rsid w:val="4EB33338"/>
    <w:rsid w:val="4EE30F7E"/>
    <w:rsid w:val="50120259"/>
    <w:rsid w:val="5096171E"/>
    <w:rsid w:val="50FD61CC"/>
    <w:rsid w:val="52054E85"/>
    <w:rsid w:val="52B30142"/>
    <w:rsid w:val="52B34A6D"/>
    <w:rsid w:val="535165EE"/>
    <w:rsid w:val="53EA4A51"/>
    <w:rsid w:val="545E3EDB"/>
    <w:rsid w:val="546A57C4"/>
    <w:rsid w:val="54BD7D6C"/>
    <w:rsid w:val="54E16872"/>
    <w:rsid w:val="55223BCA"/>
    <w:rsid w:val="55394DEE"/>
    <w:rsid w:val="554F6F2D"/>
    <w:rsid w:val="56471A02"/>
    <w:rsid w:val="56561DB1"/>
    <w:rsid w:val="566030AC"/>
    <w:rsid w:val="567E0856"/>
    <w:rsid w:val="569F214B"/>
    <w:rsid w:val="57BB473B"/>
    <w:rsid w:val="580426D3"/>
    <w:rsid w:val="59B11BB7"/>
    <w:rsid w:val="59CD4E8E"/>
    <w:rsid w:val="59FF1043"/>
    <w:rsid w:val="5A312564"/>
    <w:rsid w:val="5A431531"/>
    <w:rsid w:val="5A4C7F7A"/>
    <w:rsid w:val="5B4A3877"/>
    <w:rsid w:val="5B5F0B54"/>
    <w:rsid w:val="5B7F49C4"/>
    <w:rsid w:val="5B8649E8"/>
    <w:rsid w:val="5C29409E"/>
    <w:rsid w:val="5C807BB8"/>
    <w:rsid w:val="5C82434A"/>
    <w:rsid w:val="5CF434F3"/>
    <w:rsid w:val="5D0B2591"/>
    <w:rsid w:val="5E4C0286"/>
    <w:rsid w:val="5E592348"/>
    <w:rsid w:val="5EAE0D08"/>
    <w:rsid w:val="5F0919A4"/>
    <w:rsid w:val="5F1D035A"/>
    <w:rsid w:val="5FFEBFFF"/>
    <w:rsid w:val="603911C4"/>
    <w:rsid w:val="603C3C36"/>
    <w:rsid w:val="60456754"/>
    <w:rsid w:val="604C70BC"/>
    <w:rsid w:val="60636240"/>
    <w:rsid w:val="614D47B5"/>
    <w:rsid w:val="614D4BC3"/>
    <w:rsid w:val="617625B0"/>
    <w:rsid w:val="61817A1F"/>
    <w:rsid w:val="620F2B8A"/>
    <w:rsid w:val="62347E94"/>
    <w:rsid w:val="62517FC0"/>
    <w:rsid w:val="62720114"/>
    <w:rsid w:val="627853EA"/>
    <w:rsid w:val="638C03E2"/>
    <w:rsid w:val="63BFD95A"/>
    <w:rsid w:val="64481E81"/>
    <w:rsid w:val="645131D3"/>
    <w:rsid w:val="64DF4A2F"/>
    <w:rsid w:val="65436640"/>
    <w:rsid w:val="658C7FE7"/>
    <w:rsid w:val="659C40EE"/>
    <w:rsid w:val="660409AD"/>
    <w:rsid w:val="661170F7"/>
    <w:rsid w:val="661E1587"/>
    <w:rsid w:val="66252916"/>
    <w:rsid w:val="66302E0F"/>
    <w:rsid w:val="666F45A0"/>
    <w:rsid w:val="672B0915"/>
    <w:rsid w:val="67635BC1"/>
    <w:rsid w:val="67AB00FD"/>
    <w:rsid w:val="67BB6CAC"/>
    <w:rsid w:val="67BE26CC"/>
    <w:rsid w:val="680A67C8"/>
    <w:rsid w:val="68837F16"/>
    <w:rsid w:val="68BC0BE4"/>
    <w:rsid w:val="68E07AEE"/>
    <w:rsid w:val="69006831"/>
    <w:rsid w:val="6A4A6515"/>
    <w:rsid w:val="6A640F76"/>
    <w:rsid w:val="6A642D05"/>
    <w:rsid w:val="6A97065D"/>
    <w:rsid w:val="6AB53B3C"/>
    <w:rsid w:val="6C977F01"/>
    <w:rsid w:val="6CEE1CD9"/>
    <w:rsid w:val="6DD00BA9"/>
    <w:rsid w:val="6DE6FC7D"/>
    <w:rsid w:val="6E2C46FB"/>
    <w:rsid w:val="6E6FC777"/>
    <w:rsid w:val="6F125D61"/>
    <w:rsid w:val="6FD20CED"/>
    <w:rsid w:val="6FE71048"/>
    <w:rsid w:val="70642025"/>
    <w:rsid w:val="70F652BC"/>
    <w:rsid w:val="71407CFA"/>
    <w:rsid w:val="71ED2914"/>
    <w:rsid w:val="723B701D"/>
    <w:rsid w:val="726C6ADB"/>
    <w:rsid w:val="735E7467"/>
    <w:rsid w:val="736DD143"/>
    <w:rsid w:val="73D74B24"/>
    <w:rsid w:val="748F3650"/>
    <w:rsid w:val="751F4904"/>
    <w:rsid w:val="75422471"/>
    <w:rsid w:val="757A60AE"/>
    <w:rsid w:val="759706CC"/>
    <w:rsid w:val="762941A2"/>
    <w:rsid w:val="76536B40"/>
    <w:rsid w:val="76943127"/>
    <w:rsid w:val="76D36788"/>
    <w:rsid w:val="76FA3C35"/>
    <w:rsid w:val="775761F1"/>
    <w:rsid w:val="778356EE"/>
    <w:rsid w:val="779C67B0"/>
    <w:rsid w:val="77D53717"/>
    <w:rsid w:val="77FA8D7D"/>
    <w:rsid w:val="784D55E5"/>
    <w:rsid w:val="78864371"/>
    <w:rsid w:val="79480188"/>
    <w:rsid w:val="7BFBBAF0"/>
    <w:rsid w:val="7C115EE7"/>
    <w:rsid w:val="7C3D7C78"/>
    <w:rsid w:val="7C781333"/>
    <w:rsid w:val="7D242C86"/>
    <w:rsid w:val="7DBE5B9D"/>
    <w:rsid w:val="7E1A6E9E"/>
    <w:rsid w:val="7EDF0129"/>
    <w:rsid w:val="7EDF3964"/>
    <w:rsid w:val="7F50046D"/>
    <w:rsid w:val="7FB23D36"/>
    <w:rsid w:val="7FDEB5CB"/>
    <w:rsid w:val="7FFDCADC"/>
    <w:rsid w:val="9FEB8FEB"/>
    <w:rsid w:val="B47B62BB"/>
    <w:rsid w:val="BEEFD03C"/>
    <w:rsid w:val="BFCBFBF2"/>
    <w:rsid w:val="D4B6A447"/>
    <w:rsid w:val="D7605DD1"/>
    <w:rsid w:val="D7C7C6A9"/>
    <w:rsid w:val="DDD569AE"/>
    <w:rsid w:val="DFFCB14E"/>
    <w:rsid w:val="E7EA4269"/>
    <w:rsid w:val="EC3599D0"/>
    <w:rsid w:val="EEBBCC2C"/>
    <w:rsid w:val="EFBFFC0B"/>
    <w:rsid w:val="F38D895D"/>
    <w:rsid w:val="F3FFCC42"/>
    <w:rsid w:val="F8FF0AF4"/>
    <w:rsid w:val="FBA318C4"/>
    <w:rsid w:val="FBD25268"/>
    <w:rsid w:val="FCD550A8"/>
    <w:rsid w:val="FFD778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jc w:val="left"/>
      <w:outlineLvl w:val="0"/>
    </w:pPr>
    <w:rPr>
      <w:rFonts w:ascii="宋体" w:hAnsi="宋体"/>
      <w:b/>
      <w:sz w:val="32"/>
      <w:szCs w:val="20"/>
    </w:rPr>
  </w:style>
  <w:style w:type="paragraph" w:styleId="5">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6">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7">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8">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jc w:val="center"/>
    </w:pPr>
    <w:rPr>
      <w:rFonts w:ascii="宋体"/>
      <w:b/>
      <w:sz w:val="48"/>
    </w:rPr>
  </w:style>
  <w:style w:type="paragraph" w:styleId="3">
    <w:name w:val="toc 2"/>
    <w:basedOn w:val="1"/>
    <w:next w:val="1"/>
    <w:qFormat/>
    <w:uiPriority w:val="0"/>
    <w:pPr>
      <w:tabs>
        <w:tab w:val="right" w:leader="dot" w:pos="9038"/>
      </w:tabs>
      <w:spacing w:line="60" w:lineRule="atLeast"/>
      <w:ind w:left="210"/>
      <w:jc w:val="left"/>
    </w:pPr>
    <w:rPr>
      <w:smallCaps/>
    </w:rPr>
  </w:style>
  <w:style w:type="paragraph" w:styleId="9">
    <w:name w:val="Normal Indent"/>
    <w:basedOn w:val="1"/>
    <w:qFormat/>
    <w:uiPriority w:val="0"/>
    <w:pPr>
      <w:spacing w:line="360" w:lineRule="auto"/>
      <w:ind w:firstLine="420"/>
    </w:pPr>
    <w:rPr>
      <w:szCs w:val="20"/>
    </w:rPr>
  </w:style>
  <w:style w:type="paragraph" w:styleId="10">
    <w:name w:val="annotation text"/>
    <w:basedOn w:val="1"/>
    <w:link w:val="40"/>
    <w:qFormat/>
    <w:uiPriority w:val="0"/>
    <w:pPr>
      <w:jc w:val="left"/>
    </w:pPr>
  </w:style>
  <w:style w:type="paragraph" w:styleId="11">
    <w:name w:val="Body Text Indent"/>
    <w:basedOn w:val="1"/>
    <w:next w:val="12"/>
    <w:unhideWhenUsed/>
    <w:qFormat/>
    <w:uiPriority w:val="99"/>
    <w:pPr>
      <w:spacing w:after="120"/>
      <w:ind w:left="420" w:leftChars="200"/>
    </w:pPr>
    <w:rPr>
      <w:rFonts w:ascii="Times New Roman" w:hAnsi="Times New Roman" w:eastAsia="宋体" w:cs="Times New Roman"/>
      <w:szCs w:val="24"/>
    </w:rPr>
  </w:style>
  <w:style w:type="paragraph" w:styleId="12">
    <w:name w:val="footer"/>
    <w:basedOn w:val="1"/>
    <w:next w:val="13"/>
    <w:qFormat/>
    <w:uiPriority w:val="0"/>
    <w:pPr>
      <w:tabs>
        <w:tab w:val="center" w:pos="4153"/>
        <w:tab w:val="right" w:pos="8306"/>
      </w:tabs>
      <w:snapToGrid w:val="0"/>
      <w:jc w:val="left"/>
    </w:pPr>
    <w:rPr>
      <w:sz w:val="18"/>
    </w:rPr>
  </w:style>
  <w:style w:type="paragraph" w:styleId="13">
    <w:name w:val="Body Text First Indent 2"/>
    <w:basedOn w:val="11"/>
    <w:next w:val="14"/>
    <w:unhideWhenUsed/>
    <w:qFormat/>
    <w:uiPriority w:val="99"/>
    <w:pPr>
      <w:ind w:firstLine="420" w:firstLineChars="200"/>
    </w:pPr>
  </w:style>
  <w:style w:type="paragraph" w:styleId="14">
    <w:name w:val="List Continue"/>
    <w:basedOn w:val="1"/>
    <w:next w:val="15"/>
    <w:qFormat/>
    <w:uiPriority w:val="0"/>
    <w:pPr>
      <w:spacing w:after="120"/>
      <w:ind w:left="420" w:firstLine="3584"/>
    </w:pPr>
  </w:style>
  <w:style w:type="paragraph" w:styleId="15">
    <w:name w:val="Body Text First Indent"/>
    <w:basedOn w:val="2"/>
    <w:next w:val="13"/>
    <w:unhideWhenUsed/>
    <w:qFormat/>
    <w:uiPriority w:val="99"/>
    <w:pPr>
      <w:ind w:firstLine="420" w:firstLineChars="100"/>
    </w:pPr>
  </w:style>
  <w:style w:type="paragraph" w:styleId="16">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7">
    <w:name w:val="Balloon Text"/>
    <w:basedOn w:val="1"/>
    <w:link w:val="42"/>
    <w:qFormat/>
    <w:uiPriority w:val="0"/>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qFormat/>
    <w:uiPriority w:val="0"/>
    <w:pPr>
      <w:spacing w:before="120" w:after="120"/>
      <w:jc w:val="left"/>
    </w:pPr>
    <w:rPr>
      <w:b/>
      <w:bCs/>
      <w:caps/>
    </w:rPr>
  </w:style>
  <w:style w:type="paragraph" w:styleId="20">
    <w:name w:val="toc 4"/>
    <w:basedOn w:val="1"/>
    <w:next w:val="1"/>
    <w:qFormat/>
    <w:uiPriority w:val="0"/>
    <w:pPr>
      <w:ind w:left="1260" w:leftChars="600"/>
    </w:pPr>
  </w:style>
  <w:style w:type="paragraph" w:styleId="21">
    <w:name w:val="Body Text Indent 3"/>
    <w:basedOn w:val="1"/>
    <w:qFormat/>
    <w:uiPriority w:val="0"/>
    <w:pPr>
      <w:ind w:firstLine="560" w:firstLineChars="200"/>
    </w:pPr>
    <w:rPr>
      <w:rFonts w:ascii="仿宋_GB2312" w:eastAsia="仿宋_GB2312"/>
      <w:sz w:val="28"/>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0"/>
    <w:next w:val="10"/>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2"/>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0"/>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7"/>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正文"/>
    <w:basedOn w:val="1"/>
    <w:qFormat/>
    <w:uiPriority w:val="0"/>
    <w:pPr>
      <w:spacing w:line="560" w:lineRule="exact"/>
      <w:ind w:firstLine="200" w:firstLineChars="200"/>
    </w:pPr>
    <w:rPr>
      <w:rFonts w:ascii="仿宋_GB2312" w:hAnsi="黑体" w:eastAsia="仿宋_GB2312" w:cs="Times New Roman"/>
      <w:sz w:val="32"/>
      <w:szCs w:val="32"/>
    </w:rPr>
  </w:style>
  <w:style w:type="character" w:customStyle="1" w:styleId="48">
    <w:name w:val="font21"/>
    <w:qFormat/>
    <w:uiPriority w:val="0"/>
    <w:rPr>
      <w:rFonts w:hint="default" w:ascii="楷体_GB2312" w:eastAsia="楷体_GB2312" w:cs="楷体_GB2312"/>
      <w:color w:val="000000"/>
      <w:sz w:val="24"/>
      <w:szCs w:val="24"/>
      <w:u w:val="none"/>
      <w:vertAlign w:val="superscript"/>
    </w:rPr>
  </w:style>
  <w:style w:type="paragraph" w:customStyle="1" w:styleId="49">
    <w:name w:val="Table Paragraph"/>
    <w:basedOn w:val="1"/>
    <w:qFormat/>
    <w:uiPriority w:val="0"/>
    <w:pPr>
      <w:autoSpaceDE w:val="0"/>
      <w:autoSpaceDN w:val="0"/>
      <w:jc w:val="left"/>
    </w:pPr>
    <w:rPr>
      <w:rFonts w:ascii="Droid Sans Fallback" w:hAnsi="Droid Sans Fallback" w:eastAsia="Droid Sans Fallback" w:cs="Droid Sans Fallback"/>
      <w:kern w:val="0"/>
      <w:sz w:val="22"/>
      <w:szCs w:val="2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wmf"/><Relationship Id="rId8" Type="http://schemas.openxmlformats.org/officeDocument/2006/relationships/image" Target="media/image2.wmf"/><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14343</Words>
  <Characters>15364</Characters>
  <Lines>38</Lines>
  <Paragraphs>10</Paragraphs>
  <TotalTime>65</TotalTime>
  <ScaleCrop>false</ScaleCrop>
  <LinksUpToDate>false</LinksUpToDate>
  <CharactersWithSpaces>16312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2019-11-01T00:51:00Z</dcterms:created>
  <dc:creator>Administrator</dc:creator>
  <cp:lastModifiedBy>师晓威</cp:lastModifiedBy>
  <cp:lastPrinted>2020-09-24T21:55:00Z</cp:lastPrinted>
  <dcterms:modified xsi:type="dcterms:W3CDTF">2026-04-10T10:06:12Z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00917BC055B74EBDAFCAACB6EE055D5D</vt:lpwstr>
  </property>
  <property fmtid="{D5CDD505-2E9C-101B-9397-08002B2CF9AE}" pid="4" name="KSOTemplateDocerSaveRecord">
    <vt:lpwstr>eyJoZGlkIjoiYjMxZjhlYmExZGI1MTE4NGYwYmJmMjhiYmEwZGQwYzciLCJ1c2VySWQiOiI0MjgwMzM1NjcifQ==</vt:lpwstr>
  </property>
</Properties>
</file>