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6"/>
        <w:spacing w:line="680" w:lineRule="exact"/>
        <w:ind w:firstLine="0" w:firstLineChars="0"/>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石家庄市环境监控中心</w:t>
      </w:r>
    </w:p>
    <w:p>
      <w:pPr>
        <w:spacing w:line="68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关于TOF-MS VOCs走航车运维项目的</w:t>
      </w:r>
    </w:p>
    <w:p>
      <w:pPr>
        <w:spacing w:line="680" w:lineRule="exact"/>
        <w:jc w:val="center"/>
        <w:rPr>
          <w:rFonts w:hint="eastAsia" w:ascii="仿宋" w:hAnsi="仿宋" w:eastAsia="方正小标宋简体" w:cs="仿宋"/>
          <w:bCs/>
          <w:sz w:val="44"/>
          <w:szCs w:val="44"/>
          <w:lang w:eastAsia="zh-CN"/>
        </w:rPr>
      </w:pPr>
      <w:r>
        <w:rPr>
          <w:rFonts w:hint="eastAsia" w:ascii="方正小标宋简体" w:hAnsi="方正小标宋_GBK" w:eastAsia="方正小标宋简体" w:cs="方正小标宋_GBK"/>
          <w:bCs/>
          <w:sz w:val="44"/>
          <w:szCs w:val="44"/>
        </w:rPr>
        <w:t>询价信息公告</w:t>
      </w:r>
    </w:p>
    <w:p>
      <w:pPr>
        <w:spacing w:line="560" w:lineRule="exact"/>
        <w:ind w:firstLine="640"/>
        <w:rPr>
          <w:rFonts w:ascii="仿宋_GB2312" w:hAnsi="仿宋_GB2312" w:eastAsia="仿宋_GB2312" w:cs="仿宋_GB2312"/>
          <w:bCs/>
          <w:sz w:val="32"/>
          <w:szCs w:val="32"/>
        </w:rPr>
      </w:pPr>
    </w:p>
    <w:p>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我单位根据政府采购相关规定及市财政局要求，现开展石家庄市环境监控中心TOF-MS VOCs走航车运维项目（预算金额：49.</w:t>
      </w:r>
      <w:r>
        <w:rPr>
          <w:rFonts w:hint="eastAsia" w:ascii="仿宋_GB2312" w:hAnsi="仿宋_GB2312" w:eastAsia="仿宋_GB2312" w:cs="仿宋_GB2312"/>
          <w:bCs/>
          <w:sz w:val="32"/>
          <w:szCs w:val="32"/>
          <w:lang w:val="en-US" w:eastAsia="zh-CN"/>
        </w:rPr>
        <w:t>49</w:t>
      </w:r>
      <w:r>
        <w:rPr>
          <w:rFonts w:hint="eastAsia" w:ascii="仿宋_GB2312" w:hAnsi="仿宋_GB2312" w:eastAsia="仿宋_GB2312" w:cs="仿宋_GB2312"/>
          <w:bCs/>
          <w:sz w:val="32"/>
          <w:szCs w:val="32"/>
        </w:rPr>
        <w:t>万元）询价工作，请有意参与的社会主体单位和组织自行下载有关附件，并按要求做好准备工作。</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sz w:val="32"/>
          <w:szCs w:val="32"/>
          <w:highlight w:val="none"/>
        </w:rPr>
      </w:pPr>
      <w:r>
        <w:rPr>
          <w:rFonts w:hint="eastAsia" w:ascii="仿宋_GB2312" w:hAnsi="仿宋_GB2312" w:eastAsia="仿宋_GB2312" w:cs="仿宋_GB2312"/>
          <w:b/>
          <w:sz w:val="32"/>
          <w:szCs w:val="32"/>
        </w:rPr>
        <w:t>询价会时间</w:t>
      </w:r>
      <w:r>
        <w:rPr>
          <w:rFonts w:hint="eastAsia" w:ascii="仿宋_GB2312" w:hAnsi="仿宋_GB2312" w:eastAsia="仿宋_GB2312" w:cs="仿宋_GB2312"/>
          <w:b/>
          <w:sz w:val="32"/>
          <w:szCs w:val="32"/>
          <w:highlight w:val="none"/>
        </w:rPr>
        <w:t>：20</w:t>
      </w:r>
      <w:r>
        <w:rPr>
          <w:rFonts w:hint="eastAsia" w:ascii="仿宋_GB2312" w:hAnsi="仿宋_GB2312" w:eastAsia="仿宋_GB2312" w:cs="仿宋_GB2312"/>
          <w:b/>
          <w:sz w:val="32"/>
          <w:szCs w:val="32"/>
          <w:highlight w:val="none"/>
          <w:lang w:val="en-US" w:eastAsia="zh-CN"/>
        </w:rPr>
        <w:t>26</w:t>
      </w:r>
      <w:r>
        <w:rPr>
          <w:rFonts w:hint="eastAsia" w:ascii="仿宋_GB2312" w:hAnsi="仿宋_GB2312" w:eastAsia="仿宋_GB2312" w:cs="仿宋_GB2312"/>
          <w:b/>
          <w:sz w:val="32"/>
          <w:szCs w:val="32"/>
          <w:highlight w:val="none"/>
        </w:rPr>
        <w:t>年</w:t>
      </w:r>
      <w:r>
        <w:rPr>
          <w:rFonts w:hint="eastAsia" w:ascii="仿宋_GB2312" w:hAnsi="仿宋_GB2312" w:eastAsia="仿宋_GB2312" w:cs="仿宋_GB2312"/>
          <w:b/>
          <w:sz w:val="32"/>
          <w:szCs w:val="32"/>
          <w:highlight w:val="none"/>
          <w:lang w:val="en-US" w:eastAsia="zh-CN"/>
        </w:rPr>
        <w:t>3</w:t>
      </w:r>
      <w:r>
        <w:rPr>
          <w:rFonts w:hint="eastAsia" w:ascii="仿宋_GB2312" w:hAnsi="仿宋_GB2312" w:eastAsia="仿宋_GB2312" w:cs="仿宋_GB2312"/>
          <w:b/>
          <w:sz w:val="32"/>
          <w:szCs w:val="32"/>
          <w:highlight w:val="none"/>
        </w:rPr>
        <w:t>月</w:t>
      </w:r>
      <w:r>
        <w:rPr>
          <w:rFonts w:hint="eastAsia" w:ascii="仿宋_GB2312" w:hAnsi="仿宋_GB2312" w:eastAsia="仿宋_GB2312" w:cs="仿宋_GB2312"/>
          <w:b/>
          <w:sz w:val="32"/>
          <w:szCs w:val="32"/>
          <w:highlight w:val="none"/>
          <w:lang w:val="en-US" w:eastAsia="zh-CN"/>
        </w:rPr>
        <w:t>27</w:t>
      </w:r>
      <w:r>
        <w:rPr>
          <w:rFonts w:hint="eastAsia" w:ascii="仿宋_GB2312" w:hAnsi="仿宋_GB2312" w:eastAsia="仿宋_GB2312" w:cs="仿宋_GB2312"/>
          <w:b/>
          <w:sz w:val="32"/>
          <w:szCs w:val="32"/>
          <w:highlight w:val="none"/>
        </w:rPr>
        <w:t>日（星期</w:t>
      </w:r>
      <w:r>
        <w:rPr>
          <w:rFonts w:hint="eastAsia" w:ascii="仿宋_GB2312" w:hAnsi="仿宋_GB2312" w:eastAsia="仿宋_GB2312" w:cs="仿宋_GB2312"/>
          <w:b/>
          <w:sz w:val="32"/>
          <w:szCs w:val="32"/>
          <w:highlight w:val="none"/>
          <w:lang w:val="en-US" w:eastAsia="zh-CN"/>
        </w:rPr>
        <w:t>五</w:t>
      </w:r>
      <w:r>
        <w:rPr>
          <w:rFonts w:hint="eastAsia" w:ascii="仿宋_GB2312" w:hAnsi="仿宋_GB2312" w:eastAsia="仿宋_GB2312" w:cs="仿宋_GB2312"/>
          <w:b/>
          <w:sz w:val="32"/>
          <w:szCs w:val="32"/>
          <w:highlight w:val="none"/>
        </w:rPr>
        <w:t>）</w:t>
      </w:r>
      <w:r>
        <w:rPr>
          <w:rFonts w:hint="eastAsia" w:ascii="仿宋_GB2312" w:hAnsi="仿宋_GB2312" w:eastAsia="仿宋_GB2312" w:cs="仿宋_GB2312"/>
          <w:b/>
          <w:sz w:val="32"/>
          <w:szCs w:val="32"/>
          <w:highlight w:val="none"/>
          <w:lang w:eastAsia="zh-CN"/>
        </w:rPr>
        <w:t>上午</w:t>
      </w:r>
      <w:r>
        <w:rPr>
          <w:rFonts w:hint="eastAsia" w:ascii="仿宋_GB2312" w:hAnsi="仿宋_GB2312" w:eastAsia="仿宋_GB2312" w:cs="仿宋_GB2312"/>
          <w:b/>
          <w:sz w:val="32"/>
          <w:szCs w:val="32"/>
          <w:highlight w:val="none"/>
          <w:lang w:val="en-US" w:eastAsia="zh-CN"/>
        </w:rPr>
        <w:t>9</w:t>
      </w:r>
      <w:r>
        <w:rPr>
          <w:rFonts w:hint="eastAsia" w:ascii="仿宋_GB2312" w:hAnsi="仿宋_GB2312" w:eastAsia="仿宋_GB2312" w:cs="仿宋_GB2312"/>
          <w:b/>
          <w:sz w:val="32"/>
          <w:szCs w:val="32"/>
          <w:highlight w:val="none"/>
        </w:rPr>
        <w:t>：</w:t>
      </w:r>
      <w:r>
        <w:rPr>
          <w:rFonts w:hint="eastAsia" w:ascii="仿宋_GB2312" w:hAnsi="仿宋_GB2312" w:eastAsia="仿宋_GB2312" w:cs="仿宋_GB2312"/>
          <w:b/>
          <w:sz w:val="32"/>
          <w:szCs w:val="32"/>
          <w:highlight w:val="none"/>
          <w:lang w:val="en-US" w:eastAsia="zh-CN"/>
        </w:rPr>
        <w:t>30</w:t>
      </w:r>
      <w:r>
        <w:rPr>
          <w:rFonts w:hint="eastAsia" w:ascii="仿宋_GB2312" w:hAnsi="仿宋_GB2312" w:eastAsia="仿宋_GB2312" w:cs="仿宋_GB2312"/>
          <w:b/>
          <w:sz w:val="32"/>
          <w:szCs w:val="32"/>
          <w:highlight w:val="none"/>
        </w:rPr>
        <w:t>；地点：</w:t>
      </w:r>
      <w:r>
        <w:rPr>
          <w:rFonts w:hint="eastAsia" w:ascii="仿宋_GB2312" w:hAnsi="仿宋_GB2312" w:eastAsia="仿宋_GB2312" w:cs="仿宋_GB2312"/>
          <w:b/>
          <w:sz w:val="32"/>
          <w:szCs w:val="32"/>
          <w:highlight w:val="none"/>
          <w:lang w:eastAsia="zh-CN"/>
        </w:rPr>
        <w:t>石家庄市</w:t>
      </w:r>
      <w:r>
        <w:rPr>
          <w:rFonts w:hint="eastAsia" w:ascii="仿宋_GB2312" w:hAnsi="仿宋_GB2312" w:eastAsia="仿宋_GB2312" w:cs="仿宋_GB2312"/>
          <w:b/>
          <w:sz w:val="32"/>
          <w:szCs w:val="32"/>
          <w:highlight w:val="none"/>
          <w:lang w:val="en-US" w:eastAsia="zh-CN"/>
        </w:rPr>
        <w:t>生态环境局435</w:t>
      </w:r>
      <w:r>
        <w:rPr>
          <w:rFonts w:hint="eastAsia" w:ascii="仿宋_GB2312" w:hAnsi="仿宋_GB2312" w:eastAsia="仿宋_GB2312" w:cs="仿宋_GB2312"/>
          <w:b/>
          <w:sz w:val="32"/>
          <w:szCs w:val="32"/>
          <w:highlight w:val="none"/>
          <w:lang w:eastAsia="zh-CN"/>
        </w:rPr>
        <w:t>会议室</w:t>
      </w:r>
      <w:r>
        <w:rPr>
          <w:rFonts w:hint="eastAsia" w:ascii="仿宋_GB2312" w:hAnsi="仿宋_GB2312" w:eastAsia="仿宋_GB2312" w:cs="仿宋_GB2312"/>
          <w:b/>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rPr>
        <w:t>联系人：</w:t>
      </w:r>
      <w:r>
        <w:rPr>
          <w:rFonts w:hint="eastAsia" w:ascii="仿宋_GB2312" w:hAnsi="仿宋_GB2312" w:eastAsia="仿宋_GB2312" w:cs="仿宋_GB2312"/>
          <w:b w:val="0"/>
          <w:bCs/>
          <w:sz w:val="32"/>
          <w:szCs w:val="32"/>
          <w:lang w:val="en-US" w:eastAsia="zh-CN"/>
        </w:rPr>
        <w:t>赵若楠</w:t>
      </w:r>
      <w:r>
        <w:rPr>
          <w:rFonts w:hint="eastAsia" w:ascii="仿宋_GB2312" w:hAnsi="仿宋_GB2312" w:eastAsia="仿宋_GB2312" w:cs="仿宋_GB2312"/>
          <w:b w:val="0"/>
          <w:bCs/>
          <w:sz w:val="32"/>
          <w:szCs w:val="32"/>
        </w:rPr>
        <w:t>，联系电话：</w:t>
      </w:r>
      <w:r>
        <w:rPr>
          <w:rFonts w:hint="eastAsia" w:ascii="仿宋_GB2312" w:hAnsi="仿宋_GB2312" w:eastAsia="仿宋_GB2312" w:cs="仿宋_GB2312"/>
          <w:b w:val="0"/>
          <w:bCs/>
          <w:sz w:val="32"/>
          <w:szCs w:val="32"/>
          <w:lang w:val="en-US" w:eastAsia="zh-CN"/>
        </w:rPr>
        <w:t>85259878</w:t>
      </w:r>
    </w:p>
    <w:p>
      <w:pPr>
        <w:keepNext w:val="0"/>
        <w:keepLines w:val="0"/>
        <w:pageBreakBefore w:val="0"/>
        <w:widowControl w:val="0"/>
        <w:kinsoku/>
        <w:wordWrap/>
        <w:overflowPunct/>
        <w:topLinePunct w:val="0"/>
        <w:autoSpaceDE/>
        <w:autoSpaceDN/>
        <w:bidi w:val="0"/>
        <w:adjustRightInd/>
        <w:snapToGrid/>
        <w:spacing w:line="560" w:lineRule="exact"/>
        <w:ind w:firstLine="1920" w:firstLineChars="600"/>
        <w:textAlignment w:val="auto"/>
        <w:rPr>
          <w:rFonts w:ascii="仿宋_GB2312" w:hAnsi="仿宋_GB2312" w:eastAsia="仿宋_GB2312" w:cs="仿宋_GB2312"/>
          <w:bCs/>
          <w:sz w:val="32"/>
          <w:szCs w:val="32"/>
        </w:rPr>
      </w:pPr>
      <w:r>
        <w:rPr>
          <w:rFonts w:hint="eastAsia" w:ascii="仿宋_GB2312" w:hAnsi="仿宋_GB2312" w:eastAsia="仿宋_GB2312" w:cs="仿宋_GB2312"/>
          <w:b w:val="0"/>
          <w:bCs/>
          <w:sz w:val="32"/>
          <w:szCs w:val="32"/>
          <w:lang w:val="en-US" w:eastAsia="zh-CN"/>
        </w:rPr>
        <w:t>师晓威，联系电话：85880697</w:t>
      </w:r>
    </w:p>
    <w:p>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pPr>
        <w:spacing w:line="560" w:lineRule="exact"/>
        <w:rPr>
          <w:rFonts w:ascii="仿宋_GB2312" w:hAnsi="仿宋_GB2312" w:eastAsia="仿宋_GB2312" w:cs="仿宋_GB2312"/>
          <w:bCs/>
          <w:sz w:val="32"/>
          <w:szCs w:val="32"/>
        </w:rPr>
      </w:pP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bCs/>
          <w:sz w:val="32"/>
          <w:szCs w:val="32"/>
        </w:rPr>
        <w:t>附件：1.</w:t>
      </w:r>
      <w:r>
        <w:rPr>
          <w:rFonts w:hint="eastAsia" w:ascii="仿宋_GB2312" w:hAnsi="仿宋_GB2312" w:eastAsia="仿宋_GB2312" w:cs="仿宋_GB2312"/>
          <w:sz w:val="32"/>
          <w:szCs w:val="32"/>
        </w:rPr>
        <w:t>询价要求及流程</w:t>
      </w:r>
    </w:p>
    <w:p>
      <w:pPr>
        <w:spacing w:line="560" w:lineRule="exact"/>
        <w:ind w:firstLine="1600" w:firstLineChars="500"/>
        <w:rPr>
          <w:rFonts w:ascii="仿宋_GB2312" w:hAnsi="仿宋_GB2312" w:eastAsia="仿宋_GB2312" w:cs="仿宋_GB2312"/>
          <w:sz w:val="32"/>
          <w:szCs w:val="32"/>
        </w:rPr>
      </w:pPr>
      <w:r>
        <w:rPr>
          <w:rFonts w:hint="eastAsia" w:ascii="仿宋_GB2312" w:hAnsi="仿宋_GB2312" w:eastAsia="仿宋_GB2312" w:cs="仿宋_GB2312"/>
          <w:sz w:val="32"/>
          <w:szCs w:val="32"/>
        </w:rPr>
        <w:t>2.采购项目工作方案</w:t>
      </w:r>
    </w:p>
    <w:p>
      <w:pPr>
        <w:spacing w:line="560" w:lineRule="exact"/>
        <w:ind w:firstLine="1600" w:firstLineChars="500"/>
        <w:rPr>
          <w:rFonts w:ascii="仿宋_GB2312" w:hAnsi="仿宋_GB2312" w:eastAsia="仿宋_GB2312" w:cs="仿宋_GB2312"/>
          <w:sz w:val="32"/>
          <w:szCs w:val="32"/>
        </w:rPr>
      </w:pPr>
      <w:r>
        <w:rPr>
          <w:rFonts w:hint="eastAsia" w:ascii="仿宋_GB2312" w:hAnsi="仿宋_GB2312" w:eastAsia="仿宋_GB2312" w:cs="仿宋_GB2312"/>
          <w:sz w:val="32"/>
          <w:szCs w:val="32"/>
        </w:rPr>
        <w:t>3.询价响应文件（格式）</w:t>
      </w:r>
    </w:p>
    <w:p>
      <w:pPr>
        <w:pStyle w:val="4"/>
        <w:spacing w:after="0" w:line="560" w:lineRule="exact"/>
        <w:ind w:firstLine="640"/>
        <w:rPr>
          <w:sz w:val="32"/>
          <w:szCs w:val="32"/>
        </w:rPr>
      </w:pPr>
    </w:p>
    <w:p>
      <w:pPr>
        <w:wordWrap w:val="0"/>
        <w:spacing w:line="560" w:lineRule="exact"/>
        <w:ind w:firstLine="640"/>
        <w:jc w:val="right"/>
        <w:rPr>
          <w:rFonts w:ascii="仿宋_GB2312" w:hAnsi="仿宋_GB2312" w:eastAsia="仿宋_GB2312" w:cs="仿宋_GB2312"/>
          <w:bCs/>
          <w:sz w:val="32"/>
          <w:szCs w:val="32"/>
        </w:rPr>
      </w:pPr>
      <w:r>
        <w:rPr>
          <w:rFonts w:hint="eastAsia" w:ascii="仿宋_GB2312" w:hAnsi="仿宋_GB2312" w:eastAsia="仿宋_GB2312" w:cs="仿宋_GB2312"/>
          <w:sz w:val="32"/>
          <w:szCs w:val="32"/>
        </w:rPr>
        <w:t xml:space="preserve">                 石家庄市环境监控中心     </w:t>
      </w:r>
    </w:p>
    <w:p>
      <w:pPr>
        <w:wordWrap w:val="0"/>
        <w:spacing w:line="560" w:lineRule="exact"/>
        <w:ind w:firstLine="640"/>
        <w:jc w:val="right"/>
        <w:rPr>
          <w:rFonts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6</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 xml:space="preserve">日       </w:t>
      </w:r>
    </w:p>
    <w:p>
      <w:pPr>
        <w:spacing w:line="560" w:lineRule="exact"/>
        <w:rPr>
          <w:rFonts w:ascii="仿宋_GB2312" w:hAnsi="仿宋_GB2312" w:eastAsia="仿宋_GB2312" w:cs="仿宋_GB2312"/>
          <w:bCs/>
          <w:sz w:val="32"/>
          <w:szCs w:val="32"/>
        </w:rPr>
        <w:sectPr>
          <w:headerReference r:id="rId3" w:type="default"/>
          <w:footerReference r:id="rId4" w:type="default"/>
          <w:pgSz w:w="11906" w:h="16838"/>
          <w:pgMar w:top="2154" w:right="1474" w:bottom="1984" w:left="1587" w:header="851" w:footer="992" w:gutter="0"/>
          <w:cols w:space="425" w:num="1"/>
          <w:docGrid w:type="lines" w:linePitch="312" w:charSpace="0"/>
        </w:sectPr>
      </w:pPr>
    </w:p>
    <w:p>
      <w:pPr>
        <w:spacing w:line="560" w:lineRule="exact"/>
        <w:rPr>
          <w:rFonts w:ascii="黑体" w:hAnsi="黑体" w:eastAsia="黑体" w:cs="黑体"/>
          <w:bCs/>
          <w:sz w:val="32"/>
          <w:szCs w:val="32"/>
        </w:rPr>
      </w:pPr>
      <w:r>
        <w:rPr>
          <w:rFonts w:hint="eastAsia" w:ascii="黑体" w:hAnsi="黑体" w:eastAsia="黑体" w:cs="黑体"/>
          <w:bCs/>
          <w:sz w:val="32"/>
          <w:szCs w:val="32"/>
        </w:rPr>
        <w:t>附件1</w:t>
      </w:r>
    </w:p>
    <w:p>
      <w:pPr>
        <w:spacing w:line="560" w:lineRule="exact"/>
        <w:jc w:val="center"/>
        <w:rPr>
          <w:rFonts w:ascii="方正小标宋简体" w:hAnsi="方正小标宋_GBK" w:eastAsia="方正小标宋简体" w:cs="方正小标宋_GBK"/>
          <w:bCs/>
          <w:sz w:val="44"/>
          <w:szCs w:val="44"/>
        </w:rPr>
      </w:pPr>
    </w:p>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石家庄市环境监控中心</w:t>
      </w:r>
    </w:p>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TOF-MS VOCs走航车运维项目</w:t>
      </w:r>
    </w:p>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询价要求及流程</w:t>
      </w:r>
    </w:p>
    <w:p>
      <w:pPr>
        <w:spacing w:line="560" w:lineRule="exact"/>
        <w:ind w:firstLine="640"/>
        <w:rPr>
          <w:rFonts w:ascii="仿宋_GB2312" w:hAnsi="仿宋_GB2312" w:eastAsia="仿宋_GB2312" w:cs="仿宋_GB2312"/>
          <w:bCs/>
          <w:sz w:val="32"/>
          <w:szCs w:val="32"/>
        </w:rPr>
      </w:pP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w:t>
      </w:r>
      <w:r>
        <w:rPr>
          <w:rFonts w:hint="eastAsia" w:ascii="仿宋_GB2312" w:hAnsi="仿宋_GB2312" w:eastAsia="仿宋_GB2312" w:cs="仿宋_GB2312"/>
          <w:b/>
          <w:bCs w:val="0"/>
          <w:sz w:val="32"/>
          <w:szCs w:val="32"/>
        </w:rPr>
        <w:t>装订成册一式叁份（一份正本贰份副本）</w:t>
      </w:r>
      <w:r>
        <w:rPr>
          <w:rFonts w:hint="eastAsia" w:ascii="仿宋_GB2312" w:hAnsi="仿宋_GB2312" w:eastAsia="仿宋_GB2312" w:cs="仿宋_GB2312"/>
          <w:bCs/>
          <w:sz w:val="32"/>
          <w:szCs w:val="32"/>
        </w:rPr>
        <w:t>，并于询价会提交我单位询价小组。</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sz w:val="32"/>
          <w:szCs w:val="32"/>
        </w:rPr>
        <w:t>现场报价</w:t>
      </w:r>
      <w:r>
        <w:rPr>
          <w:rFonts w:hint="eastAsia" w:ascii="仿宋_GB2312" w:hAnsi="仿宋_GB2312" w:eastAsia="仿宋_GB2312" w:cs="仿宋_GB2312"/>
          <w:bCs/>
          <w:sz w:val="32"/>
          <w:szCs w:val="32"/>
        </w:rPr>
        <w:t>并签字盖章（各报价单位可以提前加盖好相关印章）。</w:t>
      </w:r>
    </w:p>
    <w:p>
      <w:pPr>
        <w:spacing w:line="560" w:lineRule="exact"/>
        <w:ind w:firstLine="643" w:firstLineChars="200"/>
        <w:rPr>
          <w:rFonts w:ascii="仿宋_GB2312" w:hAnsi="仿宋_GB2312" w:eastAsia="仿宋_GB2312" w:cs="仿宋_GB2312"/>
          <w:b/>
          <w:sz w:val="32"/>
          <w:szCs w:val="32"/>
        </w:rPr>
      </w:pPr>
      <w:r>
        <w:rPr>
          <w:rFonts w:hint="eastAsia" w:ascii="仿宋_GB2312" w:hAnsi="仿宋_GB2312" w:eastAsia="仿宋_GB2312" w:cs="仿宋_GB2312"/>
          <w:b/>
          <w:sz w:val="32"/>
          <w:szCs w:val="32"/>
        </w:rPr>
        <w:t>本询价会参会的社会主体单位和组织经营范围须与本项目工作相关。</w:t>
      </w:r>
    </w:p>
    <w:p>
      <w:pPr>
        <w:spacing w:line="560" w:lineRule="exact"/>
        <w:ind w:firstLine="643" w:firstLineChars="200"/>
        <w:rPr>
          <w:rFonts w:ascii="仿宋_GB2312" w:hAnsi="仿宋_GB2312" w:eastAsia="仿宋_GB2312" w:cs="仿宋_GB2312"/>
          <w:b/>
          <w:sz w:val="32"/>
          <w:szCs w:val="32"/>
        </w:rPr>
      </w:pPr>
      <w:r>
        <w:rPr>
          <w:rFonts w:hint="eastAsia" w:ascii="仿宋_GB2312" w:hAnsi="仿宋_GB2312" w:eastAsia="仿宋_GB2312" w:cs="仿宋_GB2312"/>
          <w:b/>
          <w:sz w:val="32"/>
          <w:szCs w:val="32"/>
        </w:rPr>
        <w:t>询价会如少于3家响应单位，报价无效。</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pPr>
        <w:spacing w:line="560" w:lineRule="exact"/>
        <w:rPr>
          <w:rFonts w:ascii="黑体" w:hAnsi="黑体" w:eastAsia="黑体" w:cs="黑体"/>
          <w:bCs/>
          <w:sz w:val="32"/>
          <w:szCs w:val="32"/>
        </w:rPr>
      </w:pPr>
      <w:r>
        <w:rPr>
          <w:rFonts w:hint="eastAsia" w:ascii="仿宋_GB2312" w:hAnsi="仿宋_GB2312" w:eastAsia="仿宋_GB2312" w:cs="仿宋_GB2312"/>
          <w:bCs/>
          <w:sz w:val="32"/>
          <w:szCs w:val="32"/>
        </w:rPr>
        <w:br w:type="page"/>
      </w:r>
      <w:r>
        <w:rPr>
          <w:rFonts w:hint="eastAsia" w:ascii="黑体" w:hAnsi="黑体" w:eastAsia="黑体" w:cs="黑体"/>
          <w:bCs/>
          <w:sz w:val="32"/>
          <w:szCs w:val="32"/>
        </w:rPr>
        <w:t>附件2</w:t>
      </w:r>
    </w:p>
    <w:p>
      <w:pPr>
        <w:spacing w:line="680" w:lineRule="exact"/>
        <w:jc w:val="center"/>
        <w:rPr>
          <w:rFonts w:ascii="方正小标宋_GBK" w:eastAsia="方正小标宋_GBK"/>
          <w:sz w:val="44"/>
          <w:szCs w:val="44"/>
        </w:rPr>
      </w:pPr>
    </w:p>
    <w:p>
      <w:pPr>
        <w:spacing w:line="680" w:lineRule="exact"/>
        <w:jc w:val="center"/>
        <w:rPr>
          <w:rFonts w:ascii="方正小标宋_GBK" w:eastAsia="方正小标宋_GBK"/>
          <w:sz w:val="44"/>
          <w:szCs w:val="44"/>
        </w:rPr>
      </w:pPr>
      <w:r>
        <w:rPr>
          <w:rFonts w:hint="eastAsia" w:ascii="方正小标宋_GBK" w:eastAsia="方正小标宋_GBK"/>
          <w:sz w:val="44"/>
          <w:szCs w:val="44"/>
        </w:rPr>
        <w:t>石家庄市环境监控中心</w:t>
      </w:r>
    </w:p>
    <w:p>
      <w:pPr>
        <w:spacing w:line="680" w:lineRule="exact"/>
        <w:jc w:val="center"/>
        <w:rPr>
          <w:rFonts w:ascii="方正小标宋_GBK" w:eastAsia="方正小标宋_GBK"/>
          <w:sz w:val="44"/>
          <w:szCs w:val="44"/>
        </w:rPr>
      </w:pPr>
      <w:r>
        <w:rPr>
          <w:rFonts w:hint="eastAsia" w:ascii="方正小标宋_GBK" w:eastAsia="方正小标宋_GBK"/>
          <w:sz w:val="44"/>
          <w:szCs w:val="44"/>
        </w:rPr>
        <w:t>TOF-MS VOCs走航车运维项目工作方案</w:t>
      </w:r>
    </w:p>
    <w:p>
      <w:pPr>
        <w:spacing w:line="560" w:lineRule="exact"/>
        <w:ind w:firstLine="640" w:firstLineChars="200"/>
        <w:rPr>
          <w:rFonts w:ascii="仿宋_GB2312" w:hAnsi="仿宋_GB2312" w:eastAsia="仿宋_GB2312" w:cs="仿宋_GB2312"/>
          <w:sz w:val="32"/>
          <w:szCs w:val="32"/>
        </w:rPr>
      </w:pPr>
    </w:p>
    <w:p>
      <w:pPr>
        <w:spacing w:line="560" w:lineRule="exact"/>
        <w:ind w:firstLine="640" w:firstLineChars="200"/>
        <w:jc w:val="left"/>
        <w:rPr>
          <w:rFonts w:hint="eastAsia" w:ascii="黑体" w:hAnsi="黑体" w:eastAsia="黑体" w:cs="楷体_GB2312"/>
          <w:sz w:val="32"/>
          <w:szCs w:val="32"/>
        </w:rPr>
      </w:pPr>
      <w:r>
        <w:rPr>
          <w:rFonts w:hint="eastAsia" w:ascii="黑体" w:hAnsi="黑体" w:eastAsia="黑体"/>
          <w:sz w:val="32"/>
          <w:szCs w:val="32"/>
        </w:rPr>
        <w:t>一、</w:t>
      </w:r>
      <w:r>
        <w:rPr>
          <w:rFonts w:hint="eastAsia" w:ascii="黑体" w:hAnsi="黑体" w:eastAsia="黑体" w:cs="楷体_GB2312"/>
          <w:sz w:val="32"/>
          <w:szCs w:val="32"/>
        </w:rPr>
        <w:t>采购项目预算</w:t>
      </w:r>
    </w:p>
    <w:p>
      <w:pPr>
        <w:spacing w:line="560" w:lineRule="exact"/>
        <w:ind w:firstLine="640" w:firstLineChars="200"/>
        <w:jc w:val="left"/>
        <w:rPr>
          <w:rFonts w:ascii="仿宋_GB2312" w:hAnsi="仿宋_GB2312" w:eastAsia="仿宋_GB2312" w:cs="仿宋_GB2312"/>
          <w:sz w:val="32"/>
          <w:szCs w:val="32"/>
          <w:u w:val="single"/>
        </w:rPr>
      </w:pPr>
      <w:r>
        <w:rPr>
          <w:rFonts w:hint="eastAsia" w:ascii="楷体_GB2312" w:hAnsi="楷体_GB2312" w:eastAsia="楷体_GB2312" w:cs="楷体_GB2312"/>
          <w:sz w:val="32"/>
          <w:szCs w:val="32"/>
        </w:rPr>
        <w:t>项目预算：</w:t>
      </w:r>
      <w:r>
        <w:rPr>
          <w:rFonts w:hint="eastAsia" w:ascii="仿宋_GB2312" w:hAnsi="仿宋_GB2312" w:eastAsia="仿宋_GB2312" w:cs="仿宋_GB2312"/>
          <w:sz w:val="32"/>
          <w:szCs w:val="32"/>
          <w:u w:val="single"/>
        </w:rPr>
        <w:t xml:space="preserve">  </w:t>
      </w:r>
      <w:r>
        <w:rPr>
          <w:rFonts w:ascii="仿宋_GB2312" w:hAnsi="仿宋_GB2312" w:eastAsia="仿宋_GB2312" w:cs="仿宋_GB2312"/>
          <w:sz w:val="32"/>
          <w:szCs w:val="32"/>
          <w:u w:val="single"/>
        </w:rPr>
        <w:t>49.</w:t>
      </w:r>
      <w:r>
        <w:rPr>
          <w:rFonts w:hint="eastAsia" w:ascii="仿宋_GB2312" w:hAnsi="仿宋_GB2312" w:eastAsia="仿宋_GB2312" w:cs="仿宋_GB2312"/>
          <w:sz w:val="32"/>
          <w:szCs w:val="32"/>
          <w:u w:val="single"/>
          <w:lang w:val="en-US" w:eastAsia="zh-CN"/>
        </w:rPr>
        <w:t>49</w:t>
      </w:r>
      <w:r>
        <w:rPr>
          <w:rFonts w:hint="eastAsia" w:ascii="仿宋_GB2312" w:hAnsi="仿宋_GB2312" w:eastAsia="仿宋_GB2312" w:cs="仿宋_GB2312"/>
          <w:sz w:val="32"/>
          <w:szCs w:val="32"/>
          <w:u w:val="single"/>
        </w:rPr>
        <w:t xml:space="preserve">万元 </w:t>
      </w:r>
      <w:r>
        <w:rPr>
          <w:rFonts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rPr>
        <w:t xml:space="preserve">  </w:t>
      </w:r>
    </w:p>
    <w:p>
      <w:pPr>
        <w:spacing w:line="560" w:lineRule="exact"/>
        <w:ind w:firstLine="640" w:firstLineChars="200"/>
        <w:jc w:val="left"/>
        <w:rPr>
          <w:rFonts w:ascii="黑体" w:hAnsi="黑体" w:eastAsia="黑体" w:cs="楷体_GB2312"/>
          <w:sz w:val="32"/>
          <w:szCs w:val="32"/>
        </w:rPr>
      </w:pPr>
      <w:r>
        <w:rPr>
          <w:rFonts w:hint="eastAsia" w:ascii="黑体" w:hAnsi="黑体" w:eastAsia="黑体" w:cs="楷体_GB2312"/>
          <w:sz w:val="32"/>
          <w:szCs w:val="32"/>
        </w:rPr>
        <w:t>二、供应商资格条件</w:t>
      </w:r>
    </w:p>
    <w:p>
      <w:pPr>
        <w:pStyle w:val="53"/>
        <w:ind w:firstLine="640"/>
        <w:rPr>
          <w:rFonts w:hint="eastAsia" w:eastAsia="仿宋_GB2312"/>
          <w:lang w:eastAsia="zh-CN"/>
        </w:rPr>
      </w:pPr>
      <w:r>
        <w:rPr>
          <w:rFonts w:hint="eastAsia"/>
        </w:rPr>
        <w:t>1</w:t>
      </w:r>
      <w:r>
        <w:t>.具有独立法人资格和合法的经营范围，符合《中华人民共和国政府采购法》第二十二条之规定</w:t>
      </w:r>
      <w:r>
        <w:rPr>
          <w:rFonts w:hint="eastAsia"/>
          <w:lang w:eastAsia="zh-CN"/>
        </w:rPr>
        <w:t>；</w:t>
      </w:r>
    </w:p>
    <w:p>
      <w:pPr>
        <w:pStyle w:val="53"/>
        <w:ind w:firstLine="640"/>
      </w:pPr>
      <w:r>
        <w:rPr>
          <w:rFonts w:hint="eastAsia"/>
        </w:rPr>
        <w:t>2</w:t>
      </w:r>
      <w:r>
        <w:t>.落实政府采购政策：</w:t>
      </w:r>
      <w:r>
        <w:rPr>
          <w:rFonts w:hint="eastAsia"/>
        </w:rPr>
        <w:t>面向</w:t>
      </w:r>
      <w:r>
        <w:rPr>
          <w:rFonts w:hint="eastAsia"/>
          <w:lang w:val="en-US" w:eastAsia="zh-CN"/>
        </w:rPr>
        <w:t>小微</w:t>
      </w:r>
      <w:r>
        <w:t>企业，</w:t>
      </w:r>
      <w:r>
        <w:rPr>
          <w:rFonts w:hint="eastAsia"/>
        </w:rPr>
        <w:t>扶持</w:t>
      </w:r>
      <w:r>
        <w:t>监狱企业及残疾人企业，支持节能环保、创新政策；</w:t>
      </w:r>
    </w:p>
    <w:p>
      <w:pPr>
        <w:pStyle w:val="53"/>
        <w:ind w:firstLine="640"/>
        <w:rPr>
          <w:sz w:val="20"/>
        </w:rPr>
      </w:pPr>
      <w:r>
        <w:t>3.根据财库〔2016〕125号文、冀财采〔2016〕28号、冀社信办发〔2019〕8号文以及石政办发〔2020〕3号文的规定，投标人存在不良信用记录的为无效投标；</w:t>
      </w:r>
    </w:p>
    <w:p>
      <w:pPr>
        <w:pStyle w:val="53"/>
        <w:ind w:firstLine="640"/>
      </w:pPr>
      <w:r>
        <w:t>4.本项目不接受联合体投标，不得分包和转包。</w:t>
      </w:r>
    </w:p>
    <w:p>
      <w:pPr>
        <w:spacing w:line="560" w:lineRule="exact"/>
        <w:ind w:firstLine="640" w:firstLineChars="200"/>
        <w:jc w:val="left"/>
        <w:rPr>
          <w:rFonts w:hint="eastAsia" w:ascii="黑体" w:hAnsi="黑体" w:eastAsia="黑体" w:cs="楷体_GB2312"/>
          <w:sz w:val="32"/>
          <w:szCs w:val="32"/>
          <w:lang w:val="en-US" w:eastAsia="zh-CN"/>
        </w:rPr>
      </w:pPr>
      <w:r>
        <w:rPr>
          <w:rFonts w:hint="eastAsia" w:ascii="黑体" w:hAnsi="黑体" w:eastAsia="黑体" w:cs="楷体_GB2312"/>
          <w:sz w:val="32"/>
          <w:szCs w:val="32"/>
          <w:lang w:eastAsia="zh-CN"/>
        </w:rPr>
        <w:t>三</w:t>
      </w:r>
      <w:r>
        <w:rPr>
          <w:rFonts w:hint="eastAsia" w:ascii="黑体" w:hAnsi="黑体" w:eastAsia="黑体" w:cs="楷体_GB2312"/>
          <w:sz w:val="32"/>
          <w:szCs w:val="32"/>
        </w:rPr>
        <w:t>、</w:t>
      </w:r>
      <w:r>
        <w:rPr>
          <w:rFonts w:hint="eastAsia" w:ascii="黑体" w:hAnsi="黑体" w:eastAsia="黑体" w:cs="楷体_GB2312"/>
          <w:sz w:val="32"/>
          <w:szCs w:val="32"/>
          <w:lang w:eastAsia="zh-CN"/>
        </w:rPr>
        <w:t>技术及商务要求</w:t>
      </w:r>
    </w:p>
    <w:p>
      <w:pPr>
        <w:spacing w:line="560" w:lineRule="exact"/>
        <w:ind w:firstLine="643" w:firstLineChars="200"/>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）技术要求</w:t>
      </w:r>
    </w:p>
    <w:p>
      <w:pPr>
        <w:spacing w:line="560" w:lineRule="exact"/>
        <w:ind w:firstLine="640" w:firstLineChars="200"/>
        <w:rPr>
          <w:rFonts w:ascii="仿宋_GB2312" w:hAnsi="黑体" w:eastAsia="仿宋_GB2312"/>
          <w:sz w:val="32"/>
          <w:szCs w:val="44"/>
        </w:rPr>
      </w:pPr>
      <w:r>
        <w:rPr>
          <w:rFonts w:hint="eastAsia" w:ascii="仿宋_GB2312" w:hAnsi="黑体" w:eastAsia="仿宋_GB2312"/>
          <w:sz w:val="32"/>
          <w:szCs w:val="32"/>
        </w:rPr>
        <w:t>1.1</w:t>
      </w:r>
      <w:r>
        <w:rPr>
          <w:rFonts w:ascii="仿宋_GB2312" w:hAnsi="黑体" w:eastAsia="仿宋_GB2312"/>
          <w:sz w:val="32"/>
          <w:szCs w:val="32"/>
        </w:rPr>
        <w:t xml:space="preserve"> </w:t>
      </w:r>
      <w:r>
        <w:rPr>
          <w:rFonts w:hint="eastAsia" w:ascii="仿宋_GB2312" w:hAnsi="黑体" w:eastAsia="仿宋_GB2312"/>
          <w:sz w:val="32"/>
          <w:szCs w:val="32"/>
        </w:rPr>
        <w:t>需运行维护的</w:t>
      </w:r>
      <w:r>
        <w:rPr>
          <w:rStyle w:val="54"/>
          <w:rFonts w:hint="eastAsia"/>
        </w:rPr>
        <w:t>车辆仪器设</w:t>
      </w:r>
      <w:r>
        <w:rPr>
          <w:rFonts w:hint="eastAsia" w:ascii="仿宋_GB2312" w:hAnsi="黑体" w:eastAsia="仿宋_GB2312"/>
          <w:sz w:val="32"/>
          <w:szCs w:val="44"/>
        </w:rPr>
        <w:t>备清单</w:t>
      </w:r>
    </w:p>
    <w:p>
      <w:pPr>
        <w:spacing w:line="560" w:lineRule="exact"/>
        <w:ind w:firstLine="560"/>
        <w:jc w:val="center"/>
        <w:rPr>
          <w:rFonts w:ascii="仿宋_GB2312" w:hAnsi="宋体" w:eastAsia="仿宋_GB2312"/>
          <w:sz w:val="30"/>
          <w:szCs w:val="30"/>
          <w:lang w:val="zh-CN"/>
        </w:rPr>
      </w:pPr>
      <w:r>
        <w:rPr>
          <w:rFonts w:hint="eastAsia" w:ascii="仿宋_GB2312" w:hAnsi="宋体" w:eastAsia="仿宋_GB2312"/>
          <w:sz w:val="30"/>
          <w:szCs w:val="30"/>
          <w:lang w:val="zh-CN"/>
        </w:rPr>
        <w:t>表</w:t>
      </w:r>
      <w:r>
        <w:rPr>
          <w:rFonts w:ascii="仿宋_GB2312" w:hAnsi="宋体" w:eastAsia="仿宋_GB2312"/>
          <w:sz w:val="30"/>
          <w:szCs w:val="30"/>
          <w:lang w:val="zh-CN"/>
        </w:rPr>
        <w:t>1</w:t>
      </w:r>
      <w:r>
        <w:rPr>
          <w:rFonts w:hint="eastAsia" w:ascii="仿宋_GB2312" w:hAnsi="宋体" w:eastAsia="仿宋_GB2312"/>
          <w:sz w:val="30"/>
          <w:szCs w:val="30"/>
          <w:lang w:val="zh-CN"/>
        </w:rPr>
        <w:t xml:space="preserve">  </w:t>
      </w:r>
      <w:r>
        <w:rPr>
          <w:rFonts w:hint="eastAsia" w:ascii="仿宋_GB2312" w:hAnsi="宋体" w:eastAsia="仿宋_GB2312"/>
          <w:sz w:val="30"/>
          <w:szCs w:val="30"/>
        </w:rPr>
        <w:t>TOF-MS VOCs走航车</w:t>
      </w:r>
      <w:r>
        <w:rPr>
          <w:rFonts w:hint="eastAsia" w:ascii="仿宋_GB2312" w:hAnsi="宋体" w:eastAsia="仿宋_GB2312"/>
          <w:sz w:val="30"/>
          <w:szCs w:val="30"/>
          <w:lang w:val="zh-CN"/>
        </w:rPr>
        <w:t>配置清单</w:t>
      </w:r>
    </w:p>
    <w:tbl>
      <w:tblPr>
        <w:tblStyle w:val="24"/>
        <w:tblW w:w="921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2126"/>
        <w:gridCol w:w="1611"/>
        <w:gridCol w:w="2580"/>
        <w:gridCol w:w="1092"/>
        <w:gridCol w:w="9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9" w:hRule="atLeast"/>
        </w:trPr>
        <w:tc>
          <w:tcPr>
            <w:tcW w:w="817" w:type="dxa"/>
            <w:vAlign w:val="center"/>
          </w:tcPr>
          <w:p>
            <w:pPr>
              <w:jc w:val="center"/>
              <w:rPr>
                <w:rFonts w:ascii="仿宋_GB2312" w:hAnsi="宋体" w:eastAsia="仿宋_GB2312"/>
                <w:b/>
                <w:sz w:val="28"/>
                <w:szCs w:val="28"/>
                <w:lang w:val="zh-CN"/>
              </w:rPr>
            </w:pPr>
            <w:r>
              <w:rPr>
                <w:rFonts w:hint="eastAsia" w:ascii="仿宋_GB2312" w:hAnsi="宋体" w:eastAsia="仿宋_GB2312"/>
                <w:b/>
                <w:sz w:val="28"/>
                <w:szCs w:val="28"/>
                <w:lang w:val="zh-CN"/>
              </w:rPr>
              <w:t>序号</w:t>
            </w:r>
          </w:p>
        </w:tc>
        <w:tc>
          <w:tcPr>
            <w:tcW w:w="2126" w:type="dxa"/>
            <w:vAlign w:val="center"/>
          </w:tcPr>
          <w:p>
            <w:pPr>
              <w:jc w:val="center"/>
              <w:rPr>
                <w:rFonts w:ascii="仿宋_GB2312" w:hAnsi="宋体" w:eastAsia="仿宋_GB2312"/>
                <w:b/>
                <w:sz w:val="28"/>
                <w:szCs w:val="28"/>
                <w:lang w:val="zh-CN"/>
              </w:rPr>
            </w:pPr>
            <w:r>
              <w:rPr>
                <w:rFonts w:hint="eastAsia" w:ascii="仿宋_GB2312" w:hAnsi="宋体" w:eastAsia="仿宋_GB2312"/>
                <w:b/>
                <w:sz w:val="28"/>
                <w:szCs w:val="28"/>
                <w:lang w:val="zh-CN"/>
              </w:rPr>
              <w:t>设备名称</w:t>
            </w:r>
          </w:p>
        </w:tc>
        <w:tc>
          <w:tcPr>
            <w:tcW w:w="1611" w:type="dxa"/>
            <w:vAlign w:val="center"/>
          </w:tcPr>
          <w:p>
            <w:pPr>
              <w:jc w:val="center"/>
              <w:rPr>
                <w:rFonts w:ascii="仿宋_GB2312" w:hAnsi="宋体" w:eastAsia="仿宋_GB2312"/>
                <w:b/>
                <w:sz w:val="28"/>
                <w:szCs w:val="28"/>
                <w:lang w:val="zh-CN"/>
              </w:rPr>
            </w:pPr>
            <w:r>
              <w:rPr>
                <w:rFonts w:hint="eastAsia" w:ascii="仿宋_GB2312" w:hAnsi="宋体" w:eastAsia="仿宋_GB2312"/>
                <w:b/>
                <w:sz w:val="28"/>
                <w:szCs w:val="28"/>
                <w:lang w:val="zh-CN"/>
              </w:rPr>
              <w:t>品牌</w:t>
            </w:r>
          </w:p>
        </w:tc>
        <w:tc>
          <w:tcPr>
            <w:tcW w:w="2580" w:type="dxa"/>
            <w:vAlign w:val="center"/>
          </w:tcPr>
          <w:p>
            <w:pPr>
              <w:jc w:val="center"/>
              <w:rPr>
                <w:rFonts w:ascii="仿宋_GB2312" w:hAnsi="宋体" w:eastAsia="仿宋_GB2312"/>
                <w:b/>
                <w:sz w:val="28"/>
                <w:szCs w:val="28"/>
                <w:lang w:val="zh-CN"/>
              </w:rPr>
            </w:pPr>
            <w:r>
              <w:rPr>
                <w:rFonts w:hint="eastAsia" w:ascii="仿宋_GB2312" w:hAnsi="宋体" w:eastAsia="仿宋_GB2312"/>
                <w:b/>
                <w:sz w:val="28"/>
                <w:szCs w:val="28"/>
                <w:lang w:val="zh-CN"/>
              </w:rPr>
              <w:t>规格型号</w:t>
            </w:r>
          </w:p>
        </w:tc>
        <w:tc>
          <w:tcPr>
            <w:tcW w:w="1092" w:type="dxa"/>
            <w:vAlign w:val="center"/>
          </w:tcPr>
          <w:p>
            <w:pPr>
              <w:jc w:val="center"/>
              <w:rPr>
                <w:rFonts w:ascii="仿宋_GB2312" w:hAnsi="宋体" w:eastAsia="仿宋_GB2312"/>
                <w:b/>
                <w:sz w:val="28"/>
                <w:szCs w:val="28"/>
                <w:lang w:val="zh-CN"/>
              </w:rPr>
            </w:pPr>
            <w:r>
              <w:rPr>
                <w:rFonts w:hint="eastAsia" w:ascii="仿宋_GB2312" w:hAnsi="宋体" w:eastAsia="仿宋_GB2312"/>
                <w:b/>
                <w:sz w:val="28"/>
                <w:szCs w:val="28"/>
                <w:lang w:val="zh-CN"/>
              </w:rPr>
              <w:t>单位</w:t>
            </w:r>
          </w:p>
        </w:tc>
        <w:tc>
          <w:tcPr>
            <w:tcW w:w="984" w:type="dxa"/>
            <w:vAlign w:val="center"/>
          </w:tcPr>
          <w:p>
            <w:pPr>
              <w:jc w:val="center"/>
              <w:rPr>
                <w:rFonts w:ascii="仿宋_GB2312" w:hAnsi="宋体" w:eastAsia="仿宋_GB2312"/>
                <w:b/>
                <w:sz w:val="28"/>
                <w:szCs w:val="28"/>
                <w:lang w:val="zh-CN"/>
              </w:rPr>
            </w:pPr>
            <w:r>
              <w:rPr>
                <w:rFonts w:hint="eastAsia" w:ascii="仿宋_GB2312" w:hAnsi="宋体" w:eastAsia="仿宋_GB2312"/>
                <w:b/>
                <w:sz w:val="28"/>
                <w:szCs w:val="28"/>
                <w:lang w:val="zh-CN"/>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17" w:type="dxa"/>
            <w:vAlign w:val="center"/>
          </w:tcPr>
          <w:p>
            <w:pPr>
              <w:pStyle w:val="51"/>
              <w:numPr>
                <w:ilvl w:val="0"/>
                <w:numId w:val="2"/>
              </w:numPr>
              <w:ind w:left="0" w:firstLine="0" w:firstLineChars="0"/>
              <w:jc w:val="center"/>
              <w:rPr>
                <w:rFonts w:ascii="仿宋_GB2312" w:hAnsi="宋体" w:eastAsia="仿宋_GB2312"/>
                <w:sz w:val="28"/>
                <w:szCs w:val="28"/>
                <w:lang w:val="zh-CN"/>
              </w:rPr>
            </w:pPr>
          </w:p>
        </w:tc>
        <w:tc>
          <w:tcPr>
            <w:tcW w:w="2126"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VOCs在线质谱监测仪</w:t>
            </w:r>
          </w:p>
        </w:tc>
        <w:tc>
          <w:tcPr>
            <w:tcW w:w="1611"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中国 FPI</w:t>
            </w:r>
          </w:p>
        </w:tc>
        <w:tc>
          <w:tcPr>
            <w:tcW w:w="2580"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VMS-100</w:t>
            </w:r>
          </w:p>
        </w:tc>
        <w:tc>
          <w:tcPr>
            <w:tcW w:w="1092"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台</w:t>
            </w:r>
          </w:p>
        </w:tc>
        <w:tc>
          <w:tcPr>
            <w:tcW w:w="984"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17" w:type="dxa"/>
            <w:vAlign w:val="center"/>
          </w:tcPr>
          <w:p>
            <w:pPr>
              <w:pStyle w:val="51"/>
              <w:numPr>
                <w:ilvl w:val="0"/>
                <w:numId w:val="2"/>
              </w:numPr>
              <w:ind w:left="0" w:firstLine="0" w:firstLineChars="0"/>
              <w:jc w:val="center"/>
              <w:rPr>
                <w:rFonts w:ascii="仿宋_GB2312" w:hAnsi="宋体" w:eastAsia="仿宋_GB2312"/>
                <w:sz w:val="28"/>
                <w:szCs w:val="28"/>
                <w:lang w:val="zh-CN"/>
              </w:rPr>
            </w:pPr>
          </w:p>
        </w:tc>
        <w:tc>
          <w:tcPr>
            <w:tcW w:w="2126"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H</w:t>
            </w:r>
            <w:r>
              <w:rPr>
                <w:rFonts w:hint="eastAsia" w:ascii="仿宋_GB2312" w:hAnsi="宋体" w:eastAsia="仿宋_GB2312"/>
                <w:sz w:val="28"/>
                <w:szCs w:val="28"/>
                <w:vertAlign w:val="subscript"/>
                <w:lang w:val="zh-CN"/>
              </w:rPr>
              <w:t>2</w:t>
            </w:r>
            <w:r>
              <w:rPr>
                <w:rFonts w:hint="eastAsia" w:ascii="仿宋_GB2312" w:hAnsi="宋体" w:eastAsia="仿宋_GB2312"/>
                <w:sz w:val="28"/>
                <w:szCs w:val="28"/>
                <w:lang w:val="zh-CN"/>
              </w:rPr>
              <w:t>S分析仪</w:t>
            </w:r>
          </w:p>
        </w:tc>
        <w:tc>
          <w:tcPr>
            <w:tcW w:w="1611"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TAPI</w:t>
            </w:r>
          </w:p>
        </w:tc>
        <w:tc>
          <w:tcPr>
            <w:tcW w:w="2580"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T101</w:t>
            </w:r>
          </w:p>
        </w:tc>
        <w:tc>
          <w:tcPr>
            <w:tcW w:w="1092"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台</w:t>
            </w:r>
          </w:p>
        </w:tc>
        <w:tc>
          <w:tcPr>
            <w:tcW w:w="984"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17" w:type="dxa"/>
            <w:vAlign w:val="center"/>
          </w:tcPr>
          <w:p>
            <w:pPr>
              <w:pStyle w:val="51"/>
              <w:numPr>
                <w:ilvl w:val="0"/>
                <w:numId w:val="2"/>
              </w:numPr>
              <w:ind w:left="0" w:firstLine="0" w:firstLineChars="0"/>
              <w:jc w:val="center"/>
              <w:rPr>
                <w:rFonts w:ascii="仿宋_GB2312" w:hAnsi="宋体" w:eastAsia="仿宋_GB2312"/>
                <w:sz w:val="28"/>
                <w:szCs w:val="28"/>
                <w:lang w:val="zh-CN"/>
              </w:rPr>
            </w:pPr>
          </w:p>
        </w:tc>
        <w:tc>
          <w:tcPr>
            <w:tcW w:w="2126"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NH</w:t>
            </w:r>
            <w:r>
              <w:rPr>
                <w:rFonts w:hint="eastAsia" w:ascii="仿宋_GB2312" w:hAnsi="宋体" w:eastAsia="仿宋_GB2312"/>
                <w:sz w:val="28"/>
                <w:szCs w:val="28"/>
                <w:vertAlign w:val="subscript"/>
                <w:lang w:val="zh-CN"/>
              </w:rPr>
              <w:t>3</w:t>
            </w:r>
            <w:r>
              <w:rPr>
                <w:rFonts w:hint="eastAsia" w:ascii="仿宋_GB2312" w:hAnsi="宋体" w:eastAsia="仿宋_GB2312"/>
                <w:sz w:val="28"/>
                <w:szCs w:val="28"/>
                <w:lang w:val="zh-CN"/>
              </w:rPr>
              <w:t>分析仪</w:t>
            </w:r>
          </w:p>
        </w:tc>
        <w:tc>
          <w:tcPr>
            <w:tcW w:w="1611"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中国 FPI</w:t>
            </w:r>
          </w:p>
        </w:tc>
        <w:tc>
          <w:tcPr>
            <w:tcW w:w="2580"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LTGA-200</w:t>
            </w:r>
          </w:p>
        </w:tc>
        <w:tc>
          <w:tcPr>
            <w:tcW w:w="1092"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台</w:t>
            </w:r>
          </w:p>
        </w:tc>
        <w:tc>
          <w:tcPr>
            <w:tcW w:w="984"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17" w:type="dxa"/>
            <w:vAlign w:val="center"/>
          </w:tcPr>
          <w:p>
            <w:pPr>
              <w:pStyle w:val="51"/>
              <w:numPr>
                <w:ilvl w:val="0"/>
                <w:numId w:val="2"/>
              </w:numPr>
              <w:ind w:left="0" w:firstLine="0" w:firstLineChars="0"/>
              <w:jc w:val="center"/>
              <w:rPr>
                <w:rFonts w:ascii="仿宋_GB2312" w:hAnsi="宋体" w:eastAsia="仿宋_GB2312"/>
                <w:sz w:val="28"/>
                <w:szCs w:val="28"/>
                <w:lang w:val="zh-CN"/>
              </w:rPr>
            </w:pPr>
          </w:p>
        </w:tc>
        <w:tc>
          <w:tcPr>
            <w:tcW w:w="2126"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动态校准仪</w:t>
            </w:r>
          </w:p>
        </w:tc>
        <w:tc>
          <w:tcPr>
            <w:tcW w:w="1611"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中国 FPI</w:t>
            </w:r>
          </w:p>
        </w:tc>
        <w:tc>
          <w:tcPr>
            <w:tcW w:w="2580"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AQMS-200</w:t>
            </w:r>
          </w:p>
        </w:tc>
        <w:tc>
          <w:tcPr>
            <w:tcW w:w="1092"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台</w:t>
            </w:r>
          </w:p>
        </w:tc>
        <w:tc>
          <w:tcPr>
            <w:tcW w:w="984"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17" w:type="dxa"/>
            <w:vAlign w:val="center"/>
          </w:tcPr>
          <w:p>
            <w:pPr>
              <w:pStyle w:val="51"/>
              <w:numPr>
                <w:ilvl w:val="0"/>
                <w:numId w:val="2"/>
              </w:numPr>
              <w:ind w:left="0" w:firstLine="0" w:firstLineChars="0"/>
              <w:jc w:val="center"/>
              <w:rPr>
                <w:rFonts w:ascii="仿宋_GB2312" w:hAnsi="宋体" w:eastAsia="仿宋_GB2312"/>
                <w:sz w:val="28"/>
                <w:szCs w:val="28"/>
                <w:lang w:val="zh-CN"/>
              </w:rPr>
            </w:pPr>
          </w:p>
        </w:tc>
        <w:tc>
          <w:tcPr>
            <w:tcW w:w="2126"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零气发生器</w:t>
            </w:r>
          </w:p>
        </w:tc>
        <w:tc>
          <w:tcPr>
            <w:tcW w:w="1611"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中国 FPI</w:t>
            </w:r>
          </w:p>
        </w:tc>
        <w:tc>
          <w:tcPr>
            <w:tcW w:w="2580"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AQMS-100</w:t>
            </w:r>
          </w:p>
        </w:tc>
        <w:tc>
          <w:tcPr>
            <w:tcW w:w="1092"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台</w:t>
            </w:r>
          </w:p>
        </w:tc>
        <w:tc>
          <w:tcPr>
            <w:tcW w:w="984"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17" w:type="dxa"/>
            <w:vAlign w:val="center"/>
          </w:tcPr>
          <w:p>
            <w:pPr>
              <w:pStyle w:val="51"/>
              <w:numPr>
                <w:ilvl w:val="0"/>
                <w:numId w:val="2"/>
              </w:numPr>
              <w:ind w:left="0" w:firstLine="0" w:firstLineChars="0"/>
              <w:jc w:val="center"/>
              <w:rPr>
                <w:rFonts w:ascii="仿宋_GB2312" w:hAnsi="宋体" w:eastAsia="仿宋_GB2312"/>
                <w:sz w:val="28"/>
                <w:szCs w:val="28"/>
                <w:lang w:val="zh-CN"/>
              </w:rPr>
            </w:pPr>
          </w:p>
        </w:tc>
        <w:tc>
          <w:tcPr>
            <w:tcW w:w="2126"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采样总管</w:t>
            </w:r>
          </w:p>
        </w:tc>
        <w:tc>
          <w:tcPr>
            <w:tcW w:w="1611"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中国 FPI</w:t>
            </w:r>
          </w:p>
        </w:tc>
        <w:tc>
          <w:tcPr>
            <w:tcW w:w="2580"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DEA09</w:t>
            </w:r>
          </w:p>
        </w:tc>
        <w:tc>
          <w:tcPr>
            <w:tcW w:w="1092"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套</w:t>
            </w:r>
          </w:p>
        </w:tc>
        <w:tc>
          <w:tcPr>
            <w:tcW w:w="984"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17" w:type="dxa"/>
            <w:vAlign w:val="center"/>
          </w:tcPr>
          <w:p>
            <w:pPr>
              <w:pStyle w:val="51"/>
              <w:numPr>
                <w:ilvl w:val="0"/>
                <w:numId w:val="2"/>
              </w:numPr>
              <w:ind w:left="0" w:firstLine="0" w:firstLineChars="0"/>
              <w:jc w:val="center"/>
              <w:rPr>
                <w:rFonts w:ascii="仿宋_GB2312" w:hAnsi="宋体" w:eastAsia="仿宋_GB2312"/>
                <w:sz w:val="28"/>
                <w:szCs w:val="28"/>
                <w:lang w:val="zh-CN"/>
              </w:rPr>
            </w:pPr>
          </w:p>
        </w:tc>
        <w:tc>
          <w:tcPr>
            <w:tcW w:w="2126"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气象五参数</w:t>
            </w:r>
          </w:p>
        </w:tc>
        <w:tc>
          <w:tcPr>
            <w:tcW w:w="1611"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路赋德</w:t>
            </w:r>
          </w:p>
        </w:tc>
        <w:tc>
          <w:tcPr>
            <w:tcW w:w="2580"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WS-500UMB</w:t>
            </w:r>
          </w:p>
        </w:tc>
        <w:tc>
          <w:tcPr>
            <w:tcW w:w="1092"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台</w:t>
            </w:r>
          </w:p>
        </w:tc>
        <w:tc>
          <w:tcPr>
            <w:tcW w:w="984"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17" w:type="dxa"/>
            <w:vAlign w:val="center"/>
          </w:tcPr>
          <w:p>
            <w:pPr>
              <w:pStyle w:val="51"/>
              <w:numPr>
                <w:ilvl w:val="0"/>
                <w:numId w:val="2"/>
              </w:numPr>
              <w:ind w:left="0" w:firstLine="0" w:firstLineChars="0"/>
              <w:jc w:val="center"/>
              <w:rPr>
                <w:rFonts w:ascii="仿宋_GB2312" w:hAnsi="宋体" w:eastAsia="仿宋_GB2312"/>
                <w:sz w:val="28"/>
                <w:szCs w:val="28"/>
                <w:lang w:val="zh-CN"/>
              </w:rPr>
            </w:pPr>
          </w:p>
        </w:tc>
        <w:tc>
          <w:tcPr>
            <w:tcW w:w="2126"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移动监测车</w:t>
            </w:r>
          </w:p>
        </w:tc>
        <w:tc>
          <w:tcPr>
            <w:tcW w:w="1611"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福特</w:t>
            </w:r>
          </w:p>
        </w:tc>
        <w:tc>
          <w:tcPr>
            <w:tcW w:w="2580"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JX5049XJCMKA2</w:t>
            </w:r>
          </w:p>
        </w:tc>
        <w:tc>
          <w:tcPr>
            <w:tcW w:w="1092"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辆</w:t>
            </w:r>
          </w:p>
        </w:tc>
        <w:tc>
          <w:tcPr>
            <w:tcW w:w="984"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17" w:type="dxa"/>
            <w:vAlign w:val="center"/>
          </w:tcPr>
          <w:p>
            <w:pPr>
              <w:pStyle w:val="51"/>
              <w:numPr>
                <w:ilvl w:val="0"/>
                <w:numId w:val="2"/>
              </w:numPr>
              <w:ind w:left="0" w:firstLine="0" w:firstLineChars="0"/>
              <w:jc w:val="center"/>
              <w:rPr>
                <w:rFonts w:ascii="仿宋_GB2312" w:hAnsi="宋体" w:eastAsia="仿宋_GB2312"/>
                <w:sz w:val="28"/>
                <w:szCs w:val="28"/>
                <w:lang w:val="zh-CN"/>
              </w:rPr>
            </w:pPr>
          </w:p>
        </w:tc>
        <w:tc>
          <w:tcPr>
            <w:tcW w:w="2126"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数据采集传输系统</w:t>
            </w:r>
          </w:p>
        </w:tc>
        <w:tc>
          <w:tcPr>
            <w:tcW w:w="1611"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中国 FPI</w:t>
            </w:r>
          </w:p>
        </w:tc>
        <w:tc>
          <w:tcPr>
            <w:tcW w:w="2580"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中国 FPI</w:t>
            </w:r>
          </w:p>
        </w:tc>
        <w:tc>
          <w:tcPr>
            <w:tcW w:w="1092"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套</w:t>
            </w:r>
          </w:p>
        </w:tc>
        <w:tc>
          <w:tcPr>
            <w:tcW w:w="984" w:type="dxa"/>
            <w:vAlign w:val="center"/>
          </w:tcPr>
          <w:p>
            <w:pPr>
              <w:jc w:val="center"/>
              <w:rPr>
                <w:rFonts w:ascii="仿宋_GB2312" w:hAnsi="宋体" w:eastAsia="仿宋_GB2312"/>
                <w:sz w:val="28"/>
                <w:szCs w:val="28"/>
                <w:lang w:val="zh-CN"/>
              </w:rPr>
            </w:pPr>
            <w:r>
              <w:rPr>
                <w:rFonts w:hint="eastAsia" w:ascii="仿宋_GB2312" w:hAnsi="宋体" w:eastAsia="仿宋_GB2312"/>
                <w:sz w:val="28"/>
                <w:szCs w:val="28"/>
                <w:lang w:val="zh-CN"/>
              </w:rPr>
              <w:t>1</w:t>
            </w:r>
          </w:p>
        </w:tc>
      </w:tr>
    </w:tbl>
    <w:p>
      <w:pPr>
        <w:pStyle w:val="30"/>
        <w:ind w:firstLine="605"/>
      </w:pPr>
      <w:r>
        <w:rPr>
          <w:rFonts w:hint="eastAsia"/>
          <w:w w:val="95"/>
        </w:rPr>
        <w:t>1.</w:t>
      </w:r>
      <w:r>
        <w:rPr>
          <w:w w:val="95"/>
        </w:rPr>
        <w:t>2 运维目</w:t>
      </w:r>
      <w:r>
        <w:rPr>
          <w:spacing w:val="-10"/>
          <w:w w:val="95"/>
        </w:rPr>
        <w:t>标</w:t>
      </w:r>
    </w:p>
    <w:p>
      <w:pPr>
        <w:pStyle w:val="30"/>
      </w:pPr>
      <w:r>
        <w:t>对</w:t>
      </w:r>
      <w:r>
        <w:rPr>
          <w:rFonts w:hint="eastAsia"/>
          <w:lang w:val="en-US" w:eastAsia="zh-CN"/>
        </w:rPr>
        <w:t>石家庄市环境监控中心的1辆</w:t>
      </w:r>
      <w:r>
        <w:t>TOF-MS VOCs走航车及装备的检测仪器开展日常维护，TOF-MS VOCs走航车在突发性环境污染事故发生时，监测车可迅速进入污染现场，在规定的时间内开展监测，现场提供监测</w:t>
      </w:r>
      <w:r>
        <w:rPr>
          <w:rFonts w:hint="eastAsia"/>
          <w:lang w:val="en-US" w:eastAsia="zh-CN"/>
        </w:rPr>
        <w:t>数据</w:t>
      </w:r>
      <w:r>
        <w:t>，至少包括污染物性质、程度及可能的扩散等</w:t>
      </w:r>
      <w:r>
        <w:rPr>
          <w:spacing w:val="-4"/>
          <w:w w:val="99"/>
        </w:rPr>
        <w:t>。</w:t>
      </w:r>
    </w:p>
    <w:p>
      <w:pPr>
        <w:pStyle w:val="30"/>
      </w:pPr>
      <w:r>
        <w:rPr>
          <w:rFonts w:hint="eastAsia"/>
        </w:rPr>
        <w:t>1.</w:t>
      </w:r>
      <w:r>
        <w:t>3 运维团队及备品备件、耗材配置</w:t>
      </w:r>
    </w:p>
    <w:p>
      <w:pPr>
        <w:pStyle w:val="30"/>
      </w:pPr>
      <w:r>
        <w:rPr>
          <w:rFonts w:hint="eastAsia"/>
        </w:rPr>
        <w:t>（1）</w:t>
      </w:r>
      <w:r>
        <w:t>运维团队</w:t>
      </w:r>
    </w:p>
    <w:p>
      <w:pPr>
        <w:pStyle w:val="30"/>
        <w:rPr>
          <w:rFonts w:hint="default" w:eastAsia="仿宋_GB2312"/>
          <w:sz w:val="21"/>
          <w:lang w:val="en-US" w:eastAsia="zh-CN"/>
        </w:rPr>
      </w:pPr>
      <w:r>
        <w:rPr>
          <w:rFonts w:hint="eastAsia"/>
          <w:lang w:val="en-US" w:eastAsia="zh-CN"/>
        </w:rPr>
        <w:t>需</w:t>
      </w:r>
      <w:r>
        <w:t>配备2名运维</w:t>
      </w:r>
      <w:r>
        <w:rPr>
          <w:rFonts w:hint="eastAsia"/>
          <w:lang w:val="en-US" w:eastAsia="zh-CN"/>
        </w:rPr>
        <w:t>人员</w:t>
      </w:r>
      <w:r>
        <w:t>（长期驻场），</w:t>
      </w:r>
      <w:r>
        <w:rPr>
          <w:rFonts w:hint="eastAsia"/>
          <w:lang w:eastAsia="zh-CN"/>
        </w:rPr>
        <w:t>要求</w:t>
      </w:r>
      <w:r>
        <w:t>运维人员</w:t>
      </w:r>
      <w:r>
        <w:rPr>
          <w:rFonts w:hint="eastAsia"/>
          <w:lang w:eastAsia="zh-CN"/>
        </w:rPr>
        <w:t>具备两年以上</w:t>
      </w:r>
      <w:r>
        <w:rPr>
          <w:rFonts w:hint="eastAsia"/>
          <w:lang w:val="en-US" w:eastAsia="zh-CN"/>
        </w:rPr>
        <w:t>走航监测车的运维</w:t>
      </w:r>
      <w:r>
        <w:t>经验</w:t>
      </w:r>
      <w:r>
        <w:rPr>
          <w:rFonts w:hint="eastAsia"/>
        </w:rPr>
        <w:t>,其中1名技术人员为本科</w:t>
      </w:r>
      <w:r>
        <w:rPr>
          <w:rFonts w:hint="eastAsia"/>
          <w:lang w:val="en-US" w:eastAsia="zh-CN"/>
        </w:rPr>
        <w:t>及</w:t>
      </w:r>
      <w:r>
        <w:rPr>
          <w:rFonts w:hint="eastAsia"/>
        </w:rPr>
        <w:t>以上学历</w:t>
      </w:r>
      <w:r>
        <w:t>。运维人员负责日常仪器操作，维护及保养，仪器校准，故障检修和报告编制等工作，确保仪器设备正常运行，数据质量可靠；定期安排进行现场调研工作，协助对数据质量进行检查，开展数据分析工作。</w:t>
      </w:r>
      <w:r>
        <w:rPr>
          <w:rFonts w:hint="eastAsia"/>
        </w:rPr>
        <w:t>运维期结束前，需保证运维车辆、设备正常运行，具有可靠性和完整性，</w:t>
      </w:r>
      <w:r>
        <w:rPr>
          <w:rFonts w:hint="eastAsia"/>
          <w:highlight w:val="none"/>
        </w:rPr>
        <w:t>并在运维结束前5个工作日内提供有效</w:t>
      </w:r>
      <w:r>
        <w:rPr>
          <w:rFonts w:hint="eastAsia"/>
          <w:highlight w:val="none"/>
          <w:lang w:eastAsia="zh-CN"/>
        </w:rPr>
        <w:t>地</w:t>
      </w:r>
      <w:r>
        <w:rPr>
          <w:rFonts w:hint="eastAsia"/>
          <w:highlight w:val="none"/>
        </w:rPr>
        <w:t>性能测试报告、设备校准报告</w:t>
      </w:r>
      <w:r>
        <w:rPr>
          <w:rFonts w:hint="eastAsia"/>
          <w:highlight w:val="none"/>
          <w:lang w:val="en-US" w:eastAsia="zh-CN"/>
        </w:rPr>
        <w:t>及配合做好交接工作。</w:t>
      </w:r>
    </w:p>
    <w:p>
      <w:pPr>
        <w:adjustRightInd w:val="0"/>
        <w:snapToGrid w:val="0"/>
        <w:spacing w:before="156" w:beforeLines="50"/>
        <w:jc w:val="center"/>
        <w:rPr>
          <w:rFonts w:hint="eastAsia" w:ascii="仿宋_GB2312" w:eastAsia="仿宋_GB2312"/>
          <w:sz w:val="30"/>
        </w:rPr>
      </w:pPr>
      <w:r>
        <w:rPr>
          <w:rFonts w:hint="eastAsia" w:ascii="仿宋_GB2312" w:eastAsia="仿宋_GB2312"/>
          <w:spacing w:val="-38"/>
          <w:sz w:val="30"/>
        </w:rPr>
        <w:t xml:space="preserve">表 </w:t>
      </w:r>
      <w:r>
        <w:rPr>
          <w:rFonts w:hint="eastAsia" w:ascii="仿宋_GB2312" w:eastAsia="仿宋_GB2312"/>
          <w:sz w:val="30"/>
        </w:rPr>
        <w:t>2</w:t>
      </w:r>
      <w:r>
        <w:rPr>
          <w:rFonts w:hint="eastAsia" w:ascii="仿宋_GB2312" w:eastAsia="仿宋_GB2312"/>
          <w:spacing w:val="10"/>
          <w:sz w:val="30"/>
        </w:rPr>
        <w:t xml:space="preserve"> 运维人员具体工作内容</w:t>
      </w:r>
    </w:p>
    <w:tbl>
      <w:tblPr>
        <w:tblStyle w:val="24"/>
        <w:tblW w:w="9063" w:type="dxa"/>
        <w:tblInd w:w="-14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58"/>
        <w:gridCol w:w="2929"/>
        <w:gridCol w:w="517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958" w:type="dxa"/>
            <w:noWrap w:val="0"/>
            <w:vAlign w:val="top"/>
          </w:tcPr>
          <w:p>
            <w:pPr>
              <w:pStyle w:val="56"/>
              <w:spacing w:before="135"/>
              <w:ind w:left="199"/>
              <w:rPr>
                <w:rFonts w:hint="eastAsia" w:ascii="仿宋_GB2312" w:eastAsia="仿宋_GB2312"/>
                <w:sz w:val="30"/>
                <w:szCs w:val="30"/>
              </w:rPr>
            </w:pPr>
            <w:r>
              <w:rPr>
                <w:rFonts w:hint="eastAsia" w:ascii="仿宋_GB2312" w:eastAsia="仿宋_GB2312"/>
                <w:spacing w:val="-5"/>
                <w:sz w:val="30"/>
                <w:szCs w:val="30"/>
              </w:rPr>
              <w:t>序号</w:t>
            </w:r>
          </w:p>
        </w:tc>
        <w:tc>
          <w:tcPr>
            <w:tcW w:w="2929" w:type="dxa"/>
            <w:noWrap w:val="0"/>
            <w:vAlign w:val="top"/>
          </w:tcPr>
          <w:p>
            <w:pPr>
              <w:pStyle w:val="56"/>
              <w:spacing w:before="135"/>
              <w:ind w:left="1168" w:right="1160"/>
              <w:jc w:val="center"/>
              <w:rPr>
                <w:rFonts w:hint="eastAsia" w:ascii="仿宋_GB2312" w:eastAsia="仿宋_GB2312"/>
                <w:sz w:val="30"/>
                <w:szCs w:val="30"/>
              </w:rPr>
            </w:pPr>
            <w:r>
              <w:rPr>
                <w:rFonts w:hint="eastAsia" w:ascii="仿宋_GB2312" w:eastAsia="仿宋_GB2312"/>
                <w:spacing w:val="-5"/>
                <w:sz w:val="30"/>
                <w:szCs w:val="30"/>
              </w:rPr>
              <w:t>人员</w:t>
            </w:r>
          </w:p>
        </w:tc>
        <w:tc>
          <w:tcPr>
            <w:tcW w:w="5176" w:type="dxa"/>
            <w:noWrap w:val="0"/>
            <w:vAlign w:val="top"/>
          </w:tcPr>
          <w:p>
            <w:pPr>
              <w:pStyle w:val="56"/>
              <w:spacing w:before="135"/>
              <w:ind w:right="2003"/>
              <w:jc w:val="center"/>
              <w:rPr>
                <w:rFonts w:hint="eastAsia" w:ascii="仿宋_GB2312" w:eastAsia="仿宋_GB2312"/>
                <w:sz w:val="30"/>
                <w:szCs w:val="30"/>
              </w:rPr>
            </w:pPr>
            <w:r>
              <w:rPr>
                <w:rFonts w:hint="eastAsia" w:ascii="仿宋_GB2312" w:eastAsia="仿宋_GB2312"/>
                <w:spacing w:val="-3"/>
                <w:sz w:val="30"/>
                <w:szCs w:val="30"/>
              </w:rPr>
              <w:t>工作内容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58" w:type="dxa"/>
            <w:vMerge w:val="restart"/>
            <w:noWrap w:val="0"/>
            <w:vAlign w:val="center"/>
          </w:tcPr>
          <w:p>
            <w:pPr>
              <w:pStyle w:val="56"/>
              <w:ind w:left="8"/>
              <w:jc w:val="center"/>
              <w:rPr>
                <w:rFonts w:hint="eastAsia" w:ascii="仿宋_GB2312" w:eastAsia="仿宋_GB2312"/>
                <w:sz w:val="30"/>
                <w:szCs w:val="30"/>
              </w:rPr>
            </w:pPr>
            <w:r>
              <w:rPr>
                <w:rFonts w:hint="eastAsia" w:ascii="仿宋_GB2312" w:eastAsia="仿宋_GB2312"/>
                <w:sz w:val="30"/>
                <w:szCs w:val="30"/>
              </w:rPr>
              <w:t>1</w:t>
            </w:r>
          </w:p>
        </w:tc>
        <w:tc>
          <w:tcPr>
            <w:tcW w:w="2929" w:type="dxa"/>
            <w:vMerge w:val="restart"/>
            <w:noWrap w:val="0"/>
            <w:vAlign w:val="center"/>
          </w:tcPr>
          <w:p>
            <w:pPr>
              <w:pStyle w:val="56"/>
              <w:ind w:left="107"/>
              <w:jc w:val="center"/>
              <w:rPr>
                <w:rFonts w:hint="eastAsia" w:ascii="仿宋_GB2312" w:eastAsia="仿宋_GB2312"/>
                <w:sz w:val="30"/>
                <w:szCs w:val="30"/>
              </w:rPr>
            </w:pPr>
            <w:r>
              <w:rPr>
                <w:rFonts w:hint="eastAsia" w:ascii="仿宋_GB2312" w:eastAsia="仿宋_GB2312"/>
                <w:spacing w:val="-2"/>
                <w:sz w:val="30"/>
                <w:szCs w:val="30"/>
              </w:rPr>
              <w:t>运维人员甲（兼司机</w:t>
            </w:r>
            <w:r>
              <w:rPr>
                <w:rFonts w:hint="eastAsia" w:ascii="仿宋_GB2312" w:eastAsia="仿宋_GB2312"/>
                <w:spacing w:val="-10"/>
                <w:sz w:val="30"/>
                <w:szCs w:val="30"/>
              </w:rPr>
              <w:t>）</w:t>
            </w:r>
          </w:p>
        </w:tc>
        <w:tc>
          <w:tcPr>
            <w:tcW w:w="5176" w:type="dxa"/>
            <w:noWrap w:val="0"/>
            <w:vAlign w:val="top"/>
          </w:tcPr>
          <w:p>
            <w:pPr>
              <w:pStyle w:val="56"/>
              <w:spacing w:before="132"/>
              <w:ind w:left="107"/>
              <w:rPr>
                <w:rFonts w:hint="eastAsia" w:ascii="仿宋_GB2312" w:eastAsia="仿宋_GB2312"/>
                <w:sz w:val="30"/>
                <w:szCs w:val="30"/>
              </w:rPr>
            </w:pPr>
            <w:r>
              <w:rPr>
                <w:rFonts w:hint="eastAsia" w:ascii="仿宋_GB2312" w:eastAsia="仿宋_GB2312"/>
                <w:spacing w:val="-2"/>
                <w:sz w:val="30"/>
                <w:szCs w:val="30"/>
              </w:rPr>
              <w:t>1</w:t>
            </w:r>
            <w:r>
              <w:rPr>
                <w:rFonts w:hint="eastAsia" w:ascii="仿宋_GB2312" w:eastAsia="仿宋_GB2312"/>
                <w:spacing w:val="-4"/>
                <w:sz w:val="30"/>
                <w:szCs w:val="30"/>
              </w:rPr>
              <w:t>、专职司机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58" w:type="dxa"/>
            <w:vMerge w:val="continue"/>
            <w:tcBorders>
              <w:top w:val="nil"/>
            </w:tcBorders>
            <w:noWrap w:val="0"/>
            <w:vAlign w:val="center"/>
          </w:tcPr>
          <w:p>
            <w:pPr>
              <w:autoSpaceDE w:val="0"/>
              <w:autoSpaceDN w:val="0"/>
              <w:jc w:val="center"/>
              <w:rPr>
                <w:rFonts w:hint="eastAsia" w:ascii="仿宋_GB2312" w:hAnsi="Calibri" w:eastAsia="仿宋_GB2312"/>
                <w:sz w:val="30"/>
                <w:szCs w:val="30"/>
              </w:rPr>
            </w:pPr>
          </w:p>
        </w:tc>
        <w:tc>
          <w:tcPr>
            <w:tcW w:w="2929" w:type="dxa"/>
            <w:vMerge w:val="continue"/>
            <w:tcBorders>
              <w:top w:val="nil"/>
            </w:tcBorders>
            <w:noWrap w:val="0"/>
            <w:vAlign w:val="center"/>
          </w:tcPr>
          <w:p>
            <w:pPr>
              <w:autoSpaceDE w:val="0"/>
              <w:autoSpaceDN w:val="0"/>
              <w:jc w:val="center"/>
              <w:rPr>
                <w:rFonts w:hint="eastAsia" w:ascii="仿宋_GB2312" w:hAnsi="Calibri" w:eastAsia="仿宋_GB2312"/>
                <w:sz w:val="30"/>
                <w:szCs w:val="30"/>
              </w:rPr>
            </w:pPr>
          </w:p>
        </w:tc>
        <w:tc>
          <w:tcPr>
            <w:tcW w:w="5176" w:type="dxa"/>
            <w:noWrap w:val="0"/>
            <w:vAlign w:val="top"/>
          </w:tcPr>
          <w:p>
            <w:pPr>
              <w:pStyle w:val="56"/>
              <w:spacing w:before="132"/>
              <w:ind w:left="107"/>
              <w:rPr>
                <w:rFonts w:hint="eastAsia" w:ascii="仿宋_GB2312" w:eastAsia="仿宋_GB2312"/>
                <w:sz w:val="30"/>
                <w:szCs w:val="30"/>
              </w:rPr>
            </w:pPr>
            <w:r>
              <w:rPr>
                <w:rFonts w:hint="eastAsia" w:ascii="仿宋_GB2312" w:eastAsia="仿宋_GB2312"/>
                <w:spacing w:val="-2"/>
                <w:sz w:val="30"/>
                <w:szCs w:val="30"/>
              </w:rPr>
              <w:t>2</w:t>
            </w:r>
            <w:r>
              <w:rPr>
                <w:rFonts w:hint="eastAsia" w:ascii="仿宋_GB2312" w:eastAsia="仿宋_GB2312"/>
                <w:spacing w:val="-4"/>
                <w:sz w:val="30"/>
                <w:szCs w:val="30"/>
              </w:rPr>
              <w:t>、日常巡检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958" w:type="dxa"/>
            <w:vMerge w:val="continue"/>
            <w:tcBorders>
              <w:top w:val="nil"/>
            </w:tcBorders>
            <w:noWrap w:val="0"/>
            <w:vAlign w:val="center"/>
          </w:tcPr>
          <w:p>
            <w:pPr>
              <w:autoSpaceDE w:val="0"/>
              <w:autoSpaceDN w:val="0"/>
              <w:jc w:val="center"/>
              <w:rPr>
                <w:rFonts w:hint="eastAsia" w:ascii="仿宋_GB2312" w:hAnsi="Calibri" w:eastAsia="仿宋_GB2312"/>
                <w:sz w:val="30"/>
                <w:szCs w:val="30"/>
              </w:rPr>
            </w:pPr>
          </w:p>
        </w:tc>
        <w:tc>
          <w:tcPr>
            <w:tcW w:w="2929" w:type="dxa"/>
            <w:vMerge w:val="continue"/>
            <w:tcBorders>
              <w:top w:val="nil"/>
            </w:tcBorders>
            <w:noWrap w:val="0"/>
            <w:vAlign w:val="center"/>
          </w:tcPr>
          <w:p>
            <w:pPr>
              <w:autoSpaceDE w:val="0"/>
              <w:autoSpaceDN w:val="0"/>
              <w:jc w:val="center"/>
              <w:rPr>
                <w:rFonts w:hint="eastAsia" w:ascii="仿宋_GB2312" w:hAnsi="Calibri" w:eastAsia="仿宋_GB2312"/>
                <w:sz w:val="30"/>
                <w:szCs w:val="30"/>
              </w:rPr>
            </w:pPr>
          </w:p>
        </w:tc>
        <w:tc>
          <w:tcPr>
            <w:tcW w:w="5176" w:type="dxa"/>
            <w:noWrap w:val="0"/>
            <w:vAlign w:val="top"/>
          </w:tcPr>
          <w:p>
            <w:pPr>
              <w:pStyle w:val="56"/>
              <w:spacing w:before="132"/>
              <w:ind w:left="107"/>
              <w:rPr>
                <w:rFonts w:hint="eastAsia" w:ascii="仿宋_GB2312" w:eastAsia="仿宋_GB2312"/>
                <w:sz w:val="30"/>
                <w:szCs w:val="30"/>
              </w:rPr>
            </w:pPr>
            <w:r>
              <w:rPr>
                <w:rFonts w:hint="eastAsia" w:ascii="仿宋_GB2312" w:eastAsia="仿宋_GB2312"/>
                <w:spacing w:val="-2"/>
                <w:sz w:val="30"/>
                <w:szCs w:val="30"/>
              </w:rPr>
              <w:t>3</w:t>
            </w:r>
            <w:r>
              <w:rPr>
                <w:rFonts w:hint="eastAsia" w:ascii="仿宋_GB2312" w:eastAsia="仿宋_GB2312"/>
                <w:spacing w:val="-4"/>
                <w:sz w:val="30"/>
                <w:szCs w:val="30"/>
              </w:rPr>
              <w:t>、数据审核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58" w:type="dxa"/>
            <w:vMerge w:val="continue"/>
            <w:tcBorders>
              <w:top w:val="nil"/>
            </w:tcBorders>
            <w:noWrap w:val="0"/>
            <w:vAlign w:val="center"/>
          </w:tcPr>
          <w:p>
            <w:pPr>
              <w:autoSpaceDE w:val="0"/>
              <w:autoSpaceDN w:val="0"/>
              <w:jc w:val="center"/>
              <w:rPr>
                <w:rFonts w:hint="eastAsia" w:ascii="仿宋_GB2312" w:hAnsi="Calibri" w:eastAsia="仿宋_GB2312"/>
                <w:sz w:val="30"/>
                <w:szCs w:val="30"/>
              </w:rPr>
            </w:pPr>
          </w:p>
        </w:tc>
        <w:tc>
          <w:tcPr>
            <w:tcW w:w="2929" w:type="dxa"/>
            <w:vMerge w:val="continue"/>
            <w:tcBorders>
              <w:top w:val="nil"/>
            </w:tcBorders>
            <w:noWrap w:val="0"/>
            <w:vAlign w:val="center"/>
          </w:tcPr>
          <w:p>
            <w:pPr>
              <w:autoSpaceDE w:val="0"/>
              <w:autoSpaceDN w:val="0"/>
              <w:jc w:val="center"/>
              <w:rPr>
                <w:rFonts w:hint="eastAsia" w:ascii="仿宋_GB2312" w:hAnsi="Calibri" w:eastAsia="仿宋_GB2312"/>
                <w:sz w:val="30"/>
                <w:szCs w:val="30"/>
              </w:rPr>
            </w:pPr>
          </w:p>
        </w:tc>
        <w:tc>
          <w:tcPr>
            <w:tcW w:w="5176" w:type="dxa"/>
            <w:noWrap w:val="0"/>
            <w:vAlign w:val="top"/>
          </w:tcPr>
          <w:p>
            <w:pPr>
              <w:pStyle w:val="56"/>
              <w:spacing w:before="132"/>
              <w:ind w:left="107"/>
              <w:rPr>
                <w:rFonts w:hint="eastAsia" w:ascii="仿宋_GB2312" w:eastAsia="仿宋_GB2312"/>
                <w:sz w:val="30"/>
                <w:szCs w:val="30"/>
              </w:rPr>
            </w:pPr>
            <w:r>
              <w:rPr>
                <w:rFonts w:hint="eastAsia" w:ascii="仿宋_GB2312" w:eastAsia="仿宋_GB2312"/>
                <w:spacing w:val="-2"/>
                <w:sz w:val="30"/>
                <w:szCs w:val="30"/>
              </w:rPr>
              <w:t>4</w:t>
            </w:r>
            <w:r>
              <w:rPr>
                <w:rFonts w:hint="eastAsia" w:ascii="仿宋_GB2312" w:eastAsia="仿宋_GB2312"/>
                <w:spacing w:val="-4"/>
                <w:sz w:val="30"/>
                <w:szCs w:val="30"/>
              </w:rPr>
              <w:t>、异常数据分析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58" w:type="dxa"/>
            <w:vMerge w:val="restart"/>
            <w:noWrap w:val="0"/>
            <w:vAlign w:val="center"/>
          </w:tcPr>
          <w:p>
            <w:pPr>
              <w:pStyle w:val="56"/>
              <w:spacing w:before="200"/>
              <w:ind w:left="8"/>
              <w:jc w:val="center"/>
              <w:rPr>
                <w:rFonts w:hint="eastAsia" w:ascii="仿宋_GB2312" w:eastAsia="仿宋_GB2312"/>
                <w:sz w:val="30"/>
                <w:szCs w:val="30"/>
              </w:rPr>
            </w:pPr>
            <w:r>
              <w:rPr>
                <w:rFonts w:hint="eastAsia" w:ascii="仿宋_GB2312" w:eastAsia="仿宋_GB2312"/>
                <w:sz w:val="30"/>
                <w:szCs w:val="30"/>
              </w:rPr>
              <w:t>2</w:t>
            </w:r>
          </w:p>
        </w:tc>
        <w:tc>
          <w:tcPr>
            <w:tcW w:w="2929" w:type="dxa"/>
            <w:vMerge w:val="restart"/>
            <w:noWrap w:val="0"/>
            <w:vAlign w:val="center"/>
          </w:tcPr>
          <w:p>
            <w:pPr>
              <w:pStyle w:val="56"/>
              <w:spacing w:before="200"/>
              <w:jc w:val="center"/>
              <w:rPr>
                <w:rFonts w:hint="eastAsia" w:ascii="仿宋_GB2312" w:eastAsia="仿宋_GB2312"/>
                <w:sz w:val="30"/>
                <w:szCs w:val="30"/>
              </w:rPr>
            </w:pPr>
            <w:r>
              <w:rPr>
                <w:rFonts w:hint="eastAsia" w:ascii="仿宋_GB2312" w:eastAsia="仿宋_GB2312"/>
                <w:spacing w:val="-4"/>
                <w:sz w:val="30"/>
                <w:szCs w:val="30"/>
              </w:rPr>
              <w:t>运维人员乙</w:t>
            </w:r>
          </w:p>
        </w:tc>
        <w:tc>
          <w:tcPr>
            <w:tcW w:w="5176" w:type="dxa"/>
            <w:noWrap w:val="0"/>
            <w:vAlign w:val="top"/>
          </w:tcPr>
          <w:p>
            <w:pPr>
              <w:pStyle w:val="56"/>
              <w:spacing w:before="132"/>
              <w:ind w:left="107"/>
              <w:rPr>
                <w:rFonts w:hint="eastAsia" w:ascii="仿宋_GB2312" w:eastAsia="仿宋_GB2312"/>
                <w:sz w:val="30"/>
                <w:szCs w:val="30"/>
              </w:rPr>
            </w:pPr>
            <w:r>
              <w:rPr>
                <w:rFonts w:hint="eastAsia" w:ascii="仿宋_GB2312" w:eastAsia="仿宋_GB2312"/>
                <w:spacing w:val="-2"/>
                <w:sz w:val="30"/>
                <w:szCs w:val="30"/>
              </w:rPr>
              <w:t>1</w:t>
            </w:r>
            <w:r>
              <w:rPr>
                <w:rFonts w:hint="eastAsia" w:ascii="仿宋_GB2312" w:eastAsia="仿宋_GB2312"/>
                <w:spacing w:val="-4"/>
                <w:sz w:val="30"/>
                <w:szCs w:val="30"/>
              </w:rPr>
              <w:t>、每日系统检查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958" w:type="dxa"/>
            <w:vMerge w:val="continue"/>
            <w:tcBorders>
              <w:top w:val="nil"/>
            </w:tcBorders>
            <w:noWrap w:val="0"/>
            <w:vAlign w:val="top"/>
          </w:tcPr>
          <w:p>
            <w:pPr>
              <w:autoSpaceDE w:val="0"/>
              <w:autoSpaceDN w:val="0"/>
              <w:rPr>
                <w:rFonts w:hint="eastAsia" w:ascii="仿宋_GB2312" w:hAnsi="Calibri" w:eastAsia="仿宋_GB2312"/>
                <w:sz w:val="30"/>
                <w:szCs w:val="30"/>
              </w:rPr>
            </w:pPr>
          </w:p>
        </w:tc>
        <w:tc>
          <w:tcPr>
            <w:tcW w:w="2929" w:type="dxa"/>
            <w:vMerge w:val="continue"/>
            <w:tcBorders>
              <w:top w:val="nil"/>
            </w:tcBorders>
            <w:noWrap w:val="0"/>
            <w:vAlign w:val="top"/>
          </w:tcPr>
          <w:p>
            <w:pPr>
              <w:autoSpaceDE w:val="0"/>
              <w:autoSpaceDN w:val="0"/>
              <w:rPr>
                <w:rFonts w:hint="eastAsia" w:ascii="仿宋_GB2312" w:hAnsi="Calibri" w:eastAsia="仿宋_GB2312"/>
                <w:sz w:val="30"/>
                <w:szCs w:val="30"/>
              </w:rPr>
            </w:pPr>
          </w:p>
        </w:tc>
        <w:tc>
          <w:tcPr>
            <w:tcW w:w="5176" w:type="dxa"/>
            <w:noWrap w:val="0"/>
            <w:vAlign w:val="top"/>
          </w:tcPr>
          <w:p>
            <w:pPr>
              <w:pStyle w:val="56"/>
              <w:spacing w:before="135"/>
              <w:ind w:left="107"/>
              <w:rPr>
                <w:rFonts w:hint="eastAsia" w:ascii="仿宋_GB2312" w:eastAsia="仿宋_GB2312"/>
                <w:sz w:val="30"/>
                <w:szCs w:val="30"/>
              </w:rPr>
            </w:pPr>
            <w:r>
              <w:rPr>
                <w:rFonts w:hint="eastAsia" w:ascii="仿宋_GB2312" w:eastAsia="仿宋_GB2312"/>
                <w:spacing w:val="-2"/>
                <w:sz w:val="30"/>
                <w:szCs w:val="30"/>
              </w:rPr>
              <w:t>2</w:t>
            </w:r>
            <w:r>
              <w:rPr>
                <w:rFonts w:hint="eastAsia" w:ascii="仿宋_GB2312" w:eastAsia="仿宋_GB2312"/>
                <w:spacing w:val="-4"/>
                <w:sz w:val="30"/>
                <w:szCs w:val="30"/>
              </w:rPr>
              <w:t>、现场数据分析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58" w:type="dxa"/>
            <w:vMerge w:val="continue"/>
            <w:tcBorders>
              <w:top w:val="nil"/>
            </w:tcBorders>
            <w:noWrap w:val="0"/>
            <w:vAlign w:val="top"/>
          </w:tcPr>
          <w:p>
            <w:pPr>
              <w:autoSpaceDE w:val="0"/>
              <w:autoSpaceDN w:val="0"/>
              <w:rPr>
                <w:rFonts w:hint="eastAsia" w:ascii="仿宋_GB2312" w:hAnsi="Calibri" w:eastAsia="仿宋_GB2312"/>
                <w:sz w:val="30"/>
                <w:szCs w:val="30"/>
              </w:rPr>
            </w:pPr>
          </w:p>
        </w:tc>
        <w:tc>
          <w:tcPr>
            <w:tcW w:w="2929" w:type="dxa"/>
            <w:vMerge w:val="continue"/>
            <w:tcBorders>
              <w:top w:val="nil"/>
            </w:tcBorders>
            <w:noWrap w:val="0"/>
            <w:vAlign w:val="top"/>
          </w:tcPr>
          <w:p>
            <w:pPr>
              <w:autoSpaceDE w:val="0"/>
              <w:autoSpaceDN w:val="0"/>
              <w:rPr>
                <w:rFonts w:hint="eastAsia" w:ascii="仿宋_GB2312" w:hAnsi="Calibri" w:eastAsia="仿宋_GB2312"/>
                <w:sz w:val="30"/>
                <w:szCs w:val="30"/>
              </w:rPr>
            </w:pPr>
          </w:p>
        </w:tc>
        <w:tc>
          <w:tcPr>
            <w:tcW w:w="5176" w:type="dxa"/>
            <w:noWrap w:val="0"/>
            <w:vAlign w:val="top"/>
          </w:tcPr>
          <w:p>
            <w:pPr>
              <w:pStyle w:val="56"/>
              <w:spacing w:before="132"/>
              <w:ind w:left="107"/>
              <w:rPr>
                <w:rFonts w:hint="eastAsia" w:ascii="仿宋_GB2312" w:eastAsia="仿宋_GB2312"/>
                <w:sz w:val="30"/>
                <w:szCs w:val="30"/>
              </w:rPr>
            </w:pPr>
            <w:r>
              <w:rPr>
                <w:rFonts w:hint="eastAsia" w:ascii="仿宋_GB2312" w:eastAsia="仿宋_GB2312"/>
                <w:spacing w:val="-2"/>
                <w:sz w:val="30"/>
                <w:szCs w:val="30"/>
              </w:rPr>
              <w:t>3</w:t>
            </w:r>
            <w:r>
              <w:rPr>
                <w:rFonts w:hint="eastAsia" w:ascii="仿宋_GB2312" w:eastAsia="仿宋_GB2312"/>
                <w:spacing w:val="-4"/>
                <w:sz w:val="30"/>
                <w:szCs w:val="30"/>
              </w:rPr>
              <w:t>、每周质谱检查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58" w:type="dxa"/>
            <w:vMerge w:val="continue"/>
            <w:tcBorders>
              <w:top w:val="nil"/>
            </w:tcBorders>
            <w:noWrap w:val="0"/>
            <w:vAlign w:val="top"/>
          </w:tcPr>
          <w:p>
            <w:pPr>
              <w:autoSpaceDE w:val="0"/>
              <w:autoSpaceDN w:val="0"/>
              <w:rPr>
                <w:rFonts w:hint="eastAsia" w:ascii="仿宋_GB2312" w:hAnsi="Calibri" w:eastAsia="仿宋_GB2312"/>
                <w:sz w:val="30"/>
                <w:szCs w:val="30"/>
              </w:rPr>
            </w:pPr>
          </w:p>
        </w:tc>
        <w:tc>
          <w:tcPr>
            <w:tcW w:w="2929" w:type="dxa"/>
            <w:vMerge w:val="continue"/>
            <w:tcBorders>
              <w:top w:val="nil"/>
            </w:tcBorders>
            <w:noWrap w:val="0"/>
            <w:vAlign w:val="top"/>
          </w:tcPr>
          <w:p>
            <w:pPr>
              <w:autoSpaceDE w:val="0"/>
              <w:autoSpaceDN w:val="0"/>
              <w:rPr>
                <w:rFonts w:hint="eastAsia" w:ascii="仿宋_GB2312" w:hAnsi="Calibri" w:eastAsia="仿宋_GB2312"/>
                <w:sz w:val="30"/>
                <w:szCs w:val="30"/>
              </w:rPr>
            </w:pPr>
          </w:p>
        </w:tc>
        <w:tc>
          <w:tcPr>
            <w:tcW w:w="5176" w:type="dxa"/>
            <w:noWrap w:val="0"/>
            <w:vAlign w:val="top"/>
          </w:tcPr>
          <w:p>
            <w:pPr>
              <w:pStyle w:val="56"/>
              <w:spacing w:before="132"/>
              <w:ind w:left="107"/>
              <w:rPr>
                <w:rFonts w:hint="eastAsia" w:ascii="仿宋_GB2312" w:eastAsia="仿宋_GB2312"/>
                <w:sz w:val="30"/>
                <w:szCs w:val="30"/>
              </w:rPr>
            </w:pPr>
            <w:r>
              <w:rPr>
                <w:rFonts w:hint="eastAsia" w:ascii="仿宋_GB2312" w:eastAsia="仿宋_GB2312"/>
                <w:spacing w:val="-2"/>
                <w:sz w:val="30"/>
                <w:szCs w:val="30"/>
              </w:rPr>
              <w:t>4</w:t>
            </w:r>
            <w:r>
              <w:rPr>
                <w:rFonts w:hint="eastAsia" w:ascii="仿宋_GB2312" w:eastAsia="仿宋_GB2312"/>
                <w:spacing w:val="-3"/>
                <w:sz w:val="30"/>
                <w:szCs w:val="30"/>
              </w:rPr>
              <w:t>、每周对过滤器除尘清洗及滤芯更换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58" w:type="dxa"/>
            <w:vMerge w:val="continue"/>
            <w:tcBorders>
              <w:top w:val="nil"/>
            </w:tcBorders>
            <w:noWrap w:val="0"/>
            <w:vAlign w:val="top"/>
          </w:tcPr>
          <w:p>
            <w:pPr>
              <w:autoSpaceDE w:val="0"/>
              <w:autoSpaceDN w:val="0"/>
              <w:rPr>
                <w:rFonts w:hint="eastAsia" w:ascii="仿宋_GB2312" w:hAnsi="Calibri" w:eastAsia="仿宋_GB2312"/>
                <w:sz w:val="30"/>
                <w:szCs w:val="30"/>
              </w:rPr>
            </w:pPr>
          </w:p>
        </w:tc>
        <w:tc>
          <w:tcPr>
            <w:tcW w:w="2929" w:type="dxa"/>
            <w:vMerge w:val="continue"/>
            <w:tcBorders>
              <w:top w:val="nil"/>
            </w:tcBorders>
            <w:noWrap w:val="0"/>
            <w:vAlign w:val="top"/>
          </w:tcPr>
          <w:p>
            <w:pPr>
              <w:autoSpaceDE w:val="0"/>
              <w:autoSpaceDN w:val="0"/>
              <w:rPr>
                <w:rFonts w:hint="eastAsia" w:ascii="仿宋_GB2312" w:hAnsi="Calibri" w:eastAsia="仿宋_GB2312"/>
                <w:sz w:val="30"/>
                <w:szCs w:val="30"/>
              </w:rPr>
            </w:pPr>
          </w:p>
        </w:tc>
        <w:tc>
          <w:tcPr>
            <w:tcW w:w="5176" w:type="dxa"/>
            <w:noWrap w:val="0"/>
            <w:vAlign w:val="top"/>
          </w:tcPr>
          <w:p>
            <w:pPr>
              <w:pStyle w:val="56"/>
              <w:spacing w:before="133"/>
              <w:ind w:left="107"/>
              <w:rPr>
                <w:rFonts w:hint="eastAsia" w:ascii="仿宋_GB2312" w:eastAsia="仿宋_GB2312"/>
                <w:sz w:val="30"/>
                <w:szCs w:val="30"/>
              </w:rPr>
            </w:pPr>
            <w:r>
              <w:rPr>
                <w:rFonts w:hint="eastAsia" w:ascii="仿宋_GB2312" w:eastAsia="仿宋_GB2312"/>
                <w:spacing w:val="-2"/>
                <w:sz w:val="30"/>
                <w:szCs w:val="30"/>
              </w:rPr>
              <w:t>5</w:t>
            </w:r>
            <w:r>
              <w:rPr>
                <w:rFonts w:hint="eastAsia" w:ascii="仿宋_GB2312" w:eastAsia="仿宋_GB2312"/>
                <w:spacing w:val="-4"/>
                <w:sz w:val="30"/>
                <w:szCs w:val="30"/>
              </w:rPr>
              <w:t>、日常质控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58" w:type="dxa"/>
            <w:vMerge w:val="continue"/>
            <w:tcBorders>
              <w:top w:val="nil"/>
            </w:tcBorders>
            <w:noWrap w:val="0"/>
            <w:vAlign w:val="top"/>
          </w:tcPr>
          <w:p>
            <w:pPr>
              <w:autoSpaceDE w:val="0"/>
              <w:autoSpaceDN w:val="0"/>
              <w:rPr>
                <w:rFonts w:hint="eastAsia" w:ascii="仿宋_GB2312" w:hAnsi="Calibri" w:eastAsia="仿宋_GB2312"/>
                <w:sz w:val="30"/>
                <w:szCs w:val="30"/>
              </w:rPr>
            </w:pPr>
          </w:p>
        </w:tc>
        <w:tc>
          <w:tcPr>
            <w:tcW w:w="2929" w:type="dxa"/>
            <w:vMerge w:val="continue"/>
            <w:tcBorders>
              <w:top w:val="nil"/>
            </w:tcBorders>
            <w:noWrap w:val="0"/>
            <w:vAlign w:val="top"/>
          </w:tcPr>
          <w:p>
            <w:pPr>
              <w:autoSpaceDE w:val="0"/>
              <w:autoSpaceDN w:val="0"/>
              <w:rPr>
                <w:rFonts w:hint="eastAsia" w:ascii="仿宋_GB2312" w:hAnsi="Calibri" w:eastAsia="仿宋_GB2312"/>
                <w:sz w:val="30"/>
                <w:szCs w:val="30"/>
              </w:rPr>
            </w:pPr>
          </w:p>
        </w:tc>
        <w:tc>
          <w:tcPr>
            <w:tcW w:w="5176" w:type="dxa"/>
            <w:noWrap w:val="0"/>
            <w:vAlign w:val="top"/>
          </w:tcPr>
          <w:p>
            <w:pPr>
              <w:pStyle w:val="56"/>
              <w:spacing w:before="132"/>
              <w:ind w:left="107"/>
              <w:rPr>
                <w:rFonts w:hint="eastAsia" w:ascii="仿宋_GB2312" w:eastAsia="仿宋_GB2312"/>
                <w:sz w:val="30"/>
                <w:szCs w:val="30"/>
              </w:rPr>
            </w:pPr>
            <w:r>
              <w:rPr>
                <w:rFonts w:hint="eastAsia" w:ascii="仿宋_GB2312" w:eastAsia="仿宋_GB2312"/>
                <w:spacing w:val="-2"/>
                <w:sz w:val="30"/>
                <w:szCs w:val="30"/>
              </w:rPr>
              <w:t>6</w:t>
            </w:r>
            <w:r>
              <w:rPr>
                <w:rFonts w:hint="eastAsia" w:ascii="仿宋_GB2312" w:eastAsia="仿宋_GB2312"/>
                <w:spacing w:val="-3"/>
                <w:sz w:val="30"/>
                <w:szCs w:val="30"/>
              </w:rPr>
              <w:t>、设备异常维修、报告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58" w:type="dxa"/>
            <w:vMerge w:val="continue"/>
            <w:tcBorders>
              <w:top w:val="nil"/>
            </w:tcBorders>
            <w:noWrap w:val="0"/>
            <w:vAlign w:val="top"/>
          </w:tcPr>
          <w:p>
            <w:pPr>
              <w:autoSpaceDE w:val="0"/>
              <w:autoSpaceDN w:val="0"/>
              <w:rPr>
                <w:rFonts w:hint="eastAsia" w:ascii="仿宋_GB2312" w:hAnsi="Calibri" w:eastAsia="仿宋_GB2312"/>
                <w:sz w:val="30"/>
                <w:szCs w:val="30"/>
              </w:rPr>
            </w:pPr>
          </w:p>
        </w:tc>
        <w:tc>
          <w:tcPr>
            <w:tcW w:w="2929" w:type="dxa"/>
            <w:vMerge w:val="continue"/>
            <w:tcBorders>
              <w:top w:val="nil"/>
            </w:tcBorders>
            <w:noWrap w:val="0"/>
            <w:vAlign w:val="top"/>
          </w:tcPr>
          <w:p>
            <w:pPr>
              <w:autoSpaceDE w:val="0"/>
              <w:autoSpaceDN w:val="0"/>
              <w:rPr>
                <w:rFonts w:hint="eastAsia" w:ascii="仿宋_GB2312" w:hAnsi="Calibri" w:eastAsia="仿宋_GB2312"/>
                <w:sz w:val="30"/>
                <w:szCs w:val="30"/>
              </w:rPr>
            </w:pPr>
          </w:p>
        </w:tc>
        <w:tc>
          <w:tcPr>
            <w:tcW w:w="5176" w:type="dxa"/>
            <w:noWrap w:val="0"/>
            <w:vAlign w:val="top"/>
          </w:tcPr>
          <w:p>
            <w:pPr>
              <w:pStyle w:val="56"/>
              <w:spacing w:before="132"/>
              <w:ind w:left="107"/>
              <w:rPr>
                <w:rFonts w:hint="eastAsia" w:ascii="仿宋_GB2312" w:eastAsia="仿宋_GB2312"/>
                <w:sz w:val="30"/>
                <w:szCs w:val="30"/>
              </w:rPr>
            </w:pPr>
            <w:r>
              <w:rPr>
                <w:rFonts w:hint="eastAsia" w:ascii="仿宋_GB2312" w:eastAsia="仿宋_GB2312"/>
                <w:spacing w:val="-2"/>
                <w:sz w:val="30"/>
                <w:szCs w:val="30"/>
              </w:rPr>
              <w:t>7</w:t>
            </w:r>
            <w:r>
              <w:rPr>
                <w:rFonts w:hint="eastAsia" w:ascii="仿宋_GB2312" w:eastAsia="仿宋_GB2312"/>
                <w:spacing w:val="-3"/>
                <w:sz w:val="30"/>
                <w:szCs w:val="30"/>
              </w:rPr>
              <w:t>、每日、每周报告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958" w:type="dxa"/>
            <w:vMerge w:val="continue"/>
            <w:tcBorders>
              <w:top w:val="nil"/>
            </w:tcBorders>
            <w:noWrap w:val="0"/>
            <w:vAlign w:val="top"/>
          </w:tcPr>
          <w:p>
            <w:pPr>
              <w:autoSpaceDE w:val="0"/>
              <w:autoSpaceDN w:val="0"/>
              <w:rPr>
                <w:rFonts w:hint="eastAsia" w:ascii="仿宋_GB2312" w:hAnsi="Calibri" w:eastAsia="仿宋_GB2312"/>
                <w:sz w:val="30"/>
                <w:szCs w:val="30"/>
              </w:rPr>
            </w:pPr>
          </w:p>
        </w:tc>
        <w:tc>
          <w:tcPr>
            <w:tcW w:w="2929" w:type="dxa"/>
            <w:vMerge w:val="continue"/>
            <w:tcBorders>
              <w:top w:val="nil"/>
            </w:tcBorders>
            <w:noWrap w:val="0"/>
            <w:vAlign w:val="top"/>
          </w:tcPr>
          <w:p>
            <w:pPr>
              <w:autoSpaceDE w:val="0"/>
              <w:autoSpaceDN w:val="0"/>
              <w:rPr>
                <w:rFonts w:hint="eastAsia" w:ascii="仿宋_GB2312" w:hAnsi="Calibri" w:eastAsia="仿宋_GB2312"/>
                <w:sz w:val="30"/>
                <w:szCs w:val="30"/>
              </w:rPr>
            </w:pPr>
          </w:p>
        </w:tc>
        <w:tc>
          <w:tcPr>
            <w:tcW w:w="5176" w:type="dxa"/>
            <w:noWrap w:val="0"/>
            <w:vAlign w:val="top"/>
          </w:tcPr>
          <w:p>
            <w:pPr>
              <w:pStyle w:val="56"/>
              <w:spacing w:before="135"/>
              <w:ind w:left="107"/>
              <w:rPr>
                <w:rFonts w:hint="eastAsia" w:ascii="仿宋_GB2312" w:eastAsia="仿宋_GB2312"/>
                <w:sz w:val="30"/>
                <w:szCs w:val="30"/>
              </w:rPr>
            </w:pPr>
            <w:r>
              <w:rPr>
                <w:rFonts w:hint="eastAsia" w:ascii="仿宋_GB2312" w:eastAsia="仿宋_GB2312"/>
                <w:spacing w:val="-2"/>
                <w:sz w:val="30"/>
                <w:szCs w:val="30"/>
              </w:rPr>
              <w:t>8</w:t>
            </w:r>
            <w:r>
              <w:rPr>
                <w:rFonts w:hint="eastAsia" w:ascii="仿宋_GB2312" w:eastAsia="仿宋_GB2312"/>
                <w:spacing w:val="-3"/>
                <w:sz w:val="30"/>
                <w:szCs w:val="30"/>
              </w:rPr>
              <w:t>、月度、年度报告</w:t>
            </w:r>
          </w:p>
        </w:tc>
      </w:tr>
    </w:tbl>
    <w:p>
      <w:pPr>
        <w:pStyle w:val="30"/>
      </w:pPr>
      <w:r>
        <w:rPr>
          <w:rFonts w:hint="eastAsia"/>
        </w:rPr>
        <w:t>（2）</w:t>
      </w:r>
      <w:r>
        <w:t>备件与耗材要求</w:t>
      </w:r>
    </w:p>
    <w:p>
      <w:pPr>
        <w:pStyle w:val="30"/>
        <w:rPr>
          <w:rFonts w:hint="eastAsia"/>
        </w:rPr>
      </w:pPr>
      <w:r>
        <w:t>为保证运维期间TOF-MS VOCs走航车的正常使用，运维单位必须提供兼容现有产品的标气、耗材、备品备件。提供的标气、耗材</w:t>
      </w:r>
      <w:r>
        <w:rPr>
          <w:rFonts w:hint="eastAsia"/>
          <w:lang w:val="en-US" w:eastAsia="zh-CN"/>
        </w:rPr>
        <w:t>及</w:t>
      </w:r>
      <w:r>
        <w:t>备品备件</w:t>
      </w:r>
      <w:r>
        <w:rPr>
          <w:rFonts w:hint="eastAsia"/>
          <w:lang w:val="en-US" w:eastAsia="zh-CN"/>
        </w:rPr>
        <w:t>可溯源</w:t>
      </w:r>
      <w:r>
        <w:t>。</w:t>
      </w:r>
    </w:p>
    <w:p>
      <w:pPr>
        <w:pStyle w:val="30"/>
        <w:ind w:firstLine="0" w:firstLineChars="0"/>
        <w:jc w:val="center"/>
        <w:rPr>
          <w:rFonts w:hint="eastAsia"/>
        </w:rPr>
      </w:pPr>
      <w:r>
        <w:rPr>
          <w:rFonts w:hint="eastAsia"/>
          <w:spacing w:val="-36"/>
          <w:sz w:val="30"/>
          <w:szCs w:val="30"/>
        </w:rPr>
        <w:t xml:space="preserve">表 </w:t>
      </w:r>
      <w:r>
        <w:rPr>
          <w:rFonts w:hint="eastAsia"/>
          <w:sz w:val="30"/>
          <w:szCs w:val="30"/>
        </w:rPr>
        <w:t>3 TOF-MS</w:t>
      </w:r>
      <w:r>
        <w:rPr>
          <w:rFonts w:hint="eastAsia"/>
          <w:spacing w:val="-25"/>
          <w:sz w:val="30"/>
          <w:szCs w:val="30"/>
        </w:rPr>
        <w:t xml:space="preserve"> </w:t>
      </w:r>
      <w:r>
        <w:rPr>
          <w:rFonts w:hint="eastAsia"/>
          <w:sz w:val="30"/>
          <w:szCs w:val="30"/>
        </w:rPr>
        <w:t>VOCs</w:t>
      </w:r>
      <w:r>
        <w:rPr>
          <w:rFonts w:hint="eastAsia"/>
          <w:spacing w:val="-10"/>
          <w:sz w:val="30"/>
          <w:szCs w:val="30"/>
        </w:rPr>
        <w:t xml:space="preserve"> 走航车涉及的耗材、备</w:t>
      </w:r>
      <w:bookmarkStart w:id="0" w:name="_GoBack"/>
      <w:bookmarkEnd w:id="0"/>
      <w:r>
        <w:rPr>
          <w:rFonts w:hint="eastAsia"/>
          <w:spacing w:val="-10"/>
          <w:sz w:val="30"/>
          <w:szCs w:val="30"/>
        </w:rPr>
        <w:t>品备件、标气</w:t>
      </w: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73"/>
        <w:gridCol w:w="2699"/>
        <w:gridCol w:w="1805"/>
        <w:gridCol w:w="19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名称</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产品型号</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运维期</w:t>
            </w:r>
          </w:p>
        </w:tc>
        <w:tc>
          <w:tcPr>
            <w:tcW w:w="1028"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trPr>
        <w:tc>
          <w:tcPr>
            <w:tcW w:w="5000" w:type="pct"/>
            <w:gridSpan w:val="4"/>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耗材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蝶形囊式过滤器</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VMS-100</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VOCs在线质谱监测仪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样品过滤膜</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T101</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restar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H</w:t>
            </w:r>
            <w:r>
              <w:rPr>
                <w:rFonts w:hint="eastAsia" w:ascii="仿宋_GB2312" w:hAnsi="宋体" w:eastAsia="仿宋_GB2312"/>
                <w:sz w:val="28"/>
                <w:szCs w:val="28"/>
                <w:vertAlign w:val="subscript"/>
                <w:lang w:val="zh-CN"/>
              </w:rPr>
              <w:t>2</w:t>
            </w:r>
            <w:r>
              <w:rPr>
                <w:rFonts w:hint="eastAsia" w:ascii="仿宋_GB2312" w:hAnsi="宋体" w:eastAsia="仿宋_GB2312"/>
                <w:sz w:val="28"/>
                <w:szCs w:val="28"/>
                <w:lang w:val="zh-CN"/>
              </w:rPr>
              <w:t>S分析仪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烧结过滤器</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T101</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O形圈</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T101</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5A型分子筛</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restar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零气发生器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椰壳活性炭</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气体净化剂</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催化燃烧催化剂</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5000" w:type="pct"/>
            <w:gridSpan w:val="4"/>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备品备件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氘灯</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30W</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restar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VOCs在线质谱监测仪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微通道板</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全量程真空规</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低量程真空规</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滤光片</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restar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H</w:t>
            </w:r>
            <w:r>
              <w:rPr>
                <w:rFonts w:hint="eastAsia" w:ascii="仿宋_GB2312" w:hAnsi="宋体" w:eastAsia="仿宋_GB2312"/>
                <w:sz w:val="28"/>
                <w:szCs w:val="28"/>
                <w:vertAlign w:val="subscript"/>
                <w:lang w:val="zh-CN"/>
              </w:rPr>
              <w:t>2</w:t>
            </w:r>
            <w:r>
              <w:rPr>
                <w:rFonts w:hint="eastAsia" w:ascii="仿宋_GB2312" w:hAnsi="宋体" w:eastAsia="仿宋_GB2312"/>
                <w:sz w:val="28"/>
                <w:szCs w:val="28"/>
                <w:lang w:val="zh-CN"/>
              </w:rPr>
              <w:t>S分析仪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紫外灯</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紫外灯驱动板</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温度控制器</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restar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NH</w:t>
            </w:r>
            <w:r>
              <w:rPr>
                <w:rFonts w:hint="eastAsia" w:ascii="仿宋_GB2312" w:hAnsi="宋体" w:eastAsia="仿宋_GB2312"/>
                <w:sz w:val="28"/>
                <w:szCs w:val="28"/>
                <w:vertAlign w:val="subscript"/>
                <w:lang w:val="zh-CN"/>
              </w:rPr>
              <w:t>3</w:t>
            </w:r>
            <w:r>
              <w:rPr>
                <w:rFonts w:hint="eastAsia" w:ascii="仿宋_GB2312" w:hAnsi="宋体" w:eastAsia="仿宋_GB2312"/>
                <w:sz w:val="28"/>
                <w:szCs w:val="28"/>
                <w:lang w:val="zh-CN"/>
              </w:rPr>
              <w:t>分析仪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固态继电器</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herriott腔硅胶加热片</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激光器模块硅胶加热片</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隔膜正空泵</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阻流器</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通用三通电磁阀模块</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restar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动态校准仪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两位三通电磁阀模块</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阻流器</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气体流量传感器</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量程1000SCCM</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压力传感器板</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AQMS-200</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流量传感器板</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AQMS-200</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温控板</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MFC-2000</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梭子阀</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restar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零气发生器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活性炭罐装配</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洗涤器筒体装配</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CO转化模块</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储气罐</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trPr>
        <w:tc>
          <w:tcPr>
            <w:tcW w:w="5000" w:type="pct"/>
            <w:gridSpan w:val="4"/>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标气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1547"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TO-15/N2&amp;TO-15</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标准因子65种：1ppm&amp;余N2&amp;1L&amp;含瓶</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1547" w:type="pct"/>
            <w:noWrap w:val="0"/>
            <w:vAlign w:val="center"/>
          </w:tcPr>
          <w:p>
            <w:pPr>
              <w:jc w:val="center"/>
              <w:rPr>
                <w:rFonts w:hint="eastAsia" w:ascii="仿宋_GB2312" w:hAnsi="宋体" w:eastAsia="仿宋_GB2312"/>
                <w:sz w:val="21"/>
                <w:szCs w:val="21"/>
                <w:lang w:val="en-US" w:eastAsia="zh-CN"/>
              </w:rPr>
            </w:pPr>
            <w:r>
              <w:rPr>
                <w:rFonts w:hint="eastAsia" w:ascii="仿宋_GB2312" w:hAnsi="宋体" w:eastAsia="仿宋_GB2312"/>
                <w:sz w:val="28"/>
                <w:szCs w:val="28"/>
                <w:lang w:val="zh-CN"/>
              </w:rPr>
              <w:t>标气</w:t>
            </w:r>
            <w:r>
              <w:rPr>
                <w:rFonts w:hint="eastAsia" w:ascii="仿宋_GB2312" w:hAnsi="宋体" w:eastAsia="仿宋_GB2312"/>
                <w:sz w:val="28"/>
                <w:szCs w:val="28"/>
                <w:highlight w:val="none"/>
                <w:lang w:val="zh-CN"/>
              </w:rPr>
              <w:t>N</w:t>
            </w:r>
            <w:r>
              <w:rPr>
                <w:rFonts w:hint="eastAsia" w:ascii="仿宋_GB2312" w:hAnsi="宋体" w:eastAsia="仿宋_GB2312"/>
                <w:sz w:val="21"/>
                <w:szCs w:val="21"/>
                <w:highlight w:val="none"/>
                <w:lang w:val="en-US" w:eastAsia="zh-CN"/>
              </w:rPr>
              <w:t>2</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N2:99.999%，8L</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547" w:type="pct"/>
            <w:noWrap w:val="0"/>
            <w:vAlign w:val="center"/>
          </w:tcPr>
          <w:p>
            <w:pPr>
              <w:jc w:val="center"/>
              <w:rPr>
                <w:rFonts w:hint="eastAsia" w:ascii="仿宋_GB2312" w:hAnsi="宋体" w:eastAsia="仿宋_GB2312"/>
                <w:sz w:val="28"/>
                <w:szCs w:val="28"/>
                <w:lang w:val="zh-CN" w:eastAsia="zh-CN"/>
              </w:rPr>
            </w:pPr>
            <w:r>
              <w:rPr>
                <w:rFonts w:hint="eastAsia" w:ascii="仿宋_GB2312" w:hAnsi="宋体" w:eastAsia="仿宋_GB2312" w:cs="仿宋"/>
                <w:color w:val="000000"/>
                <w:sz w:val="28"/>
                <w:szCs w:val="28"/>
              </w:rPr>
              <w:t>标气SO</w:t>
            </w:r>
            <w:r>
              <w:rPr>
                <w:rFonts w:hint="eastAsia" w:ascii="仿宋_GB2312" w:hAnsi="宋体" w:eastAsia="仿宋_GB2312" w:cs="Times New Roman"/>
                <w:sz w:val="21"/>
                <w:szCs w:val="21"/>
                <w:highlight w:val="none"/>
                <w:lang w:val="en-US" w:eastAsia="zh-CN"/>
              </w:rPr>
              <w:t>2</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50ppm，8L</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547" w:type="pct"/>
            <w:noWrap w:val="0"/>
            <w:vAlign w:val="center"/>
          </w:tcPr>
          <w:p>
            <w:pPr>
              <w:jc w:val="center"/>
              <w:rPr>
                <w:rFonts w:hint="eastAsia" w:ascii="仿宋_GB2312" w:hAnsi="宋体" w:eastAsia="仿宋_GB2312" w:cs="仿宋"/>
                <w:color w:val="000000"/>
                <w:sz w:val="28"/>
                <w:szCs w:val="28"/>
              </w:rPr>
            </w:pPr>
            <w:r>
              <w:rPr>
                <w:rFonts w:hint="eastAsia" w:ascii="仿宋_GB2312" w:hAnsi="宋体" w:eastAsia="仿宋_GB2312" w:cs="仿宋"/>
                <w:color w:val="000000"/>
                <w:sz w:val="28"/>
                <w:szCs w:val="28"/>
              </w:rPr>
              <w:t>标气NO</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50ppm，8L</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547" w:type="pct"/>
            <w:noWrap w:val="0"/>
            <w:vAlign w:val="center"/>
          </w:tcPr>
          <w:p>
            <w:pPr>
              <w:jc w:val="center"/>
              <w:rPr>
                <w:rFonts w:hint="eastAsia" w:ascii="仿宋_GB2312" w:hAnsi="宋体" w:eastAsia="仿宋_GB2312" w:cs="仿宋"/>
                <w:color w:val="000000"/>
                <w:sz w:val="28"/>
                <w:szCs w:val="28"/>
              </w:rPr>
            </w:pPr>
            <w:r>
              <w:rPr>
                <w:rFonts w:hint="eastAsia" w:ascii="仿宋_GB2312" w:hAnsi="宋体" w:eastAsia="仿宋_GB2312" w:cs="仿宋"/>
                <w:color w:val="000000"/>
                <w:sz w:val="28"/>
                <w:szCs w:val="28"/>
              </w:rPr>
              <w:t>PAMs</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57种常见VOCs</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547" w:type="pct"/>
            <w:noWrap w:val="0"/>
            <w:vAlign w:val="center"/>
          </w:tcPr>
          <w:p>
            <w:pPr>
              <w:jc w:val="center"/>
              <w:rPr>
                <w:rFonts w:hint="eastAsia" w:ascii="仿宋_GB2312" w:hAnsi="宋体" w:eastAsia="仿宋_GB2312" w:cs="仿宋"/>
                <w:color w:val="000000"/>
                <w:sz w:val="28"/>
                <w:szCs w:val="28"/>
              </w:rPr>
            </w:pPr>
            <w:r>
              <w:rPr>
                <w:rFonts w:hint="eastAsia" w:ascii="仿宋_GB2312" w:hAnsi="宋体" w:eastAsia="仿宋_GB2312" w:cs="仿宋"/>
                <w:color w:val="000000"/>
                <w:sz w:val="28"/>
                <w:szCs w:val="28"/>
              </w:rPr>
              <w:t>OVOCs</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13种含氧类VOCs</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547" w:type="pct"/>
            <w:noWrap w:val="0"/>
            <w:vAlign w:val="center"/>
          </w:tcPr>
          <w:p>
            <w:pPr>
              <w:jc w:val="center"/>
              <w:rPr>
                <w:rFonts w:hint="eastAsia" w:ascii="仿宋_GB2312" w:hAnsi="宋体" w:eastAsia="仿宋_GB2312" w:cs="仿宋"/>
                <w:color w:val="000000"/>
                <w:sz w:val="28"/>
                <w:szCs w:val="28"/>
              </w:rPr>
            </w:pPr>
            <w:r>
              <w:rPr>
                <w:rFonts w:hint="eastAsia" w:ascii="仿宋_GB2312" w:hAnsi="宋体" w:eastAsia="仿宋_GB2312" w:cs="仿宋"/>
                <w:color w:val="000000"/>
                <w:sz w:val="28"/>
                <w:szCs w:val="28"/>
              </w:rPr>
              <w:t>有机胺</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8种含氮类VOCs</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547" w:type="pct"/>
            <w:noWrap w:val="0"/>
            <w:vAlign w:val="center"/>
          </w:tcPr>
          <w:p>
            <w:pPr>
              <w:jc w:val="center"/>
              <w:rPr>
                <w:rFonts w:hint="eastAsia" w:ascii="仿宋_GB2312" w:hAnsi="宋体" w:eastAsia="仿宋_GB2312" w:cs="仿宋"/>
                <w:color w:val="000000"/>
                <w:sz w:val="28"/>
                <w:szCs w:val="28"/>
              </w:rPr>
            </w:pPr>
            <w:r>
              <w:rPr>
                <w:rFonts w:hint="eastAsia" w:ascii="仿宋_GB2312" w:hAnsi="宋体" w:eastAsia="仿宋_GB2312" w:cs="仿宋"/>
                <w:color w:val="000000"/>
                <w:sz w:val="28"/>
                <w:szCs w:val="28"/>
              </w:rPr>
              <w:t>有机硫</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11种含硫类VOCs</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noWrap w:val="0"/>
            <w:vAlign w:val="center"/>
          </w:tcPr>
          <w:p>
            <w:pPr>
              <w:jc w:val="center"/>
              <w:rPr>
                <w:rFonts w:hint="eastAsia" w:ascii="仿宋_GB2312" w:hAnsi="宋体" w:eastAsia="仿宋_GB2312"/>
                <w:sz w:val="28"/>
                <w:szCs w:val="28"/>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547" w:type="pct"/>
            <w:noWrap w:val="0"/>
            <w:vAlign w:val="center"/>
          </w:tcPr>
          <w:p>
            <w:pPr>
              <w:jc w:val="center"/>
              <w:rPr>
                <w:rFonts w:hint="eastAsia" w:ascii="仿宋_GB2312" w:hAnsi="宋体" w:eastAsia="仿宋_GB2312" w:cs="仿宋"/>
                <w:color w:val="000000"/>
                <w:sz w:val="28"/>
                <w:szCs w:val="28"/>
              </w:rPr>
            </w:pPr>
            <w:r>
              <w:rPr>
                <w:rFonts w:hint="eastAsia" w:ascii="仿宋_GB2312" w:hAnsi="宋体" w:eastAsia="仿宋_GB2312" w:cs="仿宋"/>
                <w:color w:val="000000"/>
                <w:sz w:val="28"/>
                <w:szCs w:val="28"/>
              </w:rPr>
              <w:t>苯系物</w:t>
            </w:r>
          </w:p>
        </w:tc>
        <w:tc>
          <w:tcPr>
            <w:tcW w:w="1453"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苯、甲苯、对二甲苯</w:t>
            </w:r>
          </w:p>
        </w:tc>
        <w:tc>
          <w:tcPr>
            <w:tcW w:w="972" w:type="pct"/>
            <w:noWrap w:val="0"/>
            <w:vAlign w:val="center"/>
          </w:tcPr>
          <w:p>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noWrap w:val="0"/>
            <w:vAlign w:val="center"/>
          </w:tcPr>
          <w:p>
            <w:pPr>
              <w:jc w:val="center"/>
              <w:rPr>
                <w:rFonts w:hint="eastAsia" w:ascii="仿宋_GB2312" w:hAnsi="宋体" w:eastAsia="仿宋_GB2312"/>
                <w:sz w:val="28"/>
                <w:szCs w:val="28"/>
                <w:lang w:val="zh-CN"/>
              </w:rPr>
            </w:pPr>
          </w:p>
        </w:tc>
      </w:tr>
    </w:tbl>
    <w:p>
      <w:pPr>
        <w:pStyle w:val="30"/>
      </w:pPr>
      <w:r>
        <w:rPr>
          <w:rFonts w:hint="eastAsia"/>
        </w:rPr>
        <w:t>1</w:t>
      </w:r>
      <w:r>
        <w:t>.4运维具体工作内容</w:t>
      </w:r>
    </w:p>
    <w:p>
      <w:pPr>
        <w:pStyle w:val="30"/>
      </w:pPr>
      <w:r>
        <w:rPr>
          <w:rFonts w:hint="eastAsia"/>
        </w:rPr>
        <w:t>（1）</w:t>
      </w:r>
      <w:r>
        <w:t>总体工作内容</w:t>
      </w:r>
    </w:p>
    <w:p>
      <w:pPr>
        <w:pStyle w:val="30"/>
      </w:pPr>
      <w:r>
        <w:t>在日常维护中要做好维护记录，具体运维服务内容至少包含日、周、月、年度的运维服务，每年向采购单位上报故障点的汇总报表。日常维护计划分为例行维护和报修响应维护。报修响应维护严格执行维护响应流程，并做好每日记录及报表，汇总及维护情况分析，包括报修情况分析，设备维修情况分析。当仪器出现故障不能及时修复时，应在72小时之内使用备机开展监测。</w:t>
      </w:r>
    </w:p>
    <w:p>
      <w:pPr>
        <w:pStyle w:val="30"/>
      </w:pPr>
      <w:r>
        <w:rPr>
          <w:rFonts w:hint="eastAsia"/>
        </w:rPr>
        <w:t>（2）</w:t>
      </w:r>
      <w:r>
        <w:t>环境运维工作内容</w:t>
      </w:r>
    </w:p>
    <w:p>
      <w:pPr>
        <w:pStyle w:val="30"/>
        <w:ind w:firstLine="616"/>
      </w:pPr>
      <w:r>
        <w:rPr>
          <w:spacing w:val="-6"/>
        </w:rPr>
        <w:t>1</w:t>
      </w:r>
      <w:r>
        <w:rPr>
          <w:rFonts w:hint="eastAsia"/>
          <w:spacing w:val="-6"/>
        </w:rPr>
        <w:t>）</w:t>
      </w:r>
      <w:r>
        <w:t>走航车内部环境清洁，布置整齐，各仪器设备整洁，设备标识清楚；</w:t>
      </w:r>
    </w:p>
    <w:p>
      <w:pPr>
        <w:pStyle w:val="30"/>
      </w:pPr>
      <w:r>
        <w:rPr>
          <w:rFonts w:hint="eastAsia"/>
        </w:rPr>
        <w:t>2）</w:t>
      </w:r>
      <w:r>
        <w:t>检查电路系统和通讯系统，保证系统供电正常，电压稳定；</w:t>
      </w:r>
    </w:p>
    <w:p>
      <w:pPr>
        <w:pStyle w:val="30"/>
      </w:pPr>
      <w:r>
        <w:rPr>
          <w:rFonts w:hint="eastAsia"/>
        </w:rPr>
        <w:t>3）</w:t>
      </w:r>
      <w:r>
        <w:t>定期检查消防、报警安全设施；</w:t>
      </w:r>
    </w:p>
    <w:p>
      <w:pPr>
        <w:pStyle w:val="30"/>
      </w:pPr>
      <w:r>
        <w:t>4）进行维护时，应规范操作，注意安全；</w:t>
      </w:r>
    </w:p>
    <w:p>
      <w:pPr>
        <w:pStyle w:val="30"/>
      </w:pPr>
      <w:r>
        <w:rPr>
          <w:rFonts w:hint="eastAsia"/>
        </w:rPr>
        <w:t>5</w:t>
      </w:r>
      <w:r>
        <w:t>）设备固定牢固，门窗关闭良好，人走关门；</w:t>
      </w:r>
    </w:p>
    <w:p>
      <w:pPr>
        <w:pStyle w:val="30"/>
      </w:pPr>
      <w:r>
        <w:t>6</w:t>
      </w:r>
      <w:r>
        <w:rPr>
          <w:rFonts w:hint="eastAsia"/>
        </w:rPr>
        <w:t>）</w:t>
      </w:r>
      <w:r>
        <w:t>检查外部环境是否正常，有没有对测定结果或运行环境存在明显影响的污染源，并做好记录；</w:t>
      </w:r>
    </w:p>
    <w:p>
      <w:pPr>
        <w:pStyle w:val="30"/>
      </w:pPr>
      <w:r>
        <w:t>7</w:t>
      </w:r>
      <w:r>
        <w:rPr>
          <w:rFonts w:hint="eastAsia"/>
        </w:rPr>
        <w:t>）</w:t>
      </w:r>
      <w:r>
        <w:t>每周检查监测仪器散热风扇污染情况，及时清洗。</w:t>
      </w:r>
    </w:p>
    <w:p>
      <w:pPr>
        <w:pStyle w:val="30"/>
      </w:pPr>
      <w:r>
        <w:rPr>
          <w:rFonts w:hint="eastAsia"/>
        </w:rPr>
        <w:t>（3）</w:t>
      </w:r>
      <w:r>
        <w:t>仪器运维工作内容</w:t>
      </w:r>
    </w:p>
    <w:p>
      <w:pPr>
        <w:pStyle w:val="30"/>
      </w:pPr>
      <w:r>
        <w:t>1</w:t>
      </w:r>
      <w:r>
        <w:rPr>
          <w:rFonts w:hint="eastAsia"/>
        </w:rPr>
        <w:t>）</w:t>
      </w:r>
      <w:r>
        <w:t>判断系统数据采集与传输情况。</w:t>
      </w:r>
    </w:p>
    <w:p>
      <w:pPr>
        <w:pStyle w:val="30"/>
      </w:pPr>
      <w:r>
        <w:t>2</w:t>
      </w:r>
      <w:r>
        <w:rPr>
          <w:rFonts w:hint="eastAsia"/>
        </w:rPr>
        <w:t>）</w:t>
      </w:r>
      <w:r>
        <w:t>检查各分析仪器的运行状况和工作参数，判断是否正常，如有异常情况及时处理，保证仪器运行正常。</w:t>
      </w:r>
    </w:p>
    <w:p>
      <w:pPr>
        <w:pStyle w:val="30"/>
      </w:pPr>
      <w:r>
        <w:rPr>
          <w:highlight w:val="none"/>
        </w:rPr>
        <w:t>3</w:t>
      </w:r>
      <w:r>
        <w:rPr>
          <w:rFonts w:hint="eastAsia"/>
          <w:highlight w:val="none"/>
        </w:rPr>
        <w:t>）</w:t>
      </w:r>
      <w:r>
        <w:t>每</w:t>
      </w:r>
      <w:r>
        <w:rPr>
          <w:rFonts w:hint="eastAsia"/>
          <w:lang w:eastAsia="zh-CN"/>
        </w:rPr>
        <w:t>日</w:t>
      </w:r>
      <w:r>
        <w:t>检查走航车油量，水温，胎压等。</w:t>
      </w:r>
    </w:p>
    <w:p>
      <w:pPr>
        <w:pStyle w:val="30"/>
      </w:pPr>
      <w:r>
        <w:t>4</w:t>
      </w:r>
      <w:r>
        <w:rPr>
          <w:rFonts w:hint="eastAsia"/>
        </w:rPr>
        <w:t>）</w:t>
      </w:r>
      <w:r>
        <w:t>每周对质谱分析仪进行一次定点检查；对硫化氢分析仪进行一次零点跨度检查/校准；至少一次系统检查，检查仪器运行工况、标气使用情况等</w:t>
      </w:r>
      <w:r>
        <w:rPr>
          <w:rFonts w:hint="eastAsia"/>
        </w:rPr>
        <w:t>。</w:t>
      </w:r>
    </w:p>
    <w:p>
      <w:pPr>
        <w:pStyle w:val="30"/>
      </w:pPr>
      <w:r>
        <w:t>5</w:t>
      </w:r>
      <w:r>
        <w:rPr>
          <w:rFonts w:hint="eastAsia"/>
        </w:rPr>
        <w:t>）</w:t>
      </w:r>
      <w:r>
        <w:t>每月检查设备是否齐备，有无丢失和损坏；检查接地线路是否正常，排风排气装置工作是否正常。</w:t>
      </w:r>
    </w:p>
    <w:p>
      <w:pPr>
        <w:pStyle w:val="30"/>
      </w:pPr>
      <w:r>
        <w:rPr>
          <w:rFonts w:hint="eastAsia"/>
        </w:rPr>
        <w:t>6）</w:t>
      </w:r>
      <w:r>
        <w:t>每月检查采样和排气管路是否有漏气或堵塞现象，各分析仪器采样流量是否正常。</w:t>
      </w:r>
    </w:p>
    <w:p>
      <w:pPr>
        <w:pStyle w:val="30"/>
      </w:pPr>
      <w:r>
        <w:rPr>
          <w:highlight w:val="none"/>
        </w:rPr>
        <w:t>7</w:t>
      </w:r>
      <w:r>
        <w:rPr>
          <w:rFonts w:hint="eastAsia"/>
          <w:highlight w:val="none"/>
        </w:rPr>
        <w:t>）</w:t>
      </w:r>
      <w:r>
        <w:t>每月对氨气分析仪进行一次零点校准；对所有设备及数据采集仪时钟进行检查。</w:t>
      </w:r>
    </w:p>
    <w:p>
      <w:pPr>
        <w:pStyle w:val="30"/>
      </w:pPr>
      <w:r>
        <w:t>8</w:t>
      </w:r>
      <w:r>
        <w:rPr>
          <w:rFonts w:hint="eastAsia"/>
        </w:rPr>
        <w:t>）</w:t>
      </w:r>
      <w:r>
        <w:t>质谱分析仪每季度滤膜更换1次，每季度维护1次。对硫化氢分析仪滤膜更换1次；对氨气分析仪滤膜更换1次。</w:t>
      </w:r>
    </w:p>
    <w:p>
      <w:pPr>
        <w:pStyle w:val="30"/>
      </w:pPr>
      <w:r>
        <w:rPr>
          <w:rFonts w:hint="eastAsia"/>
        </w:rPr>
        <w:t>9</w:t>
      </w:r>
      <w:r>
        <w:rPr>
          <w:rFonts w:hint="eastAsia"/>
          <w:highlight w:val="none"/>
        </w:rPr>
        <w:t>）</w:t>
      </w:r>
      <w:r>
        <w:t>每月对所有设备及数据采集仪时钟进行检查。</w:t>
      </w:r>
    </w:p>
    <w:p>
      <w:pPr>
        <w:pStyle w:val="30"/>
      </w:pPr>
      <w:r>
        <w:t>10</w:t>
      </w:r>
      <w:r>
        <w:rPr>
          <w:rFonts w:hint="eastAsia"/>
        </w:rPr>
        <w:t>）</w:t>
      </w:r>
      <w:r>
        <w:t>每季度对数据进行备份留档</w:t>
      </w:r>
      <w:r>
        <w:rPr>
          <w:rFonts w:hint="eastAsia"/>
        </w:rPr>
        <w:t>。</w:t>
      </w:r>
    </w:p>
    <w:p>
      <w:pPr>
        <w:pStyle w:val="30"/>
      </w:pPr>
      <w:r>
        <w:rPr>
          <w:rFonts w:hint="eastAsia"/>
        </w:rPr>
        <w:t>（4）</w:t>
      </w:r>
      <w:r>
        <w:t>档案管理工作内容</w:t>
      </w:r>
    </w:p>
    <w:p>
      <w:pPr>
        <w:pStyle w:val="30"/>
      </w:pPr>
      <w:r>
        <w:t>将走航车的运行过程和运行事件进行详细记录，并进行归档管理。相关记录至少应包括：</w:t>
      </w:r>
    </w:p>
    <w:p>
      <w:pPr>
        <w:pStyle w:val="30"/>
      </w:pPr>
      <w:r>
        <w:t>1</w:t>
      </w:r>
      <w:r>
        <w:rPr>
          <w:rFonts w:hint="eastAsia"/>
        </w:rPr>
        <w:t>）</w:t>
      </w:r>
      <w:r>
        <w:t>仪器运行维护（含检查/校准）记录表。</w:t>
      </w:r>
    </w:p>
    <w:p>
      <w:pPr>
        <w:pStyle w:val="30"/>
      </w:pPr>
      <w:r>
        <w:t>2</w:t>
      </w:r>
      <w:r>
        <w:rPr>
          <w:rFonts w:hint="eastAsia"/>
        </w:rPr>
        <w:t>）</w:t>
      </w:r>
      <w:r>
        <w:t>仪器设备维修记录表。</w:t>
      </w:r>
    </w:p>
    <w:p>
      <w:pPr>
        <w:pStyle w:val="30"/>
      </w:pPr>
      <w:r>
        <w:rPr>
          <w:rFonts w:hint="eastAsia"/>
        </w:rPr>
        <w:t>3）</w:t>
      </w:r>
      <w:r>
        <w:t>备品备件管理记录表。</w:t>
      </w:r>
    </w:p>
    <w:p>
      <w:pPr>
        <w:pStyle w:val="30"/>
      </w:pPr>
      <w:r>
        <w:t>4</w:t>
      </w:r>
      <w:r>
        <w:rPr>
          <w:rFonts w:hint="eastAsia"/>
        </w:rPr>
        <w:t>）</w:t>
      </w:r>
      <w:r>
        <w:t>主要消耗材料使用登记表。</w:t>
      </w:r>
    </w:p>
    <w:p>
      <w:pPr>
        <w:pStyle w:val="30"/>
      </w:pPr>
      <w:r>
        <w:t>5</w:t>
      </w:r>
      <w:r>
        <w:rPr>
          <w:rFonts w:hint="eastAsia"/>
        </w:rPr>
        <w:t>）</w:t>
      </w:r>
      <w:r>
        <w:t>标准物质使用记录。</w:t>
      </w:r>
    </w:p>
    <w:p>
      <w:pPr>
        <w:pStyle w:val="30"/>
      </w:pPr>
      <w:r>
        <w:rPr>
          <w:rFonts w:hint="eastAsia"/>
        </w:rPr>
        <w:t>（5）监测报告工作内容</w:t>
      </w:r>
    </w:p>
    <w:p>
      <w:pPr>
        <w:pStyle w:val="30"/>
        <w:rPr>
          <w:rFonts w:hint="eastAsia"/>
        </w:rPr>
      </w:pPr>
      <w:r>
        <w:rPr>
          <w:rFonts w:hint="eastAsia"/>
        </w:rPr>
        <w:t>在走航监测完成后，需提供相应日常监测报告或应急监测报告。要求每年报出日常监测报告不少于1</w:t>
      </w:r>
      <w:r>
        <w:rPr>
          <w:rFonts w:hint="eastAsia"/>
          <w:lang w:val="en-US" w:eastAsia="zh-CN"/>
        </w:rPr>
        <w:t>8</w:t>
      </w:r>
      <w:r>
        <w:rPr>
          <w:rFonts w:hint="eastAsia"/>
        </w:rPr>
        <w:t>0份，周监测报告不少于</w:t>
      </w:r>
      <w:r>
        <w:rPr>
          <w:rFonts w:hint="eastAsia"/>
          <w:lang w:val="en-US" w:eastAsia="zh-CN"/>
        </w:rPr>
        <w:t>52</w:t>
      </w:r>
      <w:r>
        <w:rPr>
          <w:rFonts w:hint="eastAsia"/>
        </w:rPr>
        <w:t>份，月监测报告12份，年度分析报告1份，应急监测报告及其他工作分析报告</w:t>
      </w:r>
      <w:r>
        <w:t>根据工作需要随时报送</w:t>
      </w:r>
      <w:r>
        <w:rPr>
          <w:rFonts w:hint="eastAsia"/>
        </w:rPr>
        <w:t>。</w:t>
      </w:r>
    </w:p>
    <w:p>
      <w:pPr>
        <w:spacing w:line="560" w:lineRule="exact"/>
        <w:ind w:firstLine="643" w:firstLineChars="200"/>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w:t>
      </w:r>
      <w:r>
        <w:rPr>
          <w:rFonts w:ascii="仿宋_GB2312" w:hAnsi="仿宋_GB2312" w:eastAsia="仿宋_GB2312" w:cs="仿宋_GB2312"/>
          <w:b/>
          <w:bCs/>
          <w:sz w:val="32"/>
          <w:szCs w:val="32"/>
        </w:rPr>
        <w:t>.</w:t>
      </w:r>
      <w:r>
        <w:rPr>
          <w:rFonts w:hint="eastAsia" w:ascii="仿宋_GB2312" w:hAnsi="仿宋_GB2312" w:eastAsia="仿宋_GB2312" w:cs="仿宋_GB2312"/>
          <w:b/>
          <w:bCs/>
          <w:sz w:val="32"/>
          <w:szCs w:val="32"/>
        </w:rPr>
        <w:t>商务要求</w:t>
      </w:r>
    </w:p>
    <w:p>
      <w:pPr>
        <w:pStyle w:val="30"/>
      </w:pPr>
      <w:r>
        <w:t>1）运维服务时间期限：202</w:t>
      </w:r>
      <w:r>
        <w:rPr>
          <w:rFonts w:hint="eastAsia"/>
          <w:lang w:val="en-US" w:eastAsia="zh-CN"/>
        </w:rPr>
        <w:t>6</w:t>
      </w:r>
      <w:r>
        <w:t>年7月</w:t>
      </w:r>
      <w:r>
        <w:rPr>
          <w:rFonts w:hint="eastAsia"/>
          <w:lang w:val="en-US" w:eastAsia="zh-CN"/>
        </w:rPr>
        <w:t>24</w:t>
      </w:r>
      <w:r>
        <w:t>日至202</w:t>
      </w:r>
      <w:r>
        <w:rPr>
          <w:rFonts w:hint="eastAsia"/>
          <w:lang w:val="en-US" w:eastAsia="zh-CN"/>
        </w:rPr>
        <w:t>7</w:t>
      </w:r>
      <w:r>
        <w:t>年7月</w:t>
      </w:r>
      <w:r>
        <w:rPr>
          <w:rFonts w:hint="eastAsia"/>
          <w:lang w:val="en-US" w:eastAsia="zh-CN"/>
        </w:rPr>
        <w:t>23</w:t>
      </w:r>
      <w:r>
        <w:t>日。</w:t>
      </w:r>
    </w:p>
    <w:p>
      <w:pPr>
        <w:pStyle w:val="30"/>
      </w:pPr>
      <w:r>
        <w:t>2</w:t>
      </w:r>
      <w:r>
        <w:rPr>
          <w:rFonts w:hint="eastAsia"/>
        </w:rPr>
        <w:t>）</w:t>
      </w:r>
      <w:r>
        <w:t>服务地点：石家庄市。</w:t>
      </w:r>
    </w:p>
    <w:p>
      <w:pPr>
        <w:pStyle w:val="30"/>
        <w:rPr>
          <w:rFonts w:hint="eastAsia" w:eastAsia="仿宋_GB2312"/>
          <w:lang w:eastAsia="zh-CN"/>
        </w:rPr>
      </w:pPr>
      <w:r>
        <w:t>3</w:t>
      </w:r>
      <w:r>
        <w:rPr>
          <w:rFonts w:hint="eastAsia"/>
        </w:rPr>
        <w:t>）</w:t>
      </w:r>
      <w:r>
        <w:t>付款</w:t>
      </w:r>
      <w:r>
        <w:rPr>
          <w:rFonts w:hint="eastAsia"/>
          <w:lang w:val="en-US" w:eastAsia="zh-CN"/>
        </w:rPr>
        <w:t>方式</w:t>
      </w:r>
      <w:r>
        <w:t>：</w:t>
      </w:r>
      <w:r>
        <w:rPr>
          <w:rStyle w:val="58"/>
          <w:rFonts w:hint="default"/>
        </w:rPr>
        <w:t>第一次付款：合同签订</w:t>
      </w:r>
      <w:r>
        <w:rPr>
          <w:rStyle w:val="58"/>
          <w:rFonts w:hint="eastAsia"/>
          <w:lang w:val="en-US" w:eastAsia="zh-CN"/>
        </w:rPr>
        <w:t>生效并具备实施条件</w:t>
      </w:r>
      <w:r>
        <w:rPr>
          <w:rStyle w:val="58"/>
          <w:rFonts w:hint="default"/>
        </w:rPr>
        <w:t>后</w:t>
      </w:r>
      <w:r>
        <w:rPr>
          <w:rStyle w:val="58"/>
          <w:rFonts w:hint="eastAsia"/>
          <w:lang w:val="en-US" w:eastAsia="zh-CN"/>
        </w:rPr>
        <w:t>7个工作日内，乙方向甲方提交符合财务规定的合法发票后</w:t>
      </w:r>
      <w:r>
        <w:rPr>
          <w:rStyle w:val="58"/>
          <w:rFonts w:hint="default"/>
        </w:rPr>
        <w:t>，</w:t>
      </w:r>
      <w:r>
        <w:rPr>
          <w:rStyle w:val="58"/>
          <w:rFonts w:hint="eastAsia"/>
          <w:lang w:val="en-US" w:eastAsia="zh-CN"/>
        </w:rPr>
        <w:t>甲方向乙方</w:t>
      </w:r>
      <w:r>
        <w:rPr>
          <w:rStyle w:val="58"/>
          <w:rFonts w:hint="default"/>
        </w:rPr>
        <w:t>支付</w:t>
      </w:r>
      <w:r>
        <w:rPr>
          <w:rStyle w:val="58"/>
          <w:rFonts w:hint="eastAsia"/>
          <w:lang w:val="en-US" w:eastAsia="zh-CN"/>
        </w:rPr>
        <w:t>预付款</w:t>
      </w:r>
      <w:r>
        <w:rPr>
          <w:rStyle w:val="58"/>
          <w:rFonts w:hint="eastAsia"/>
          <w:highlight w:val="none"/>
          <w:lang w:val="en-US" w:eastAsia="zh-CN"/>
        </w:rPr>
        <w:t>4.9</w:t>
      </w:r>
      <w:r>
        <w:rPr>
          <w:rStyle w:val="58"/>
          <w:rFonts w:hint="eastAsia"/>
          <w:lang w:val="en-US" w:eastAsia="zh-CN"/>
        </w:rPr>
        <w:t>万元；</w:t>
      </w:r>
      <w:r>
        <w:rPr>
          <w:rStyle w:val="58"/>
          <w:rFonts w:hint="default"/>
        </w:rPr>
        <w:t>第二次付款：</w:t>
      </w:r>
      <w:r>
        <w:rPr>
          <w:rStyle w:val="58"/>
          <w:rFonts w:hint="eastAsia"/>
          <w:lang w:val="en-US" w:eastAsia="zh-CN"/>
        </w:rPr>
        <w:t>乙方完成</w:t>
      </w:r>
      <w:r>
        <w:rPr>
          <w:rStyle w:val="58"/>
          <w:rFonts w:hint="default"/>
        </w:rPr>
        <w:t>八个月运维</w:t>
      </w:r>
      <w:r>
        <w:rPr>
          <w:rStyle w:val="58"/>
          <w:rFonts w:hint="eastAsia"/>
          <w:lang w:val="en-US" w:eastAsia="zh-CN"/>
        </w:rPr>
        <w:t>向甲方提交考核申请并通过本付费周期考核，向甲方提交符合财务规定的合法发票后，甲方向乙方</w:t>
      </w:r>
      <w:r>
        <w:rPr>
          <w:rStyle w:val="58"/>
          <w:rFonts w:hint="default"/>
        </w:rPr>
        <w:t>支付</w:t>
      </w:r>
      <w:r>
        <w:rPr>
          <w:rStyle w:val="58"/>
          <w:rFonts w:hint="eastAsia"/>
          <w:lang w:val="en-US" w:eastAsia="zh-CN"/>
        </w:rPr>
        <w:t>中标金额</w:t>
      </w:r>
      <w:r>
        <w:rPr>
          <w:rStyle w:val="58"/>
          <w:rFonts w:hint="default"/>
        </w:rPr>
        <w:t>的60%</w:t>
      </w:r>
      <w:r>
        <w:rPr>
          <w:rFonts w:hint="eastAsia" w:ascii="宋体" w:hAnsi="宋体" w:cs="宋体"/>
        </w:rPr>
        <w:t>扣减本</w:t>
      </w:r>
      <w:r>
        <w:rPr>
          <w:rFonts w:hint="eastAsia" w:ascii="宋体" w:hAnsi="宋体" w:cs="宋体"/>
          <w:lang w:val="en-US" w:eastAsia="zh-CN"/>
        </w:rPr>
        <w:t>付费</w:t>
      </w:r>
      <w:r>
        <w:rPr>
          <w:rFonts w:hint="eastAsia" w:ascii="宋体" w:hAnsi="宋体" w:cs="宋体"/>
        </w:rPr>
        <w:t>周期考核扣款后的金额</w:t>
      </w:r>
      <w:r>
        <w:rPr>
          <w:rFonts w:hint="eastAsia" w:ascii="宋体" w:hAnsi="宋体" w:cs="宋体"/>
          <w:lang w:eastAsia="zh-CN"/>
        </w:rPr>
        <w:t>；</w:t>
      </w:r>
      <w:r>
        <w:rPr>
          <w:rStyle w:val="58"/>
          <w:rFonts w:hint="default"/>
        </w:rPr>
        <w:t>第三次付款：</w:t>
      </w:r>
      <w:r>
        <w:rPr>
          <w:rStyle w:val="58"/>
          <w:rFonts w:hint="eastAsia"/>
          <w:lang w:val="en-US" w:eastAsia="zh-CN"/>
        </w:rPr>
        <w:t>乙方履行合同完毕</w:t>
      </w:r>
      <w:r>
        <w:rPr>
          <w:rStyle w:val="58"/>
          <w:rFonts w:hint="default"/>
        </w:rPr>
        <w:t>，</w:t>
      </w:r>
      <w:r>
        <w:rPr>
          <w:rStyle w:val="58"/>
          <w:rFonts w:hint="eastAsia"/>
          <w:lang w:val="en-US" w:eastAsia="zh-CN"/>
        </w:rPr>
        <w:t>向甲方递交总结报告和履约验收申请，按照合同约定进行履约验收。项目</w:t>
      </w:r>
      <w:r>
        <w:rPr>
          <w:rFonts w:hint="eastAsia" w:ascii="宋体" w:hAnsi="宋体" w:cs="宋体"/>
        </w:rPr>
        <w:t>通过履约验收且乙方无违反合同规定，并</w:t>
      </w:r>
      <w:r>
        <w:rPr>
          <w:rFonts w:hint="eastAsia" w:ascii="宋体" w:hAnsi="宋体" w:cs="宋体"/>
          <w:lang w:val="en-US" w:eastAsia="zh-CN"/>
        </w:rPr>
        <w:t>向甲方提</w:t>
      </w:r>
      <w:r>
        <w:rPr>
          <w:rFonts w:hint="eastAsia" w:ascii="宋体" w:hAnsi="宋体" w:cs="宋体"/>
        </w:rPr>
        <w:t>交符合财务规定的合法发票后，</w:t>
      </w:r>
      <w:r>
        <w:rPr>
          <w:rFonts w:hint="eastAsia" w:ascii="宋体" w:hAnsi="宋体" w:cs="宋体"/>
          <w:lang w:val="en-US" w:eastAsia="zh-CN"/>
        </w:rPr>
        <w:t>甲方向乙方</w:t>
      </w:r>
      <w:r>
        <w:rPr>
          <w:rStyle w:val="58"/>
          <w:rFonts w:hint="default"/>
        </w:rPr>
        <w:t>支付</w:t>
      </w:r>
      <w:r>
        <w:rPr>
          <w:rStyle w:val="58"/>
          <w:rFonts w:hint="eastAsia"/>
          <w:lang w:val="en-US" w:eastAsia="zh-CN"/>
        </w:rPr>
        <w:t>中标金额的</w:t>
      </w:r>
      <w:r>
        <w:rPr>
          <w:rStyle w:val="58"/>
          <w:rFonts w:hint="default"/>
        </w:rPr>
        <w:t>剩余运维费用</w:t>
      </w:r>
      <w:r>
        <w:rPr>
          <w:rFonts w:hint="eastAsia" w:ascii="宋体" w:hAnsi="宋体" w:cs="宋体"/>
        </w:rPr>
        <w:t>扣减本</w:t>
      </w:r>
      <w:r>
        <w:rPr>
          <w:rFonts w:hint="eastAsia" w:ascii="宋体" w:hAnsi="宋体" w:cs="宋体"/>
          <w:lang w:val="en-US" w:eastAsia="zh-CN"/>
        </w:rPr>
        <w:t>付费</w:t>
      </w:r>
      <w:r>
        <w:rPr>
          <w:rFonts w:hint="eastAsia" w:ascii="宋体" w:hAnsi="宋体" w:cs="宋体"/>
        </w:rPr>
        <w:t>周期考核扣款后的金额</w:t>
      </w:r>
      <w:r>
        <w:rPr>
          <w:rFonts w:hint="eastAsia" w:ascii="宋体" w:hAnsi="宋体" w:cs="宋体"/>
          <w:lang w:eastAsia="zh-CN"/>
        </w:rPr>
        <w:t>；</w:t>
      </w:r>
      <w:r>
        <w:rPr>
          <w:rFonts w:hint="eastAsia" w:ascii="宋体" w:hAnsi="宋体" w:cs="宋体"/>
          <w:lang w:val="en-US" w:eastAsia="zh-CN"/>
        </w:rPr>
        <w:t>如乙方不能达到或违反合同相关条款之情形，甲方按照相关约定据实核算从项目尾款中扣减相应金额，不足部分由乙方在10个日历内补足。</w:t>
      </w:r>
    </w:p>
    <w:p>
      <w:pPr>
        <w:pStyle w:val="30"/>
        <w:rPr>
          <w:rFonts w:hint="eastAsia"/>
        </w:rPr>
      </w:pPr>
      <w:r>
        <w:rPr>
          <w:rFonts w:hint="eastAsia"/>
        </w:rPr>
        <w:t>4）</w:t>
      </w:r>
      <w:r>
        <w:t>应急服务要求</w:t>
      </w:r>
    </w:p>
    <w:p>
      <w:pPr>
        <w:pStyle w:val="30"/>
      </w:pPr>
      <w:r>
        <w:t>当环境应急事件发生时，现场服务工程师需24小时随时待命，接到任务通知后1小时内完成所有准备工作保证车辆可以出发，相关设备保证进入正常待测状态；日常维护过程中系统出现故障要求在出现问题的</w:t>
      </w:r>
      <w:r>
        <w:rPr>
          <w:rFonts w:hint="eastAsia"/>
          <w:lang w:val="en-US" w:eastAsia="zh-CN"/>
        </w:rPr>
        <w:t>30分钟</w:t>
      </w:r>
      <w:r>
        <w:t>内给予问题的反馈，如需现场解决，在故障发生的12小时内，派技术人员到达现场处理，排除第三方原因，48小时内解决问题。应急情况需</w:t>
      </w:r>
      <w:r>
        <w:rPr>
          <w:rFonts w:hint="eastAsia"/>
          <w:lang w:val="en-US" w:eastAsia="zh-CN"/>
        </w:rPr>
        <w:t>2</w:t>
      </w:r>
      <w:r>
        <w:t>小时内到达现场对系统进行检修。</w:t>
      </w:r>
    </w:p>
    <w:p>
      <w:pPr>
        <w:pStyle w:val="30"/>
        <w:rPr>
          <w:rFonts w:hint="eastAsia"/>
        </w:rPr>
      </w:pPr>
      <w:r>
        <w:rPr>
          <w:rFonts w:hint="eastAsia"/>
        </w:rPr>
        <w:t>5）</w:t>
      </w:r>
      <w:r>
        <w:t>费用承担范围</w:t>
      </w:r>
    </w:p>
    <w:p>
      <w:pPr>
        <w:pStyle w:val="30"/>
        <w:rPr>
          <w:rFonts w:hint="eastAsia" w:hAnsi="仿宋_GB2312" w:cs="仿宋_GB2312"/>
          <w:b/>
          <w:bCs/>
        </w:rPr>
      </w:pPr>
      <w:r>
        <w:t>运维期间，车辆的保险费（</w:t>
      </w:r>
      <w:r>
        <w:rPr>
          <w:highlight w:val="none"/>
        </w:rPr>
        <w:t>含</w:t>
      </w:r>
      <w:r>
        <w:rPr>
          <w:rFonts w:hint="eastAsia"/>
          <w:highlight w:val="none"/>
          <w:lang w:val="en-US" w:eastAsia="zh-CN"/>
        </w:rPr>
        <w:t>交强</w:t>
      </w:r>
      <w:r>
        <w:rPr>
          <w:highlight w:val="none"/>
        </w:rPr>
        <w:t>险、商业险</w:t>
      </w:r>
      <w:r>
        <w:t>）；车辆的燃油费及高速公路通行费；车辆的定期保养及维修费（含保养及维修）；硬件设备的维修、升级等服务</w:t>
      </w:r>
      <w:r>
        <w:rPr>
          <w:rFonts w:hint="eastAsia"/>
        </w:rPr>
        <w:t>费用</w:t>
      </w:r>
      <w:r>
        <w:t>；耗材及备品备件、标气的</w:t>
      </w:r>
      <w:r>
        <w:rPr>
          <w:rFonts w:hint="eastAsia"/>
        </w:rPr>
        <w:t>费用</w:t>
      </w:r>
      <w:r>
        <w:t>；</w:t>
      </w:r>
      <w:r>
        <w:rPr>
          <w:rFonts w:hint="eastAsia"/>
        </w:rPr>
        <w:t>网络通讯费；</w:t>
      </w:r>
      <w:r>
        <w:t>涉及到的软件系统版本更新费用；驻点维护工程师及其它技术人员需要的一切费用；分析报告费用；因外部原因意外丢失和损坏设备的维修或更换、属于运维单位的工作人员操作不当、</w:t>
      </w:r>
      <w:r>
        <w:rPr>
          <w:highlight w:val="none"/>
        </w:rPr>
        <w:t>违反规程等</w:t>
      </w:r>
      <w:r>
        <w:rPr>
          <w:rFonts w:hint="eastAsia"/>
          <w:highlight w:val="none"/>
          <w:lang w:val="en-US" w:eastAsia="zh-CN"/>
        </w:rPr>
        <w:t>以上内容在运维期间</w:t>
      </w:r>
      <w:r>
        <w:rPr>
          <w:highlight w:val="none"/>
        </w:rPr>
        <w:t>所产生一切费用均由运维单位负责</w:t>
      </w:r>
      <w:r>
        <w:t>。</w:t>
      </w:r>
    </w:p>
    <w:p>
      <w:pPr>
        <w:widowControl/>
        <w:jc w:val="left"/>
        <w:rPr>
          <w:rFonts w:ascii="黑体" w:hAnsi="黑体" w:eastAsia="黑体" w:cs="黑体"/>
          <w:bCs/>
          <w:sz w:val="32"/>
          <w:szCs w:val="32"/>
        </w:rPr>
      </w:pPr>
      <w:r>
        <w:rPr>
          <w:rFonts w:ascii="黑体" w:hAnsi="黑体" w:eastAsia="黑体" w:cs="黑体"/>
          <w:b/>
          <w:bCs/>
          <w:sz w:val="32"/>
          <w:szCs w:val="32"/>
        </w:rPr>
        <w:br w:type="page"/>
      </w:r>
    </w:p>
    <w:p>
      <w:pPr>
        <w:pStyle w:val="3"/>
        <w:adjustRightInd w:val="0"/>
        <w:spacing w:line="560" w:lineRule="exact"/>
        <w:jc w:val="left"/>
        <w:rPr>
          <w:rFonts w:ascii="黑体" w:hAnsi="黑体" w:eastAsia="黑体" w:cs="黑体"/>
          <w:sz w:val="28"/>
          <w:szCs w:val="28"/>
        </w:rPr>
      </w:pPr>
      <w:r>
        <w:rPr>
          <w:rFonts w:hint="eastAsia" w:ascii="黑体" w:hAnsi="黑体" w:eastAsia="黑体" w:cs="黑体"/>
          <w:b w:val="0"/>
          <w:bCs/>
          <w:sz w:val="32"/>
          <w:szCs w:val="32"/>
        </w:rPr>
        <w:t>附件3</w:t>
      </w:r>
    </w:p>
    <w:p>
      <w:pPr>
        <w:spacing w:line="560" w:lineRule="exact"/>
        <w:ind w:left="1500"/>
        <w:jc w:val="right"/>
        <w:rPr>
          <w:rFonts w:ascii="仿宋_GB2312" w:hAnsi="仿宋_GB2312" w:eastAsia="仿宋_GB2312" w:cs="仿宋_GB2312"/>
          <w:b/>
          <w:sz w:val="36"/>
        </w:rPr>
      </w:pPr>
      <w:r>
        <w:rPr>
          <w:rFonts w:hint="eastAsia" w:ascii="仿宋_GB2312" w:hAnsi="仿宋_GB2312" w:eastAsia="仿宋_GB2312" w:cs="仿宋_GB2312"/>
          <w:b/>
          <w:sz w:val="36"/>
        </w:rPr>
        <w:t>正本(副本)</w:t>
      </w:r>
    </w:p>
    <w:p>
      <w:pPr>
        <w:spacing w:line="560" w:lineRule="exact"/>
        <w:ind w:left="1500"/>
        <w:jc w:val="right"/>
        <w:rPr>
          <w:rFonts w:ascii="仿宋_GB2312" w:hAnsi="仿宋_GB2312" w:eastAsia="仿宋_GB2312" w:cs="仿宋_GB2312"/>
          <w:b/>
          <w:sz w:val="36"/>
        </w:rPr>
      </w:pPr>
    </w:p>
    <w:p>
      <w:pPr>
        <w:spacing w:line="560" w:lineRule="exact"/>
        <w:ind w:left="1500"/>
        <w:jc w:val="right"/>
        <w:rPr>
          <w:rFonts w:ascii="仿宋_GB2312" w:hAnsi="仿宋_GB2312" w:eastAsia="仿宋_GB2312" w:cs="仿宋_GB2312"/>
          <w:b/>
          <w:sz w:val="36"/>
        </w:rPr>
      </w:pPr>
    </w:p>
    <w:p>
      <w:pPr>
        <w:spacing w:line="560" w:lineRule="exact"/>
        <w:rPr>
          <w:rFonts w:ascii="仿宋_GB2312" w:hAnsi="仿宋_GB2312" w:eastAsia="仿宋_GB2312" w:cs="仿宋_GB2312"/>
        </w:rPr>
      </w:pPr>
    </w:p>
    <w:p>
      <w:pPr>
        <w:spacing w:line="560" w:lineRule="exact"/>
        <w:rPr>
          <w:rFonts w:ascii="仿宋_GB2312" w:hAnsi="仿宋_GB2312" w:eastAsia="仿宋_GB2312" w:cs="仿宋_GB2312"/>
        </w:rPr>
      </w:pPr>
    </w:p>
    <w:p>
      <w:pPr>
        <w:spacing w:line="560" w:lineRule="exact"/>
        <w:ind w:left="1500"/>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pPr>
        <w:spacing w:line="560" w:lineRule="exact"/>
        <w:jc w:val="center"/>
        <w:rPr>
          <w:rFonts w:ascii="仿宋_GB2312" w:hAnsi="仿宋_GB2312" w:eastAsia="仿宋_GB2312" w:cs="仿宋_GB2312"/>
          <w:b/>
          <w:sz w:val="72"/>
        </w:rPr>
      </w:pPr>
    </w:p>
    <w:p>
      <w:pPr>
        <w:jc w:val="center"/>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pPr>
        <w:spacing w:line="560" w:lineRule="exact"/>
        <w:rPr>
          <w:rFonts w:ascii="仿宋_GB2312" w:hAnsi="仿宋_GB2312" w:eastAsia="仿宋_GB2312" w:cs="仿宋_GB2312"/>
          <w:b/>
          <w:sz w:val="48"/>
        </w:rPr>
      </w:pPr>
    </w:p>
    <w:p>
      <w:pPr>
        <w:pStyle w:val="2"/>
        <w:ind w:firstLine="480"/>
        <w:rPr>
          <w:rFonts w:ascii="仿宋_GB2312" w:hAnsi="仿宋_GB2312" w:eastAsia="仿宋_GB2312" w:cs="仿宋_GB2312"/>
        </w:rPr>
      </w:pPr>
    </w:p>
    <w:p>
      <w:pPr>
        <w:pStyle w:val="4"/>
      </w:pPr>
    </w:p>
    <w:p>
      <w:pPr>
        <w:snapToGrid w:val="0"/>
        <w:spacing w:line="560" w:lineRule="exact"/>
        <w:ind w:firstLine="658" w:firstLineChars="200"/>
        <w:rPr>
          <w:rFonts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pPr>
        <w:pStyle w:val="2"/>
        <w:ind w:firstLine="482"/>
      </w:pPr>
    </w:p>
    <w:p>
      <w:pPr>
        <w:pStyle w:val="4"/>
      </w:pPr>
    </w:p>
    <w:p>
      <w:pPr>
        <w:snapToGrid w:val="0"/>
        <w:spacing w:line="560" w:lineRule="exact"/>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pPr>
        <w:pStyle w:val="2"/>
        <w:ind w:firstLine="482"/>
      </w:pPr>
    </w:p>
    <w:p>
      <w:pPr>
        <w:pStyle w:val="4"/>
      </w:pPr>
    </w:p>
    <w:p>
      <w:pPr>
        <w:snapToGrid w:val="0"/>
        <w:spacing w:line="560" w:lineRule="exact"/>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pPr>
        <w:pStyle w:val="2"/>
        <w:ind w:firstLine="482"/>
      </w:pPr>
    </w:p>
    <w:p>
      <w:pPr>
        <w:spacing w:line="560" w:lineRule="exact"/>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pPr>
        <w:spacing w:line="560" w:lineRule="exact"/>
        <w:rPr>
          <w:rFonts w:ascii="仿宋_GB2312" w:hAnsi="仿宋_GB2312" w:eastAsia="仿宋_GB2312" w:cs="仿宋_GB2312"/>
          <w:b/>
          <w:sz w:val="30"/>
        </w:rPr>
      </w:pPr>
      <w:r>
        <w:rPr>
          <w:rFonts w:ascii="仿宋_GB2312" w:hAnsi="仿宋_GB2312" w:eastAsia="仿宋_GB2312" w:cs="仿宋_GB2312"/>
          <w:b/>
          <w:sz w:val="30"/>
        </w:rPr>
        <w:br w:type="page"/>
      </w:r>
    </w:p>
    <w:p>
      <w:pPr>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报价承诺函</w:t>
      </w:r>
    </w:p>
    <w:p>
      <w:pPr>
        <w:spacing w:line="560" w:lineRule="exact"/>
        <w:jc w:val="center"/>
        <w:rPr>
          <w:rFonts w:ascii="宋体" w:hAnsi="宋体" w:eastAsia="宋体" w:cs="宋体"/>
          <w:b/>
          <w:bCs/>
          <w:sz w:val="44"/>
          <w:szCs w:val="44"/>
        </w:rPr>
      </w:pPr>
    </w:p>
    <w:p>
      <w:pPr>
        <w:spacing w:line="560" w:lineRule="exact"/>
        <w:rPr>
          <w:rFonts w:ascii="仿宋_GB2312" w:hAnsi="仿宋_GB2312" w:eastAsia="仿宋_GB2312" w:cs="仿宋_GB2312"/>
          <w:sz w:val="28"/>
        </w:rPr>
      </w:pPr>
      <w:r>
        <w:rPr>
          <w:rFonts w:hint="eastAsia" w:ascii="仿宋_GB2312" w:hAnsi="仿宋_GB2312" w:eastAsia="仿宋_GB2312" w:cs="仿宋_GB2312"/>
          <w:sz w:val="28"/>
        </w:rPr>
        <w:t>致: 石家庄市环境监控中心:</w:t>
      </w:r>
    </w:p>
    <w:p>
      <w:pPr>
        <w:spacing w:line="560" w:lineRule="exact"/>
        <w:rPr>
          <w:rFonts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pPr>
        <w:numPr>
          <w:ilvl w:val="0"/>
          <w:numId w:val="3"/>
        </w:numPr>
        <w:spacing w:line="560" w:lineRule="exact"/>
        <w:ind w:firstLine="560" w:firstLineChars="200"/>
        <w:rPr>
          <w:rFonts w:ascii="黑体" w:hAnsi="黑体" w:eastAsia="黑体" w:cs="黑体"/>
          <w:sz w:val="28"/>
        </w:rPr>
      </w:pPr>
      <w:r>
        <w:rPr>
          <w:rFonts w:hint="eastAsia" w:ascii="黑体" w:hAnsi="黑体" w:eastAsia="黑体" w:cs="黑体"/>
          <w:sz w:val="28"/>
        </w:rPr>
        <w:t>提交下述文件正本一份和副本贰份</w:t>
      </w:r>
    </w:p>
    <w:p>
      <w:pPr>
        <w:numPr>
          <w:ilvl w:val="0"/>
          <w:numId w:val="4"/>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初始报价表</w:t>
      </w:r>
    </w:p>
    <w:p>
      <w:pPr>
        <w:numPr>
          <w:ilvl w:val="0"/>
          <w:numId w:val="4"/>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采购项目报价简要说明</w:t>
      </w:r>
    </w:p>
    <w:p>
      <w:pPr>
        <w:numPr>
          <w:ilvl w:val="0"/>
          <w:numId w:val="4"/>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二次报价表</w:t>
      </w:r>
    </w:p>
    <w:p>
      <w:pPr>
        <w:numPr>
          <w:ilvl w:val="0"/>
          <w:numId w:val="3"/>
        </w:numPr>
        <w:spacing w:line="560" w:lineRule="exact"/>
        <w:ind w:firstLine="560" w:firstLineChars="200"/>
        <w:rPr>
          <w:rFonts w:ascii="黑体" w:hAnsi="黑体" w:eastAsia="黑体" w:cs="黑体"/>
          <w:sz w:val="28"/>
        </w:rPr>
      </w:pPr>
      <w:r>
        <w:rPr>
          <w:rFonts w:hint="eastAsia" w:ascii="黑体" w:hAnsi="黑体" w:eastAsia="黑体" w:cs="黑体"/>
          <w:sz w:val="28"/>
        </w:rPr>
        <w:t>据此函，法人授权委托代理人代表宣布如下</w:t>
      </w:r>
    </w:p>
    <w:p>
      <w:pPr>
        <w:numPr>
          <w:ilvl w:val="0"/>
          <w:numId w:val="5"/>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我公司已详细审阅项目全部的有关文件（包括但不限于设备方案、采购明细、技术参数、实现的功能或者目标等），我们完全理解并同意放弃对此方面有不明及误解的权利。</w:t>
      </w:r>
    </w:p>
    <w:p>
      <w:pPr>
        <w:numPr>
          <w:ilvl w:val="0"/>
          <w:numId w:val="5"/>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我公司将按询价响应文件的有关承诺规定履行责任和义务。</w:t>
      </w:r>
    </w:p>
    <w:p>
      <w:pPr>
        <w:numPr>
          <w:ilvl w:val="0"/>
          <w:numId w:val="5"/>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报价之日起有效期为</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个日历日。</w:t>
      </w:r>
    </w:p>
    <w:p>
      <w:pPr>
        <w:numPr>
          <w:ilvl w:val="0"/>
          <w:numId w:val="5"/>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初始报价为(小写)</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元；(大写)</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 xml:space="preserve"> ； </w:t>
      </w:r>
    </w:p>
    <w:p>
      <w:pPr>
        <w:spacing w:line="560" w:lineRule="exact"/>
        <w:rPr>
          <w:rFonts w:ascii="仿宋_GB2312" w:hAnsi="仿宋_GB2312" w:eastAsia="仿宋_GB2312" w:cs="仿宋_GB2312"/>
          <w:b/>
          <w:sz w:val="28"/>
        </w:rPr>
      </w:pPr>
      <w:r>
        <w:rPr>
          <w:rFonts w:hint="eastAsia" w:ascii="仿宋_GB2312" w:hAnsi="仿宋_GB2312" w:eastAsia="仿宋_GB2312" w:cs="仿宋_GB2312"/>
          <w:b/>
          <w:sz w:val="28"/>
        </w:rPr>
        <w:t xml:space="preserve">    </w:t>
      </w:r>
    </w:p>
    <w:p>
      <w:pPr>
        <w:pStyle w:val="2"/>
        <w:ind w:firstLine="280"/>
        <w:rPr>
          <w:rFonts w:ascii="仿宋_GB2312" w:hAnsi="仿宋_GB2312" w:eastAsia="仿宋_GB2312" w:cs="仿宋_GB2312"/>
          <w:sz w:val="28"/>
        </w:rPr>
      </w:pPr>
    </w:p>
    <w:p>
      <w:pPr>
        <w:pStyle w:val="4"/>
      </w:pPr>
    </w:p>
    <w:p>
      <w:p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投 标 单 位：（盖章）</w:t>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 xml:space="preserve">  法人授权代表：（签字）</w:t>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 xml:space="preserve">  </w:t>
      </w:r>
    </w:p>
    <w:p>
      <w:pPr>
        <w:pStyle w:val="2"/>
        <w:ind w:firstLine="482"/>
      </w:pPr>
    </w:p>
    <w:p>
      <w:pPr>
        <w:spacing w:line="560" w:lineRule="exact"/>
        <w:ind w:firstLine="5880" w:firstLineChars="2100"/>
        <w:rPr>
          <w:rFonts w:ascii="仿宋_GB2312" w:hAnsi="仿宋_GB2312" w:eastAsia="仿宋_GB2312" w:cs="仿宋_GB2312"/>
          <w:sz w:val="28"/>
        </w:rPr>
      </w:pPr>
      <w:r>
        <w:rPr>
          <w:rFonts w:hint="eastAsia" w:ascii="仿宋_GB2312" w:hAnsi="仿宋_GB2312" w:eastAsia="仿宋_GB2312" w:cs="仿宋_GB2312"/>
          <w:sz w:val="28"/>
        </w:rPr>
        <w:t xml:space="preserve">  年    月    日</w:t>
      </w:r>
    </w:p>
    <w:p>
      <w:pPr>
        <w:tabs>
          <w:tab w:val="left" w:pos="277"/>
          <w:tab w:val="left" w:pos="2493"/>
          <w:tab w:val="left" w:pos="5263"/>
        </w:tabs>
        <w:spacing w:line="560" w:lineRule="exact"/>
        <w:ind w:firstLine="321" w:firstLineChars="100"/>
        <w:rPr>
          <w:rFonts w:ascii="仿宋_GB2312" w:hAnsi="仿宋_GB2312" w:eastAsia="仿宋_GB2312" w:cs="仿宋_GB2312"/>
          <w:b/>
          <w:bCs/>
          <w:sz w:val="32"/>
        </w:rPr>
        <w:sectPr>
          <w:footerReference r:id="rId7" w:type="first"/>
          <w:headerReference r:id="rId5" w:type="default"/>
          <w:footerReference r:id="rId6" w:type="default"/>
          <w:pgSz w:w="11907" w:h="16840"/>
          <w:pgMar w:top="1304" w:right="1418" w:bottom="1418" w:left="1418" w:header="720" w:footer="720" w:gutter="0"/>
          <w:pgNumType w:start="1"/>
          <w:cols w:space="720" w:num="1"/>
          <w:formProt w:val="0"/>
          <w:docGrid w:type="lines" w:linePitch="312" w:charSpace="0"/>
        </w:sectPr>
      </w:pPr>
    </w:p>
    <w:p>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初始报价表</w:t>
      </w:r>
    </w:p>
    <w:p>
      <w:pPr>
        <w:tabs>
          <w:tab w:val="left" w:pos="277"/>
          <w:tab w:val="left" w:pos="2493"/>
          <w:tab w:val="left" w:pos="5263"/>
        </w:tabs>
        <w:spacing w:line="560" w:lineRule="exact"/>
        <w:jc w:val="center"/>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tabs>
                <w:tab w:val="left" w:pos="277"/>
                <w:tab w:val="left" w:pos="2493"/>
                <w:tab w:val="left" w:pos="5263"/>
              </w:tabs>
              <w:spacing w:line="560" w:lineRule="exact"/>
              <w:jc w:val="center"/>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tabs>
                <w:tab w:val="left" w:pos="277"/>
                <w:tab w:val="left" w:pos="2493"/>
                <w:tab w:val="left" w:pos="5263"/>
              </w:tabs>
              <w:spacing w:line="560" w:lineRule="exact"/>
              <w:ind w:firstLine="840" w:firstLineChars="300"/>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初始报价</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人民币大写：</w:t>
            </w:r>
          </w:p>
          <w:p>
            <w:pPr>
              <w:tabs>
                <w:tab w:val="left" w:pos="277"/>
                <w:tab w:val="left" w:pos="2493"/>
                <w:tab w:val="left" w:pos="5263"/>
              </w:tabs>
              <w:spacing w:line="560" w:lineRule="exact"/>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（公章）</w:t>
            </w:r>
          </w:p>
          <w:p>
            <w:pPr>
              <w:tabs>
                <w:tab w:val="left" w:pos="277"/>
                <w:tab w:val="left" w:pos="2493"/>
                <w:tab w:val="left" w:pos="5263"/>
              </w:tabs>
              <w:spacing w:line="560" w:lineRule="exact"/>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3"/>
        <w:spacing w:line="560" w:lineRule="exact"/>
        <w:rPr>
          <w:rFonts w:ascii="华文仿宋" w:hAnsi="华文仿宋" w:eastAsia="华文仿宋"/>
          <w:b w:val="0"/>
          <w:sz w:val="21"/>
          <w:szCs w:val="21"/>
        </w:rPr>
      </w:pPr>
    </w:p>
    <w:p>
      <w:pPr>
        <w:pStyle w:val="3"/>
        <w:spacing w:line="560" w:lineRule="exact"/>
        <w:jc w:val="both"/>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pPr>
        <w:tabs>
          <w:tab w:val="left" w:pos="277"/>
          <w:tab w:val="left" w:pos="2493"/>
          <w:tab w:val="left" w:pos="5263"/>
        </w:tabs>
        <w:spacing w:line="560" w:lineRule="exact"/>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pPr>
        <w:tabs>
          <w:tab w:val="left" w:pos="277"/>
          <w:tab w:val="left" w:pos="2493"/>
          <w:tab w:val="left" w:pos="5263"/>
        </w:tabs>
        <w:spacing w:line="560" w:lineRule="exact"/>
        <w:jc w:val="center"/>
        <w:rPr>
          <w:rFonts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4"/>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型号规格</w:t>
            </w:r>
          </w:p>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pPr>
              <w:tabs>
                <w:tab w:val="left" w:pos="277"/>
                <w:tab w:val="left" w:pos="2772"/>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pPr>
              <w:tabs>
                <w:tab w:val="left" w:pos="277"/>
                <w:tab w:val="left" w:pos="2493"/>
                <w:tab w:val="left" w:pos="5263"/>
              </w:tabs>
              <w:spacing w:line="560" w:lineRule="exact"/>
              <w:jc w:val="center"/>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493"/>
              </w:tabs>
              <w:spacing w:line="560" w:lineRule="exact"/>
              <w:rPr>
                <w:rFonts w:ascii="华文仿宋" w:hAnsi="华文仿宋" w:eastAsia="华文仿宋" w:cs="仿宋_GB2312"/>
                <w:sz w:val="28"/>
              </w:rPr>
            </w:pPr>
            <w:r>
              <w:rPr>
                <w:rFonts w:hint="eastAsia" w:ascii="华文仿宋" w:hAnsi="华文仿宋" w:eastAsia="华文仿宋" w:cs="仿宋_GB2312"/>
                <w:sz w:val="28"/>
              </w:rPr>
              <w:t>单位：元</w:t>
            </w:r>
          </w:p>
        </w:tc>
      </w:tr>
    </w:tbl>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pPr>
        <w:tabs>
          <w:tab w:val="left" w:pos="277"/>
          <w:tab w:val="left" w:pos="2493"/>
          <w:tab w:val="left" w:pos="5263"/>
        </w:tabs>
        <w:spacing w:line="560" w:lineRule="exact"/>
        <w:rPr>
          <w:rFonts w:ascii="华文仿宋" w:hAnsi="华文仿宋" w:eastAsia="华文仿宋" w:cs="仿宋_GB2312"/>
          <w:sz w:val="28"/>
        </w:rPr>
      </w:pPr>
    </w:p>
    <w:p>
      <w:pPr>
        <w:spacing w:line="560" w:lineRule="exact"/>
        <w:rPr>
          <w:rFonts w:ascii="华文仿宋" w:hAnsi="华文仿宋" w:eastAsia="华文仿宋" w:cs="仿宋_GB2312"/>
          <w:sz w:val="28"/>
        </w:rPr>
      </w:pPr>
    </w:p>
    <w:p>
      <w:pPr>
        <w:spacing w:line="560" w:lineRule="exact"/>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二次报价表</w:t>
      </w:r>
    </w:p>
    <w:p>
      <w:pPr>
        <w:tabs>
          <w:tab w:val="left" w:pos="277"/>
          <w:tab w:val="left" w:pos="2493"/>
          <w:tab w:val="left" w:pos="5263"/>
        </w:tabs>
        <w:spacing w:line="560" w:lineRule="exact"/>
        <w:jc w:val="center"/>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tabs>
                <w:tab w:val="left" w:pos="277"/>
                <w:tab w:val="left" w:pos="2493"/>
                <w:tab w:val="left" w:pos="5263"/>
              </w:tabs>
              <w:spacing w:line="560" w:lineRule="exact"/>
              <w:jc w:val="center"/>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tabs>
                <w:tab w:val="left" w:pos="277"/>
                <w:tab w:val="left" w:pos="2493"/>
                <w:tab w:val="left" w:pos="5263"/>
              </w:tabs>
              <w:spacing w:line="560" w:lineRule="exact"/>
              <w:ind w:firstLine="840" w:firstLineChars="300"/>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二次报价</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人民币大写：</w:t>
            </w:r>
          </w:p>
          <w:p>
            <w:pPr>
              <w:tabs>
                <w:tab w:val="left" w:pos="277"/>
                <w:tab w:val="left" w:pos="2493"/>
                <w:tab w:val="left" w:pos="5263"/>
              </w:tabs>
              <w:spacing w:line="560" w:lineRule="exact"/>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（公章）</w:t>
            </w:r>
          </w:p>
          <w:p>
            <w:pPr>
              <w:tabs>
                <w:tab w:val="left" w:pos="277"/>
                <w:tab w:val="left" w:pos="2493"/>
                <w:tab w:val="left" w:pos="5263"/>
              </w:tabs>
              <w:spacing w:line="560" w:lineRule="exact"/>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3"/>
        <w:spacing w:line="560" w:lineRule="exact"/>
        <w:rPr>
          <w:rFonts w:ascii="华文仿宋" w:hAnsi="华文仿宋" w:eastAsia="华文仿宋"/>
          <w:b w:val="0"/>
          <w:sz w:val="21"/>
          <w:szCs w:val="21"/>
        </w:rPr>
      </w:pPr>
    </w:p>
    <w:p>
      <w:pPr>
        <w:pStyle w:val="3"/>
        <w:spacing w:line="560" w:lineRule="exact"/>
        <w:jc w:val="both"/>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pPr>
        <w:spacing w:line="560" w:lineRule="exact"/>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pPr>
        <w:spacing w:line="560" w:lineRule="exact"/>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授权委托书</w:t>
      </w:r>
    </w:p>
    <w:p>
      <w:pPr>
        <w:spacing w:line="560" w:lineRule="exact"/>
        <w:jc w:val="center"/>
        <w:outlineLvl w:val="0"/>
        <w:rPr>
          <w:rFonts w:ascii="华文仿宋" w:hAnsi="华文仿宋" w:eastAsia="华文仿宋" w:cs="仿宋_GB2312"/>
          <w:b/>
          <w:sz w:val="32"/>
        </w:rPr>
      </w:pPr>
    </w:p>
    <w:p>
      <w:pPr>
        <w:spacing w:line="560" w:lineRule="exact"/>
        <w:ind w:firstLine="570"/>
        <w:jc w:val="left"/>
        <w:rPr>
          <w:rFonts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（投标人名称）的法定代表人，现授权委托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u w:val="single"/>
        </w:rPr>
        <w:t xml:space="preserve"> 石家庄市环境监控中心 </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TOF-MS VOCs走航车运维 </w:t>
      </w:r>
      <w:r>
        <w:rPr>
          <w:rFonts w:hint="eastAsia" w:ascii="仿宋_GB2312" w:hAnsi="仿宋_GB2312" w:eastAsia="仿宋_GB2312" w:cs="仿宋_GB2312"/>
          <w:sz w:val="28"/>
        </w:rPr>
        <w:t xml:space="preserve"> 项目的市场询价活动。代理人在询价谈判过程中所签署的一切文件和处理与之有关的一切事务，我均予以承认。</w:t>
      </w:r>
    </w:p>
    <w:p>
      <w:pPr>
        <w:spacing w:line="560" w:lineRule="exact"/>
        <w:ind w:firstLine="570"/>
        <w:jc w:val="left"/>
        <w:rPr>
          <w:rFonts w:ascii="仿宋_GB2312" w:hAnsi="仿宋_GB2312" w:eastAsia="仿宋_GB2312" w:cs="仿宋_GB2312"/>
          <w:sz w:val="28"/>
        </w:rPr>
      </w:pPr>
      <w:r>
        <w:rPr>
          <w:rFonts w:hint="eastAsia" w:ascii="仿宋_GB2312" w:hAnsi="仿宋_GB2312" w:eastAsia="仿宋_GB2312" w:cs="仿宋_GB2312"/>
          <w:sz w:val="28"/>
        </w:rPr>
        <w:t>代理人无转委托权。特此委托。</w:t>
      </w:r>
    </w:p>
    <w:p>
      <w:pPr>
        <w:spacing w:line="560" w:lineRule="exact"/>
        <w:ind w:firstLine="57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代理人：                性别：    年龄：</w:t>
      </w: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单位：                  职务：    身份证号：</w:t>
      </w: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固定电话：              手机号码：</w:t>
      </w:r>
    </w:p>
    <w:p>
      <w:pPr>
        <w:spacing w:line="560" w:lineRule="exact"/>
        <w:ind w:firstLine="57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报价单位：（盖章）</w:t>
      </w:r>
    </w:p>
    <w:p>
      <w:pPr>
        <w:spacing w:line="560" w:lineRule="exact"/>
        <w:ind w:firstLine="570"/>
        <w:outlineLvl w:val="0"/>
        <w:rPr>
          <w:rFonts w:ascii="仿宋_GB2312" w:hAnsi="仿宋_GB2312" w:eastAsia="仿宋_GB2312" w:cs="仿宋_GB2312"/>
          <w:sz w:val="28"/>
        </w:rPr>
      </w:pPr>
    </w:p>
    <w:p>
      <w:pPr>
        <w:spacing w:line="560" w:lineRule="exact"/>
        <w:ind w:firstLine="570"/>
        <w:outlineLvl w:val="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法定代表人：（盖章）</w:t>
      </w:r>
    </w:p>
    <w:p>
      <w:pPr>
        <w:spacing w:line="560" w:lineRule="exact"/>
        <w:ind w:firstLine="57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有效期：  年  月  日至  年  月  日</w:t>
      </w:r>
    </w:p>
    <w:p>
      <w:pPr>
        <w:spacing w:line="560" w:lineRule="exact"/>
        <w:ind w:firstLine="570"/>
        <w:rPr>
          <w:rFonts w:ascii="仿宋_GB2312" w:hAnsi="仿宋_GB2312" w:eastAsia="仿宋_GB2312" w:cs="仿宋_GB2312"/>
          <w:sz w:val="28"/>
        </w:rPr>
      </w:pPr>
    </w:p>
    <w:p>
      <w:pPr>
        <w:pStyle w:val="2"/>
        <w:ind w:firstLine="482"/>
      </w:pPr>
    </w:p>
    <w:p>
      <w:pPr>
        <w:spacing w:line="560" w:lineRule="exact"/>
        <w:ind w:left="850" w:firstLine="679"/>
        <w:rPr>
          <w:rFonts w:ascii="仿宋_GB2312" w:hAnsi="仿宋_GB2312" w:eastAsia="仿宋_GB2312" w:cs="仿宋_GB2312"/>
          <w:sz w:val="28"/>
        </w:rPr>
      </w:pPr>
      <w:r>
        <w:rPr>
          <w:rFonts w:hint="eastAsia" w:ascii="仿宋_GB2312" w:hAnsi="仿宋_GB2312" w:eastAsia="仿宋_GB2312" w:cs="仿宋_GB2312"/>
          <w:sz w:val="28"/>
        </w:rPr>
        <w:t xml:space="preserve">                           日期：  年  月  日</w:t>
      </w:r>
    </w:p>
    <w:p>
      <w:pPr>
        <w:spacing w:line="560" w:lineRule="exact"/>
        <w:ind w:left="850" w:firstLine="679"/>
        <w:rPr>
          <w:rFonts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pPr>
        <w:spacing w:line="560" w:lineRule="exact"/>
        <w:rPr>
          <w:rFonts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pPr>
        <w:spacing w:line="560" w:lineRule="exact"/>
        <w:rPr>
          <w:rFonts w:ascii="楷体" w:hAnsi="楷体" w:eastAsia="楷体" w:cs="楷体"/>
          <w:sz w:val="32"/>
          <w:szCs w:val="32"/>
        </w:rPr>
      </w:pPr>
      <w:r>
        <w:rPr>
          <w:rFonts w:hint="eastAsia" w:ascii="楷体" w:hAnsi="楷体" w:eastAsia="楷体" w:cs="楷体"/>
          <w:sz w:val="32"/>
          <w:szCs w:val="32"/>
        </w:rPr>
        <w:t>【相关资质复印件】（加盖单位公章和法人章）</w:t>
      </w:r>
    </w:p>
    <w:p>
      <w:pPr>
        <w:spacing w:line="560" w:lineRule="exact"/>
        <w:rPr>
          <w:rFonts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pPr>
        <w:spacing w:line="560" w:lineRule="exact"/>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pPr>
        <w:spacing w:line="560" w:lineRule="exact"/>
        <w:jc w:val="center"/>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石家庄市环境监控中心</w:t>
      </w:r>
    </w:p>
    <w:p>
      <w:pPr>
        <w:spacing w:line="560" w:lineRule="exact"/>
        <w:jc w:val="center"/>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TOF-MS VOCs走航车运维项目</w:t>
      </w:r>
    </w:p>
    <w:p>
      <w:pPr>
        <w:spacing w:line="560" w:lineRule="exact"/>
        <w:jc w:val="center"/>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询价告知卡</w:t>
      </w:r>
    </w:p>
    <w:p>
      <w:pPr>
        <w:pStyle w:val="32"/>
        <w:spacing w:line="560" w:lineRule="exact"/>
        <w:rPr>
          <w:rFonts w:ascii="方正小标宋_GBK" w:hAnsi="方正小标宋_GBK" w:eastAsia="方正小标宋_GBK" w:cs="方正小标宋_GBK"/>
          <w:sz w:val="44"/>
          <w:szCs w:val="44"/>
        </w:rPr>
      </w:pPr>
    </w:p>
    <w:p>
      <w:pPr>
        <w:pStyle w:val="3"/>
        <w:spacing w:line="560" w:lineRule="exact"/>
        <w:jc w:val="left"/>
        <w:rPr>
          <w:rFonts w:ascii="仿宋_GB2312" w:hAnsi="仿宋_GB2312" w:eastAsia="仿宋_GB2312" w:cs="仿宋_GB2312"/>
          <w:b w:val="0"/>
          <w:bCs/>
          <w:sz w:val="32"/>
          <w:szCs w:val="32"/>
          <w:u w:val="single"/>
        </w:rPr>
      </w:pPr>
      <w:r>
        <w:rPr>
          <w:rFonts w:hint="eastAsia" w:ascii="仿宋_GB2312" w:hAnsi="仿宋_GB2312" w:eastAsia="仿宋_GB2312" w:cs="仿宋_GB2312"/>
          <w:b w:val="0"/>
          <w:bCs/>
          <w:sz w:val="32"/>
          <w:szCs w:val="32"/>
          <w:u w:val="single"/>
        </w:rPr>
        <w:t xml:space="preserve">                             </w:t>
      </w:r>
      <w:r>
        <w:rPr>
          <w:rFonts w:hint="eastAsia" w:ascii="仿宋_GB2312" w:hAnsi="仿宋_GB2312" w:eastAsia="仿宋_GB2312" w:cs="仿宋_GB2312"/>
          <w:b w:val="0"/>
          <w:bCs/>
          <w:sz w:val="32"/>
          <w:szCs w:val="32"/>
        </w:rPr>
        <w:t xml:space="preserve"> （报价单位名称）：</w:t>
      </w:r>
    </w:p>
    <w:p>
      <w:pPr>
        <w:pStyle w:val="3"/>
        <w:spacing w:line="560" w:lineRule="exact"/>
        <w:rPr>
          <w:rFonts w:ascii="仿宋_GB2312" w:hAnsi="仿宋_GB2312" w:eastAsia="仿宋_GB2312" w:cs="仿宋_GB2312"/>
          <w:b w:val="0"/>
          <w:bCs/>
          <w:sz w:val="32"/>
          <w:szCs w:val="32"/>
          <w:u w:val="single"/>
        </w:rPr>
      </w:pPr>
    </w:p>
    <w:p>
      <w:pPr>
        <w:pStyle w:val="3"/>
        <w:numPr>
          <w:ilvl w:val="0"/>
          <w:numId w:val="6"/>
        </w:numPr>
        <w:spacing w:line="560" w:lineRule="exact"/>
        <w:jc w:val="both"/>
        <w:rPr>
          <w:rFonts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我单位官网发布的“石家庄市环境监控中心关于TOF-MS VOCs走航车运维项目的询价信息公告”是否阅知？</w:t>
      </w:r>
    </w:p>
    <w:p>
      <w:pPr>
        <w:pStyle w:val="3"/>
        <w:spacing w:line="560" w:lineRule="exact"/>
        <w:ind w:left="420"/>
        <w:jc w:val="both"/>
        <w:rPr>
          <w:rFonts w:ascii="仿宋_GB2312" w:hAnsi="仿宋_GB2312" w:eastAsia="仿宋_GB2312" w:cs="仿宋_GB2312"/>
          <w:b w:val="0"/>
          <w:bCs/>
          <w:sz w:val="32"/>
          <w:szCs w:val="32"/>
          <w:u w:val="single"/>
        </w:rPr>
      </w:pPr>
      <w:r>
        <w:rPr>
          <w:rFonts w:hint="eastAsia" w:ascii="仿宋_GB2312" w:hAnsi="仿宋_GB2312" w:eastAsia="仿宋_GB2312" w:cs="仿宋_GB2312"/>
          <w:b w:val="0"/>
          <w:bCs/>
          <w:sz w:val="32"/>
          <w:szCs w:val="32"/>
          <w:u w:val="single"/>
        </w:rPr>
        <w:t xml:space="preserve">             </w:t>
      </w:r>
    </w:p>
    <w:p>
      <w:pPr>
        <w:pStyle w:val="3"/>
        <w:numPr>
          <w:ilvl w:val="0"/>
          <w:numId w:val="6"/>
        </w:numPr>
        <w:spacing w:line="560" w:lineRule="exact"/>
        <w:jc w:val="both"/>
        <w:rPr>
          <w:rFonts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我单位官网发布的“石家庄市环境监控中心TOF-MS VOCs走航车运维项目询价要求及流程”是否阅知？</w:t>
      </w:r>
    </w:p>
    <w:p>
      <w:pPr>
        <w:pStyle w:val="3"/>
        <w:spacing w:line="560" w:lineRule="exact"/>
        <w:ind w:left="420"/>
        <w:jc w:val="both"/>
        <w:rPr>
          <w:rFonts w:ascii="仿宋_GB2312" w:hAnsi="仿宋_GB2312" w:eastAsia="仿宋_GB2312" w:cs="仿宋_GB2312"/>
          <w:b w:val="0"/>
          <w:bCs/>
          <w:sz w:val="32"/>
          <w:szCs w:val="32"/>
          <w:u w:val="single"/>
        </w:rPr>
      </w:pPr>
      <w:r>
        <w:rPr>
          <w:rFonts w:hint="eastAsia" w:ascii="仿宋_GB2312" w:hAnsi="仿宋_GB2312" w:eastAsia="仿宋_GB2312" w:cs="仿宋_GB2312"/>
          <w:b w:val="0"/>
          <w:bCs/>
          <w:sz w:val="32"/>
          <w:szCs w:val="32"/>
          <w:u w:val="single"/>
        </w:rPr>
        <w:t xml:space="preserve">              </w:t>
      </w:r>
    </w:p>
    <w:p>
      <w:pPr>
        <w:pStyle w:val="3"/>
        <w:numPr>
          <w:ilvl w:val="0"/>
          <w:numId w:val="6"/>
        </w:numPr>
        <w:spacing w:line="560" w:lineRule="exact"/>
        <w:jc w:val="both"/>
        <w:rPr>
          <w:rFonts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我单位官网发布的“石家庄市环境监控中心TOF-MS VOCs走航车运维项目工作方案”及采购需求是否阅知？</w:t>
      </w:r>
    </w:p>
    <w:p>
      <w:pPr>
        <w:pStyle w:val="3"/>
        <w:spacing w:line="560" w:lineRule="exact"/>
        <w:ind w:left="420"/>
        <w:jc w:val="both"/>
        <w:rPr>
          <w:rFonts w:ascii="仿宋_GB2312" w:hAnsi="仿宋_GB2312" w:eastAsia="仿宋_GB2312" w:cs="仿宋_GB2312"/>
          <w:b w:val="0"/>
          <w:bCs/>
          <w:sz w:val="32"/>
          <w:szCs w:val="32"/>
          <w:u w:val="single"/>
        </w:rPr>
      </w:pPr>
      <w:r>
        <w:rPr>
          <w:rFonts w:hint="eastAsia" w:ascii="仿宋_GB2312" w:hAnsi="仿宋_GB2312" w:eastAsia="仿宋_GB2312" w:cs="仿宋_GB2312"/>
          <w:b w:val="0"/>
          <w:bCs/>
          <w:sz w:val="32"/>
          <w:szCs w:val="32"/>
          <w:u w:val="single"/>
        </w:rPr>
        <w:t xml:space="preserve">             </w:t>
      </w:r>
    </w:p>
    <w:p>
      <w:pPr>
        <w:pStyle w:val="3"/>
        <w:spacing w:line="560" w:lineRule="exact"/>
        <w:jc w:val="both"/>
        <w:rPr>
          <w:rFonts w:ascii="仿宋_GB2312" w:hAnsi="仿宋_GB2312" w:eastAsia="仿宋_GB2312" w:cs="仿宋_GB2312"/>
          <w:b w:val="0"/>
          <w:bCs/>
          <w:sz w:val="32"/>
          <w:szCs w:val="32"/>
          <w:u w:val="single"/>
        </w:rPr>
      </w:pPr>
    </w:p>
    <w:p>
      <w:pPr>
        <w:pStyle w:val="3"/>
        <w:spacing w:line="560" w:lineRule="exact"/>
        <w:ind w:left="420" w:firstLine="960" w:firstLineChars="300"/>
        <w:jc w:val="both"/>
        <w:rPr>
          <w:rFonts w:ascii="仿宋_GB2312" w:hAnsi="仿宋_GB2312" w:eastAsia="仿宋_GB2312" w:cs="仿宋_GB2312"/>
          <w:b w:val="0"/>
          <w:bCs/>
          <w:sz w:val="32"/>
          <w:szCs w:val="32"/>
          <w:u w:val="single"/>
        </w:rPr>
      </w:pPr>
      <w:r>
        <w:rPr>
          <w:rFonts w:hint="eastAsia" w:ascii="仿宋_GB2312" w:hAnsi="仿宋_GB2312" w:eastAsia="仿宋_GB2312" w:cs="仿宋_GB2312"/>
          <w:b w:val="0"/>
          <w:bCs/>
          <w:sz w:val="32"/>
          <w:szCs w:val="32"/>
        </w:rPr>
        <w:t>报价单位（公章）：</w:t>
      </w:r>
      <w:r>
        <w:rPr>
          <w:rFonts w:hint="eastAsia" w:ascii="仿宋_GB2312" w:hAnsi="仿宋_GB2312" w:eastAsia="仿宋_GB2312" w:cs="仿宋_GB2312"/>
          <w:b w:val="0"/>
          <w:bCs/>
          <w:sz w:val="32"/>
          <w:szCs w:val="32"/>
          <w:u w:val="single"/>
        </w:rPr>
        <w:t xml:space="preserve">                               </w:t>
      </w:r>
    </w:p>
    <w:p>
      <w:pPr>
        <w:pStyle w:val="3"/>
        <w:spacing w:line="560" w:lineRule="exact"/>
        <w:ind w:left="420" w:firstLine="960" w:firstLineChars="300"/>
        <w:jc w:val="both"/>
        <w:rPr>
          <w:rFonts w:ascii="仿宋_GB2312" w:hAnsi="仿宋_GB2312" w:eastAsia="仿宋_GB2312" w:cs="仿宋_GB2312"/>
          <w:b w:val="0"/>
          <w:bCs/>
          <w:sz w:val="32"/>
          <w:szCs w:val="32"/>
          <w:u w:val="single"/>
        </w:rPr>
      </w:pPr>
    </w:p>
    <w:p>
      <w:pPr>
        <w:pStyle w:val="3"/>
        <w:spacing w:line="560" w:lineRule="exact"/>
        <w:ind w:left="420" w:firstLine="960" w:firstLineChars="300"/>
        <w:jc w:val="both"/>
        <w:rPr>
          <w:rFonts w:ascii="仿宋_GB2312" w:hAnsi="仿宋_GB2312" w:eastAsia="仿宋_GB2312" w:cs="仿宋_GB2312"/>
          <w:b w:val="0"/>
          <w:bCs/>
          <w:sz w:val="32"/>
          <w:szCs w:val="32"/>
          <w:u w:val="single"/>
        </w:rPr>
      </w:pPr>
    </w:p>
    <w:p>
      <w:pPr>
        <w:pStyle w:val="3"/>
        <w:spacing w:line="560" w:lineRule="exact"/>
        <w:ind w:left="420"/>
        <w:rPr>
          <w:rFonts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委托代理人（签字）：</w:t>
      </w:r>
    </w:p>
    <w:p>
      <w:pPr>
        <w:pStyle w:val="3"/>
        <w:spacing w:line="560" w:lineRule="exact"/>
        <w:ind w:left="420"/>
        <w:rPr>
          <w:rFonts w:ascii="仿宋_GB2312" w:hAnsi="仿宋_GB2312" w:eastAsia="仿宋_GB2312" w:cs="仿宋_GB2312"/>
          <w:b w:val="0"/>
          <w:bCs/>
          <w:sz w:val="32"/>
          <w:szCs w:val="32"/>
        </w:rPr>
      </w:pPr>
    </w:p>
    <w:p>
      <w:pPr>
        <w:pStyle w:val="3"/>
        <w:spacing w:line="560" w:lineRule="exact"/>
        <w:ind w:left="420"/>
        <w:rPr>
          <w:rFonts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方正小标宋_GBK">
    <w:panose1 w:val="02000000000000000000"/>
    <w:charset w:val="86"/>
    <w:family w:val="auto"/>
    <w:pitch w:val="default"/>
    <w:sig w:usb0="A00002BF" w:usb1="38CF7CFA" w:usb2="00082016" w:usb3="00000000" w:csb0="00040001" w:csb1="00000000"/>
  </w:font>
  <w:font w:name="楷体_GB2312">
    <w:panose1 w:val="02010609030101010101"/>
    <w:charset w:val="86"/>
    <w:family w:val="auto"/>
    <w:pitch w:val="default"/>
    <w:sig w:usb0="00000001" w:usb1="080E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pPr>
    <w:r>
      <w:fldChar w:fldCharType="begin"/>
    </w:r>
    <w:r>
      <w:instrText xml:space="preserve"> PAGE  \* MERGEFORMAT </w:instrText>
    </w:r>
    <w:r>
      <w:fldChar w:fldCharType="separate"/>
    </w:r>
    <w:r>
      <w:t>13</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pPr>
    <w:r>
      <w:fldChar w:fldCharType="begin"/>
    </w:r>
    <w:r>
      <w:instrText xml:space="preserve"> PAGE  \* MERGEFORMAT </w:instrText>
    </w:r>
    <w: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rPr>
    </w:lvl>
    <w:lvl w:ilvl="2" w:tentative="0">
      <w:start w:val="1"/>
      <w:numFmt w:val="decimal"/>
      <w:pStyle w:val="10"/>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2">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3">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4">
    <w:nsid w:val="5912EC30"/>
    <w:multiLevelType w:val="singleLevel"/>
    <w:tmpl w:val="5912EC30"/>
    <w:lvl w:ilvl="0" w:tentative="0">
      <w:start w:val="1"/>
      <w:numFmt w:val="decimal"/>
      <w:suff w:val="nothing"/>
      <w:lvlText w:val="%1．"/>
      <w:lvlJc w:val="left"/>
      <w:pPr>
        <w:ind w:left="0" w:firstLine="400"/>
      </w:pPr>
      <w:rPr>
        <w:rFonts w:hint="default"/>
      </w:rPr>
    </w:lvl>
  </w:abstractNum>
  <w:abstractNum w:abstractNumId="5">
    <w:nsid w:val="74E00803"/>
    <w:multiLevelType w:val="multilevel"/>
    <w:tmpl w:val="74E00803"/>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5"/>
  </w:num>
  <w:num w:numId="3">
    <w:abstractNumId w:val="2"/>
  </w:num>
  <w:num w:numId="4">
    <w:abstractNumId w:val="3"/>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dit="forms"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WE5NzViNDJlZTk1MzNmZWM4Nzc1NGQ0NzAxODJlZjkifQ=="/>
  </w:docVars>
  <w:rsids>
    <w:rsidRoot w:val="002C0A44"/>
    <w:rsid w:val="00004422"/>
    <w:rsid w:val="000336B9"/>
    <w:rsid w:val="000364B4"/>
    <w:rsid w:val="00036664"/>
    <w:rsid w:val="0004439D"/>
    <w:rsid w:val="0007765D"/>
    <w:rsid w:val="000E193C"/>
    <w:rsid w:val="00103CDD"/>
    <w:rsid w:val="00124ABE"/>
    <w:rsid w:val="001461AB"/>
    <w:rsid w:val="00151400"/>
    <w:rsid w:val="0016028D"/>
    <w:rsid w:val="001670DE"/>
    <w:rsid w:val="00185CC7"/>
    <w:rsid w:val="001A7A62"/>
    <w:rsid w:val="001E4DB6"/>
    <w:rsid w:val="001E5AFA"/>
    <w:rsid w:val="002C0A44"/>
    <w:rsid w:val="002D47E4"/>
    <w:rsid w:val="002E5FFF"/>
    <w:rsid w:val="0032468E"/>
    <w:rsid w:val="003D574E"/>
    <w:rsid w:val="003E1BA0"/>
    <w:rsid w:val="00422778"/>
    <w:rsid w:val="00435A06"/>
    <w:rsid w:val="0046143B"/>
    <w:rsid w:val="00461BAA"/>
    <w:rsid w:val="00470D5E"/>
    <w:rsid w:val="00476493"/>
    <w:rsid w:val="004A3AB1"/>
    <w:rsid w:val="004C0C8A"/>
    <w:rsid w:val="004E6E6C"/>
    <w:rsid w:val="00506845"/>
    <w:rsid w:val="00552C48"/>
    <w:rsid w:val="00560D65"/>
    <w:rsid w:val="00575286"/>
    <w:rsid w:val="005B21A0"/>
    <w:rsid w:val="005B5169"/>
    <w:rsid w:val="005D26C7"/>
    <w:rsid w:val="005E0B87"/>
    <w:rsid w:val="00602223"/>
    <w:rsid w:val="00603A16"/>
    <w:rsid w:val="00615F3B"/>
    <w:rsid w:val="00681FBD"/>
    <w:rsid w:val="00682EB0"/>
    <w:rsid w:val="00684E4E"/>
    <w:rsid w:val="00693727"/>
    <w:rsid w:val="00693BD4"/>
    <w:rsid w:val="006B6264"/>
    <w:rsid w:val="006E0458"/>
    <w:rsid w:val="00752FD1"/>
    <w:rsid w:val="0075335E"/>
    <w:rsid w:val="0075695E"/>
    <w:rsid w:val="007F5DE8"/>
    <w:rsid w:val="00803F6A"/>
    <w:rsid w:val="00811124"/>
    <w:rsid w:val="00816D57"/>
    <w:rsid w:val="00855350"/>
    <w:rsid w:val="00876E1F"/>
    <w:rsid w:val="00890D18"/>
    <w:rsid w:val="008945B8"/>
    <w:rsid w:val="009033D0"/>
    <w:rsid w:val="0099229D"/>
    <w:rsid w:val="009F30A1"/>
    <w:rsid w:val="00A10953"/>
    <w:rsid w:val="00A16E81"/>
    <w:rsid w:val="00A403BF"/>
    <w:rsid w:val="00A46E9B"/>
    <w:rsid w:val="00A67AC2"/>
    <w:rsid w:val="00A752FC"/>
    <w:rsid w:val="00A91C3A"/>
    <w:rsid w:val="00A960A3"/>
    <w:rsid w:val="00AC1EBB"/>
    <w:rsid w:val="00AC4FE5"/>
    <w:rsid w:val="00B1284E"/>
    <w:rsid w:val="00B21E77"/>
    <w:rsid w:val="00B70B58"/>
    <w:rsid w:val="00BC2D30"/>
    <w:rsid w:val="00BD41DF"/>
    <w:rsid w:val="00BD6C0A"/>
    <w:rsid w:val="00BD73D0"/>
    <w:rsid w:val="00BF43AA"/>
    <w:rsid w:val="00BF58B1"/>
    <w:rsid w:val="00C1752A"/>
    <w:rsid w:val="00C245A2"/>
    <w:rsid w:val="00C42E50"/>
    <w:rsid w:val="00C56BBB"/>
    <w:rsid w:val="00C80A00"/>
    <w:rsid w:val="00C80C0A"/>
    <w:rsid w:val="00C93AA0"/>
    <w:rsid w:val="00CE40C5"/>
    <w:rsid w:val="00CF2C21"/>
    <w:rsid w:val="00D27F9E"/>
    <w:rsid w:val="00D3688D"/>
    <w:rsid w:val="00D71FB0"/>
    <w:rsid w:val="00DA3B74"/>
    <w:rsid w:val="00DE1FD3"/>
    <w:rsid w:val="00DE3410"/>
    <w:rsid w:val="00DE57BA"/>
    <w:rsid w:val="00DE737C"/>
    <w:rsid w:val="00E75149"/>
    <w:rsid w:val="00EB5E32"/>
    <w:rsid w:val="00EF1ACF"/>
    <w:rsid w:val="00FB071E"/>
    <w:rsid w:val="00FB1B6F"/>
    <w:rsid w:val="00FB6A2C"/>
    <w:rsid w:val="00FD79A8"/>
    <w:rsid w:val="00FE2C98"/>
    <w:rsid w:val="01D53C37"/>
    <w:rsid w:val="02B80751"/>
    <w:rsid w:val="02BE5763"/>
    <w:rsid w:val="034E7427"/>
    <w:rsid w:val="054637EC"/>
    <w:rsid w:val="05AA1AAE"/>
    <w:rsid w:val="05C20325"/>
    <w:rsid w:val="06FF4152"/>
    <w:rsid w:val="0BA31992"/>
    <w:rsid w:val="0C63233E"/>
    <w:rsid w:val="0CD60C9A"/>
    <w:rsid w:val="0E88796A"/>
    <w:rsid w:val="0EC0759D"/>
    <w:rsid w:val="0EDF32A9"/>
    <w:rsid w:val="105B6A84"/>
    <w:rsid w:val="10BD0069"/>
    <w:rsid w:val="10E34450"/>
    <w:rsid w:val="11E76B9F"/>
    <w:rsid w:val="12684593"/>
    <w:rsid w:val="1320369B"/>
    <w:rsid w:val="13325751"/>
    <w:rsid w:val="135D040F"/>
    <w:rsid w:val="13621EEC"/>
    <w:rsid w:val="138564F0"/>
    <w:rsid w:val="13AA5E2B"/>
    <w:rsid w:val="13D73627"/>
    <w:rsid w:val="13E41600"/>
    <w:rsid w:val="15A52F2E"/>
    <w:rsid w:val="176653E9"/>
    <w:rsid w:val="17C821C3"/>
    <w:rsid w:val="18C563ED"/>
    <w:rsid w:val="1AC66850"/>
    <w:rsid w:val="1B8D5C41"/>
    <w:rsid w:val="1E486234"/>
    <w:rsid w:val="1F012D15"/>
    <w:rsid w:val="1F472438"/>
    <w:rsid w:val="1F6623C1"/>
    <w:rsid w:val="1FC13DE7"/>
    <w:rsid w:val="20304FD0"/>
    <w:rsid w:val="204E102B"/>
    <w:rsid w:val="213868ED"/>
    <w:rsid w:val="219A57C2"/>
    <w:rsid w:val="222840E4"/>
    <w:rsid w:val="22DF2C0B"/>
    <w:rsid w:val="238D0876"/>
    <w:rsid w:val="23973171"/>
    <w:rsid w:val="24BB6482"/>
    <w:rsid w:val="275D3454"/>
    <w:rsid w:val="27AD5DE8"/>
    <w:rsid w:val="2805730B"/>
    <w:rsid w:val="287F7D81"/>
    <w:rsid w:val="28D94CC5"/>
    <w:rsid w:val="28E145A1"/>
    <w:rsid w:val="2901229F"/>
    <w:rsid w:val="29BC1BEA"/>
    <w:rsid w:val="2A962289"/>
    <w:rsid w:val="2B57444A"/>
    <w:rsid w:val="2BCD7650"/>
    <w:rsid w:val="2C770D7D"/>
    <w:rsid w:val="2D5A65C5"/>
    <w:rsid w:val="2D7F55C2"/>
    <w:rsid w:val="2DEB62CF"/>
    <w:rsid w:val="2E363BB3"/>
    <w:rsid w:val="2E922A59"/>
    <w:rsid w:val="2EB57CCE"/>
    <w:rsid w:val="2F811C83"/>
    <w:rsid w:val="3156643E"/>
    <w:rsid w:val="32B928D7"/>
    <w:rsid w:val="32BC67A5"/>
    <w:rsid w:val="32D76267"/>
    <w:rsid w:val="332609ED"/>
    <w:rsid w:val="33433250"/>
    <w:rsid w:val="346A24A1"/>
    <w:rsid w:val="36336D3C"/>
    <w:rsid w:val="37664A4B"/>
    <w:rsid w:val="37D31B27"/>
    <w:rsid w:val="3A3F6D53"/>
    <w:rsid w:val="3A9F725A"/>
    <w:rsid w:val="3B2535D0"/>
    <w:rsid w:val="3C3314A1"/>
    <w:rsid w:val="3C771D8C"/>
    <w:rsid w:val="3E7C6181"/>
    <w:rsid w:val="3ED04B63"/>
    <w:rsid w:val="3F345B9D"/>
    <w:rsid w:val="3F7F7419"/>
    <w:rsid w:val="3FC2791B"/>
    <w:rsid w:val="3FCD703E"/>
    <w:rsid w:val="403959A7"/>
    <w:rsid w:val="403A29F5"/>
    <w:rsid w:val="42B43088"/>
    <w:rsid w:val="44127729"/>
    <w:rsid w:val="45330549"/>
    <w:rsid w:val="47D64CBF"/>
    <w:rsid w:val="486D2B74"/>
    <w:rsid w:val="48786C4F"/>
    <w:rsid w:val="48BA422E"/>
    <w:rsid w:val="49862862"/>
    <w:rsid w:val="4A103E4C"/>
    <w:rsid w:val="4A7B1A5F"/>
    <w:rsid w:val="4B34396A"/>
    <w:rsid w:val="4B562B1E"/>
    <w:rsid w:val="4C900CC1"/>
    <w:rsid w:val="4D4E52B1"/>
    <w:rsid w:val="4E276751"/>
    <w:rsid w:val="4E486040"/>
    <w:rsid w:val="4F331713"/>
    <w:rsid w:val="50120259"/>
    <w:rsid w:val="5096171E"/>
    <w:rsid w:val="52B30142"/>
    <w:rsid w:val="52B34A6D"/>
    <w:rsid w:val="535165EE"/>
    <w:rsid w:val="53EA4A51"/>
    <w:rsid w:val="545E3EDB"/>
    <w:rsid w:val="546A57C4"/>
    <w:rsid w:val="54BD7D6C"/>
    <w:rsid w:val="55223BCA"/>
    <w:rsid w:val="56561DB1"/>
    <w:rsid w:val="569F214B"/>
    <w:rsid w:val="580426D3"/>
    <w:rsid w:val="59B11BB7"/>
    <w:rsid w:val="59CD4E8E"/>
    <w:rsid w:val="59FF1043"/>
    <w:rsid w:val="5A312564"/>
    <w:rsid w:val="5A431531"/>
    <w:rsid w:val="5B4A3877"/>
    <w:rsid w:val="5B5F0B54"/>
    <w:rsid w:val="5B7F49C4"/>
    <w:rsid w:val="5B8649E8"/>
    <w:rsid w:val="5DFCCC2E"/>
    <w:rsid w:val="5EAE0D08"/>
    <w:rsid w:val="5F0919A4"/>
    <w:rsid w:val="612A52AD"/>
    <w:rsid w:val="617625B0"/>
    <w:rsid w:val="61817A1F"/>
    <w:rsid w:val="620F2B8A"/>
    <w:rsid w:val="62517FC0"/>
    <w:rsid w:val="62720114"/>
    <w:rsid w:val="627853EA"/>
    <w:rsid w:val="638C03E2"/>
    <w:rsid w:val="64481E81"/>
    <w:rsid w:val="645131D3"/>
    <w:rsid w:val="659C40EE"/>
    <w:rsid w:val="66302E0F"/>
    <w:rsid w:val="672B0915"/>
    <w:rsid w:val="67AB00FD"/>
    <w:rsid w:val="67BE26CC"/>
    <w:rsid w:val="680A67C8"/>
    <w:rsid w:val="68837F16"/>
    <w:rsid w:val="68E07AEE"/>
    <w:rsid w:val="69006831"/>
    <w:rsid w:val="6A4A6515"/>
    <w:rsid w:val="6A640F76"/>
    <w:rsid w:val="6D547EE1"/>
    <w:rsid w:val="6D5962F0"/>
    <w:rsid w:val="6DD00BA9"/>
    <w:rsid w:val="6DD54301"/>
    <w:rsid w:val="6E2C46FB"/>
    <w:rsid w:val="6F125D61"/>
    <w:rsid w:val="70642025"/>
    <w:rsid w:val="70F652BC"/>
    <w:rsid w:val="71407CFA"/>
    <w:rsid w:val="726C6ADB"/>
    <w:rsid w:val="751F4904"/>
    <w:rsid w:val="759706CC"/>
    <w:rsid w:val="762941A2"/>
    <w:rsid w:val="76536B40"/>
    <w:rsid w:val="76D36788"/>
    <w:rsid w:val="77D53717"/>
    <w:rsid w:val="784D55E5"/>
    <w:rsid w:val="7B32A480"/>
    <w:rsid w:val="7BF73AFC"/>
    <w:rsid w:val="7C115EE7"/>
    <w:rsid w:val="7DBE5B9D"/>
    <w:rsid w:val="7E1A6E9E"/>
    <w:rsid w:val="7F50046D"/>
    <w:rsid w:val="7F57F4BF"/>
    <w:rsid w:val="7F692A5A"/>
    <w:rsid w:val="7FA31D97"/>
    <w:rsid w:val="7FB23D36"/>
    <w:rsid w:val="7FFB4B40"/>
    <w:rsid w:val="AEE7719B"/>
    <w:rsid w:val="BEBEE039"/>
    <w:rsid w:val="ECAE8611"/>
    <w:rsid w:val="FA7DCE59"/>
    <w:rsid w:val="FBEEF55B"/>
    <w:rsid w:val="FE7FE847"/>
    <w:rsid w:val="FF7DBA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8">
    <w:name w:val="heading 1"/>
    <w:basedOn w:val="1"/>
    <w:next w:val="1"/>
    <w:qFormat/>
    <w:uiPriority w:val="0"/>
    <w:pPr>
      <w:keepNext/>
      <w:jc w:val="left"/>
      <w:outlineLvl w:val="0"/>
    </w:pPr>
    <w:rPr>
      <w:rFonts w:ascii="宋体" w:hAnsi="宋体"/>
      <w:b/>
      <w:sz w:val="32"/>
      <w:szCs w:val="20"/>
    </w:rPr>
  </w:style>
  <w:style w:type="paragraph" w:styleId="9">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10">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11">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12">
    <w:name w:val="heading 5"/>
    <w:basedOn w:val="1"/>
    <w:next w:val="1"/>
    <w:unhideWhenUsed/>
    <w:qFormat/>
    <w:uiPriority w:val="0"/>
    <w:pPr>
      <w:keepNext/>
      <w:keepLines/>
      <w:spacing w:before="280" w:after="290" w:line="376" w:lineRule="atLeast"/>
      <w:outlineLvl w:val="4"/>
    </w:pPr>
    <w:rPr>
      <w:bCs/>
      <w:szCs w:val="28"/>
    </w:rPr>
  </w:style>
  <w:style w:type="character" w:default="1" w:styleId="26">
    <w:name w:val="Default Paragraph Font"/>
    <w:unhideWhenUsed/>
    <w:qFormat/>
    <w:uiPriority w:val="1"/>
  </w:style>
  <w:style w:type="table" w:default="1" w:styleId="24">
    <w:name w:val="Normal Table"/>
    <w:unhideWhenUsed/>
    <w:qFormat/>
    <w:uiPriority w:val="99"/>
    <w:tblPr>
      <w:tblCellMar>
        <w:top w:w="0" w:type="dxa"/>
        <w:left w:w="108" w:type="dxa"/>
        <w:bottom w:w="0" w:type="dxa"/>
        <w:right w:w="108" w:type="dxa"/>
      </w:tblCellMar>
    </w:tblPr>
  </w:style>
  <w:style w:type="paragraph" w:styleId="2">
    <w:name w:val="Body Text First Indent"/>
    <w:basedOn w:val="3"/>
    <w:next w:val="4"/>
    <w:unhideWhenUsed/>
    <w:qFormat/>
    <w:uiPriority w:val="99"/>
    <w:pPr>
      <w:ind w:firstLine="420" w:firstLineChars="100"/>
    </w:pPr>
  </w:style>
  <w:style w:type="paragraph" w:styleId="3">
    <w:name w:val="Body Text"/>
    <w:basedOn w:val="1"/>
    <w:next w:val="2"/>
    <w:qFormat/>
    <w:uiPriority w:val="0"/>
    <w:pPr>
      <w:jc w:val="center"/>
    </w:pPr>
    <w:rPr>
      <w:rFonts w:ascii="宋体"/>
      <w:b/>
      <w:sz w:val="48"/>
    </w:rPr>
  </w:style>
  <w:style w:type="paragraph" w:styleId="4">
    <w:name w:val="Body Text First Indent 2"/>
    <w:basedOn w:val="5"/>
    <w:next w:val="7"/>
    <w:unhideWhenUsed/>
    <w:qFormat/>
    <w:uiPriority w:val="99"/>
    <w:pPr>
      <w:ind w:firstLine="420" w:firstLineChars="200"/>
    </w:pPr>
  </w:style>
  <w:style w:type="paragraph" w:styleId="5">
    <w:name w:val="Body Text Indent"/>
    <w:basedOn w:val="1"/>
    <w:next w:val="6"/>
    <w:unhideWhenUsed/>
    <w:qFormat/>
    <w:uiPriority w:val="99"/>
    <w:pPr>
      <w:spacing w:after="120"/>
      <w:ind w:left="420" w:leftChars="200"/>
    </w:pPr>
    <w:rPr>
      <w:rFonts w:ascii="Times New Roman" w:hAnsi="Times New Roman" w:eastAsia="宋体" w:cs="Times New Roman"/>
    </w:rPr>
  </w:style>
  <w:style w:type="paragraph" w:styleId="6">
    <w:name w:val="footer"/>
    <w:basedOn w:val="1"/>
    <w:next w:val="4"/>
    <w:qFormat/>
    <w:uiPriority w:val="0"/>
    <w:pPr>
      <w:tabs>
        <w:tab w:val="center" w:pos="4153"/>
        <w:tab w:val="right" w:pos="8306"/>
      </w:tabs>
      <w:snapToGrid w:val="0"/>
      <w:jc w:val="left"/>
    </w:pPr>
    <w:rPr>
      <w:sz w:val="18"/>
    </w:rPr>
  </w:style>
  <w:style w:type="paragraph" w:styleId="7">
    <w:name w:val="List Continue"/>
    <w:basedOn w:val="1"/>
    <w:next w:val="2"/>
    <w:qFormat/>
    <w:uiPriority w:val="0"/>
    <w:pPr>
      <w:spacing w:after="120"/>
      <w:ind w:left="420" w:firstLine="3584"/>
    </w:pPr>
  </w:style>
  <w:style w:type="paragraph" w:styleId="13">
    <w:name w:val="Normal Indent"/>
    <w:basedOn w:val="1"/>
    <w:qFormat/>
    <w:uiPriority w:val="0"/>
    <w:pPr>
      <w:spacing w:line="360" w:lineRule="auto"/>
      <w:ind w:firstLine="420"/>
    </w:pPr>
    <w:rPr>
      <w:szCs w:val="20"/>
    </w:rPr>
  </w:style>
  <w:style w:type="paragraph" w:styleId="14">
    <w:name w:val="annotation text"/>
    <w:basedOn w:val="1"/>
    <w:link w:val="41"/>
    <w:qFormat/>
    <w:uiPriority w:val="0"/>
    <w:pPr>
      <w:jc w:val="left"/>
    </w:pPr>
  </w:style>
  <w:style w:type="paragraph" w:styleId="15">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6">
    <w:name w:val="Balloon Text"/>
    <w:basedOn w:val="1"/>
    <w:link w:val="43"/>
    <w:qFormat/>
    <w:uiPriority w:val="0"/>
    <w:rPr>
      <w:sz w:val="18"/>
      <w:szCs w:val="18"/>
    </w:rPr>
  </w:style>
  <w:style w:type="paragraph" w:styleId="1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8">
    <w:name w:val="toc 1"/>
    <w:basedOn w:val="1"/>
    <w:next w:val="1"/>
    <w:qFormat/>
    <w:uiPriority w:val="0"/>
    <w:pPr>
      <w:spacing w:before="120" w:after="120"/>
      <w:jc w:val="left"/>
    </w:pPr>
    <w:rPr>
      <w:b/>
      <w:bCs/>
      <w:caps/>
    </w:rPr>
  </w:style>
  <w:style w:type="paragraph" w:styleId="19">
    <w:name w:val="toc 4"/>
    <w:basedOn w:val="1"/>
    <w:next w:val="1"/>
    <w:qFormat/>
    <w:uiPriority w:val="0"/>
    <w:pPr>
      <w:ind w:left="1260" w:leftChars="600"/>
    </w:pPr>
  </w:style>
  <w:style w:type="paragraph" w:styleId="20">
    <w:name w:val="Body Text Indent 3"/>
    <w:basedOn w:val="1"/>
    <w:qFormat/>
    <w:uiPriority w:val="0"/>
    <w:pPr>
      <w:ind w:firstLine="560" w:firstLineChars="200"/>
    </w:pPr>
    <w:rPr>
      <w:rFonts w:ascii="仿宋_GB2312" w:eastAsia="仿宋_GB2312"/>
      <w:sz w:val="28"/>
    </w:rPr>
  </w:style>
  <w:style w:type="paragraph" w:styleId="21">
    <w:name w:val="toc 2"/>
    <w:basedOn w:val="1"/>
    <w:next w:val="1"/>
    <w:qFormat/>
    <w:uiPriority w:val="0"/>
    <w:pPr>
      <w:tabs>
        <w:tab w:val="right" w:leader="dot" w:pos="9038"/>
      </w:tabs>
      <w:spacing w:line="60" w:lineRule="atLeast"/>
      <w:ind w:left="210"/>
      <w:jc w:val="left"/>
    </w:pPr>
    <w:rPr>
      <w:smallCaps/>
    </w:rPr>
  </w:style>
  <w:style w:type="paragraph" w:styleId="22">
    <w:name w:val="Normal (Web)"/>
    <w:basedOn w:val="1"/>
    <w:qFormat/>
    <w:uiPriority w:val="0"/>
    <w:rPr>
      <w:rFonts w:ascii="Calibri" w:hAnsi="Calibri" w:eastAsia="宋体" w:cs="Times New Roman"/>
      <w:sz w:val="24"/>
    </w:rPr>
  </w:style>
  <w:style w:type="paragraph" w:styleId="23">
    <w:name w:val="annotation subject"/>
    <w:basedOn w:val="14"/>
    <w:next w:val="14"/>
    <w:link w:val="42"/>
    <w:qFormat/>
    <w:uiPriority w:val="0"/>
    <w:rPr>
      <w:b/>
      <w:bCs/>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7">
    <w:name w:val="page number"/>
    <w:basedOn w:val="26"/>
    <w:qFormat/>
    <w:uiPriority w:val="0"/>
  </w:style>
  <w:style w:type="character" w:styleId="28">
    <w:name w:val="Hyperlink"/>
    <w:basedOn w:val="26"/>
    <w:qFormat/>
    <w:uiPriority w:val="0"/>
    <w:rPr>
      <w:color w:val="0000FF"/>
      <w:u w:val="single"/>
    </w:rPr>
  </w:style>
  <w:style w:type="character" w:styleId="29">
    <w:name w:val="annotation reference"/>
    <w:basedOn w:val="26"/>
    <w:qFormat/>
    <w:uiPriority w:val="0"/>
    <w:rPr>
      <w:sz w:val="21"/>
      <w:szCs w:val="21"/>
    </w:rPr>
  </w:style>
  <w:style w:type="paragraph" w:customStyle="1" w:styleId="30">
    <w:name w:val="正文@"/>
    <w:basedOn w:val="1"/>
    <w:qFormat/>
    <w:uiPriority w:val="0"/>
    <w:pPr>
      <w:adjustRightInd w:val="0"/>
      <w:snapToGrid w:val="0"/>
      <w:spacing w:line="560" w:lineRule="exact"/>
      <w:ind w:firstLine="640" w:firstLineChars="200"/>
    </w:pPr>
    <w:rPr>
      <w:rFonts w:ascii="仿宋_GB2312" w:hAnsi="宋体" w:eastAsia="仿宋_GB2312" w:cs="宋体"/>
      <w:kern w:val="0"/>
      <w:sz w:val="32"/>
      <w:szCs w:val="32"/>
    </w:rPr>
  </w:style>
  <w:style w:type="paragraph" w:customStyle="1" w:styleId="31">
    <w:name w:val="Char"/>
    <w:basedOn w:val="1"/>
    <w:qFormat/>
    <w:uiPriority w:val="0"/>
    <w:rPr>
      <w:szCs w:val="20"/>
    </w:rPr>
  </w:style>
  <w:style w:type="paragraph" w:customStyle="1" w:styleId="32">
    <w:name w:val="表格文字"/>
    <w:basedOn w:val="1"/>
    <w:next w:val="3"/>
    <w:qFormat/>
    <w:uiPriority w:val="0"/>
    <w:pPr>
      <w:spacing w:line="360" w:lineRule="auto"/>
      <w:jc w:val="left"/>
    </w:pPr>
    <w:rPr>
      <w:rFonts w:ascii="Times New Roman" w:hAnsi="Times New Roman"/>
      <w:bCs/>
      <w:spacing w:val="10"/>
      <w:kern w:val="0"/>
      <w:szCs w:val="21"/>
    </w:rPr>
  </w:style>
  <w:style w:type="paragraph" w:customStyle="1" w:styleId="33">
    <w:name w:val="正文1"/>
    <w:basedOn w:val="34"/>
    <w:qFormat/>
    <w:uiPriority w:val="0"/>
    <w:pPr>
      <w:jc w:val="both"/>
    </w:pPr>
    <w:rPr>
      <w:rFonts w:ascii="Times New Roman" w:hAnsi="Times New Roman" w:eastAsia="Times New Roman"/>
      <w:sz w:val="21"/>
    </w:rPr>
  </w:style>
  <w:style w:type="paragraph" w:customStyle="1" w:styleId="34">
    <w:name w:val="[Normal]"/>
    <w:qFormat/>
    <w:uiPriority w:val="0"/>
    <w:rPr>
      <w:rFonts w:ascii="宋体" w:hAnsi="宋体" w:eastAsiaTheme="minorEastAsia" w:cstheme="minorBidi"/>
      <w:sz w:val="24"/>
      <w:szCs w:val="22"/>
      <w:lang w:val="en-US" w:eastAsia="en-US" w:bidi="ar-SA"/>
    </w:rPr>
  </w:style>
  <w:style w:type="paragraph" w:customStyle="1" w:styleId="35">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6">
    <w:name w:val="C503-正文格式"/>
    <w:basedOn w:val="1"/>
    <w:qFormat/>
    <w:uiPriority w:val="0"/>
    <w:pPr>
      <w:spacing w:line="360" w:lineRule="auto"/>
      <w:ind w:firstLine="480" w:firstLineChars="200"/>
    </w:pPr>
    <w:rPr>
      <w:rFonts w:cs="宋体"/>
      <w:sz w:val="24"/>
      <w:szCs w:val="22"/>
    </w:rPr>
  </w:style>
  <w:style w:type="character" w:customStyle="1" w:styleId="37">
    <w:name w:val="font51"/>
    <w:basedOn w:val="26"/>
    <w:qFormat/>
    <w:uiPriority w:val="0"/>
    <w:rPr>
      <w:rFonts w:hint="eastAsia" w:ascii="仿宋" w:hAnsi="仿宋" w:eastAsia="仿宋" w:cs="仿宋"/>
      <w:color w:val="000000"/>
      <w:sz w:val="22"/>
      <w:szCs w:val="22"/>
      <w:u w:val="none"/>
    </w:rPr>
  </w:style>
  <w:style w:type="table" w:customStyle="1" w:styleId="38">
    <w:name w:val="网格型8"/>
    <w:basedOn w:val="2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9">
    <w:name w:val="列出段落1"/>
    <w:basedOn w:val="1"/>
    <w:qFormat/>
    <w:uiPriority w:val="34"/>
    <w:pPr>
      <w:ind w:firstLine="420"/>
    </w:pPr>
  </w:style>
  <w:style w:type="character" w:customStyle="1" w:styleId="40">
    <w:name w:val="font31"/>
    <w:basedOn w:val="26"/>
    <w:qFormat/>
    <w:uiPriority w:val="0"/>
    <w:rPr>
      <w:rFonts w:hint="eastAsia" w:ascii="宋体" w:hAnsi="宋体" w:eastAsia="宋体" w:cs="宋体"/>
      <w:color w:val="000000"/>
      <w:sz w:val="24"/>
      <w:szCs w:val="24"/>
      <w:u w:val="none"/>
    </w:rPr>
  </w:style>
  <w:style w:type="character" w:customStyle="1" w:styleId="41">
    <w:name w:val="批注文字 Char"/>
    <w:basedOn w:val="26"/>
    <w:link w:val="14"/>
    <w:qFormat/>
    <w:uiPriority w:val="0"/>
    <w:rPr>
      <w:rFonts w:asciiTheme="minorHAnsi" w:hAnsiTheme="minorHAnsi" w:eastAsiaTheme="minorEastAsia" w:cstheme="minorBidi"/>
      <w:kern w:val="2"/>
      <w:sz w:val="21"/>
      <w:szCs w:val="24"/>
    </w:rPr>
  </w:style>
  <w:style w:type="character" w:customStyle="1" w:styleId="42">
    <w:name w:val="批注主题 Char"/>
    <w:basedOn w:val="41"/>
    <w:link w:val="23"/>
    <w:qFormat/>
    <w:uiPriority w:val="0"/>
    <w:rPr>
      <w:rFonts w:asciiTheme="minorHAnsi" w:hAnsiTheme="minorHAnsi" w:eastAsiaTheme="minorEastAsia" w:cstheme="minorBidi"/>
      <w:b/>
      <w:bCs/>
      <w:kern w:val="2"/>
      <w:sz w:val="21"/>
      <w:szCs w:val="24"/>
    </w:rPr>
  </w:style>
  <w:style w:type="character" w:customStyle="1" w:styleId="43">
    <w:name w:val="批注框文本 Char"/>
    <w:basedOn w:val="26"/>
    <w:link w:val="16"/>
    <w:qFormat/>
    <w:uiPriority w:val="0"/>
    <w:rPr>
      <w:rFonts w:asciiTheme="minorHAnsi" w:hAnsiTheme="minorHAnsi" w:eastAsiaTheme="minorEastAsia" w:cstheme="minorBidi"/>
      <w:kern w:val="2"/>
      <w:sz w:val="18"/>
      <w:szCs w:val="18"/>
    </w:rPr>
  </w:style>
  <w:style w:type="paragraph" w:customStyle="1" w:styleId="44">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5">
    <w:name w:val="列表段落1"/>
    <w:basedOn w:val="1"/>
    <w:qFormat/>
    <w:uiPriority w:val="99"/>
    <w:pPr>
      <w:ind w:firstLine="420" w:firstLineChars="200"/>
    </w:pPr>
  </w:style>
  <w:style w:type="character" w:customStyle="1" w:styleId="46">
    <w:name w:val="未处理的提及1"/>
    <w:basedOn w:val="26"/>
    <w:unhideWhenUsed/>
    <w:qFormat/>
    <w:uiPriority w:val="99"/>
    <w:rPr>
      <w:color w:val="605E5C"/>
      <w:shd w:val="clear" w:color="auto" w:fill="E1DFDD"/>
    </w:rPr>
  </w:style>
  <w:style w:type="paragraph" w:customStyle="1" w:styleId="47">
    <w:name w:val="正文缩进1"/>
    <w:basedOn w:val="1"/>
    <w:qFormat/>
    <w:uiPriority w:val="0"/>
    <w:pPr>
      <w:ind w:firstLine="420"/>
    </w:pPr>
  </w:style>
  <w:style w:type="paragraph" w:customStyle="1" w:styleId="48">
    <w:name w:val="+正文"/>
    <w:basedOn w:val="1"/>
    <w:link w:val="50"/>
    <w:qFormat/>
    <w:uiPriority w:val="0"/>
    <w:pPr>
      <w:spacing w:line="360" w:lineRule="auto"/>
      <w:ind w:firstLine="200" w:firstLineChars="200"/>
    </w:pPr>
    <w:rPr>
      <w:rFonts w:ascii="Times New Roman" w:hAnsi="Times New Roman" w:eastAsia="宋体" w:cs="Times New Roman"/>
      <w:sz w:val="24"/>
      <w:szCs w:val="20"/>
      <w:lang w:eastAsia="en-US"/>
    </w:rPr>
  </w:style>
  <w:style w:type="paragraph" w:customStyle="1" w:styleId="49">
    <w:name w:val="列表段落2"/>
    <w:basedOn w:val="1"/>
    <w:qFormat/>
    <w:uiPriority w:val="34"/>
    <w:pPr>
      <w:ind w:firstLine="200" w:firstLineChars="200"/>
    </w:pPr>
    <w:rPr>
      <w:rFonts w:ascii="Calibri" w:hAnsi="Calibri" w:eastAsia="宋体"/>
      <w:lang w:eastAsia="en-US"/>
    </w:rPr>
  </w:style>
  <w:style w:type="character" w:customStyle="1" w:styleId="50">
    <w:name w:val="+正文 Char3"/>
    <w:link w:val="48"/>
    <w:qFormat/>
    <w:uiPriority w:val="0"/>
    <w:rPr>
      <w:kern w:val="2"/>
      <w:sz w:val="24"/>
      <w:lang w:eastAsia="en-US"/>
    </w:rPr>
  </w:style>
  <w:style w:type="paragraph" w:customStyle="1" w:styleId="51">
    <w:name w:val="_Style 28"/>
    <w:basedOn w:val="1"/>
    <w:next w:val="52"/>
    <w:qFormat/>
    <w:uiPriority w:val="34"/>
    <w:pPr>
      <w:ind w:firstLine="200" w:firstLineChars="200"/>
      <w:jc w:val="left"/>
    </w:pPr>
    <w:rPr>
      <w:rFonts w:ascii="Calibri" w:hAnsi="Calibri" w:eastAsia="宋体" w:cs="Times New Roman"/>
      <w:kern w:val="0"/>
      <w:sz w:val="22"/>
      <w:szCs w:val="22"/>
      <w:lang w:eastAsia="en-US"/>
    </w:rPr>
  </w:style>
  <w:style w:type="paragraph" w:customStyle="1" w:styleId="52">
    <w:name w:val="列表段落3"/>
    <w:basedOn w:val="1"/>
    <w:qFormat/>
    <w:uiPriority w:val="99"/>
    <w:pPr>
      <w:ind w:firstLine="420" w:firstLineChars="200"/>
    </w:pPr>
  </w:style>
  <w:style w:type="paragraph" w:customStyle="1" w:styleId="53">
    <w:name w:val="@正文"/>
    <w:basedOn w:val="1"/>
    <w:link w:val="54"/>
    <w:qFormat/>
    <w:uiPriority w:val="0"/>
    <w:pPr>
      <w:spacing w:line="560" w:lineRule="exact"/>
      <w:ind w:firstLine="200" w:firstLineChars="200"/>
    </w:pPr>
    <w:rPr>
      <w:rFonts w:ascii="仿宋_GB2312" w:hAnsi="黑体" w:eastAsia="仿宋_GB2312" w:cs="Times New Roman"/>
      <w:sz w:val="32"/>
      <w:szCs w:val="32"/>
    </w:rPr>
  </w:style>
  <w:style w:type="character" w:customStyle="1" w:styleId="54">
    <w:name w:val="@正文 字符"/>
    <w:link w:val="53"/>
    <w:qFormat/>
    <w:uiPriority w:val="0"/>
    <w:rPr>
      <w:rFonts w:ascii="仿宋_GB2312" w:hAnsi="黑体" w:eastAsia="仿宋_GB2312"/>
      <w:kern w:val="2"/>
      <w:sz w:val="32"/>
      <w:szCs w:val="32"/>
    </w:rPr>
  </w:style>
  <w:style w:type="paragraph" w:customStyle="1" w:styleId="55">
    <w:name w:val="_Style 33"/>
    <w:basedOn w:val="1"/>
    <w:next w:val="52"/>
    <w:qFormat/>
    <w:uiPriority w:val="34"/>
    <w:pPr>
      <w:ind w:firstLine="200" w:firstLineChars="200"/>
      <w:jc w:val="left"/>
    </w:pPr>
    <w:rPr>
      <w:rFonts w:ascii="Calibri" w:hAnsi="Calibri" w:eastAsia="宋体" w:cs="Times New Roman"/>
      <w:kern w:val="0"/>
      <w:sz w:val="22"/>
      <w:szCs w:val="22"/>
      <w:lang w:eastAsia="en-US"/>
    </w:rPr>
  </w:style>
  <w:style w:type="paragraph" w:customStyle="1" w:styleId="56">
    <w:name w:val="Table Paragraph"/>
    <w:basedOn w:val="1"/>
    <w:qFormat/>
    <w:uiPriority w:val="0"/>
    <w:pPr>
      <w:autoSpaceDE w:val="0"/>
      <w:autoSpaceDN w:val="0"/>
      <w:jc w:val="left"/>
    </w:pPr>
    <w:rPr>
      <w:rFonts w:ascii="宋体" w:hAnsi="宋体" w:eastAsia="宋体" w:cs="宋体"/>
      <w:kern w:val="0"/>
      <w:sz w:val="22"/>
      <w:szCs w:val="22"/>
    </w:rPr>
  </w:style>
  <w:style w:type="character" w:customStyle="1" w:styleId="57">
    <w:name w:val="15"/>
    <w:basedOn w:val="26"/>
    <w:qFormat/>
    <w:uiPriority w:val="0"/>
    <w:rPr>
      <w:rFonts w:hint="eastAsia" w:ascii="仿宋_GB2312" w:eastAsia="仿宋_GB2312"/>
      <w:color w:val="000000"/>
      <w:sz w:val="32"/>
      <w:szCs w:val="32"/>
    </w:rPr>
  </w:style>
  <w:style w:type="character" w:customStyle="1" w:styleId="58">
    <w:name w:val="fontstyle01"/>
    <w:qFormat/>
    <w:uiPriority w:val="0"/>
    <w:rPr>
      <w:rFonts w:hint="eastAsia" w:ascii="仿宋_GB2312" w:eastAsia="仿宋_GB2312"/>
      <w:color w:val="000000"/>
      <w:sz w:val="32"/>
      <w:szCs w:val="3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19</Pages>
  <Words>3786</Words>
  <Characters>4158</Characters>
  <Lines>55</Lines>
  <Paragraphs>15</Paragraphs>
  <TotalTime>11</TotalTime>
  <ScaleCrop>false</ScaleCrop>
  <LinksUpToDate>false</LinksUpToDate>
  <CharactersWithSpaces>4275</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2019-10-30T00:51:00Z</dcterms:created>
  <dc:creator>Administrator</dc:creator>
  <cp:lastModifiedBy>土豆王子</cp:lastModifiedBy>
  <cp:lastPrinted>2020-09-22T21:55:00Z</cp:lastPrinted>
  <dcterms:modified xsi:type="dcterms:W3CDTF">2026-03-23T08:44:57Z</dcterms:modified>
  <cp:revision>58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BF2C11865AD84ABFBAC43BE658EC4E42</vt:lpwstr>
  </property>
  <property fmtid="{D5CDD505-2E9C-101B-9397-08002B2CF9AE}" pid="4" name="KSOTemplateDocerSaveRecord">
    <vt:lpwstr>eyJoZGlkIjoiMjhiZGFkMzA4NzQyYmE5ZTNhMzA3Y2ZjMGIxMDJjNGYiLCJ1c2VySWQiOiIyNjI0MTI2OTgifQ==</vt:lpwstr>
  </property>
</Properties>
</file>