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物业管理费</w:t>
      </w:r>
      <w:r>
        <w:rPr>
          <w:rFonts w:hint="eastAsia" w:ascii="方正小标宋简体" w:hAnsi="方正小标宋简体" w:eastAsia="方正小标宋简体" w:cs="方正小标宋简体"/>
          <w:color w:val="auto"/>
          <w:sz w:val="44"/>
          <w:szCs w:val="44"/>
          <w:highlight w:val="none"/>
          <w:lang w:val="en-US" w:eastAsia="zh-CN"/>
        </w:rPr>
        <w:t>项目</w:t>
      </w:r>
      <w:r>
        <w:rPr>
          <w:rFonts w:hint="eastAsia" w:ascii="方正小标宋简体" w:hAnsi="方正小标宋_GBK" w:eastAsia="方正小标宋简体" w:cs="方正小标宋_GBK"/>
          <w:bCs/>
          <w:sz w:val="44"/>
          <w:szCs w:val="44"/>
          <w:lang w:val="en-US" w:eastAsia="zh-CN"/>
        </w:rPr>
        <w:t>的询价信息公告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bookmarkStart w:id="19" w:name="_GoBack"/>
      <w:bookmarkEnd w:id="19"/>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石家庄市生态环境局物业管理费项目（预算金额：</w:t>
      </w:r>
      <w:r>
        <w:rPr>
          <w:rFonts w:hint="eastAsia" w:ascii="仿宋_GB2312" w:hAnsi="仿宋_GB2312" w:eastAsia="仿宋_GB2312" w:cs="仿宋_GB2312"/>
          <w:sz w:val="32"/>
          <w:szCs w:val="32"/>
          <w:u w:val="single"/>
          <w:lang w:val="en-US" w:eastAsia="zh-CN"/>
        </w:rPr>
        <w:t>76.97</w:t>
      </w:r>
      <w:r>
        <w:rPr>
          <w:rFonts w:hint="eastAsia" w:ascii="仿宋_GB2312" w:hAnsi="仿宋_GB2312" w:eastAsia="仿宋_GB2312" w:cs="仿宋_GB2312"/>
          <w:bCs/>
          <w:sz w:val="32"/>
          <w:szCs w:val="32"/>
          <w:lang w:val="en-US" w:eastAsia="zh-CN"/>
        </w:rPr>
        <w:t>万元）</w:t>
      </w:r>
      <w:r>
        <w:rPr>
          <w:rFonts w:hint="eastAsia" w:ascii="仿宋_GB2312" w:hAnsi="仿宋_GB2312" w:eastAsia="仿宋_GB2312" w:cs="仿宋_GB2312"/>
          <w:bCs/>
          <w:sz w:val="32"/>
          <w:szCs w:val="32"/>
        </w:rPr>
        <w:t>询价工作，请有意参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color w:val="auto"/>
          <w:sz w:val="32"/>
          <w:szCs w:val="32"/>
          <w:u w:val="none"/>
          <w:lang w:val="en-US" w:eastAsia="zh-CN"/>
        </w:rPr>
      </w:pPr>
      <w:r>
        <w:rPr>
          <w:rFonts w:hint="eastAsia" w:ascii="仿宋_GB2312" w:hAnsi="仿宋_GB2312" w:eastAsia="仿宋_GB2312" w:cs="仿宋_GB2312"/>
          <w:b/>
          <w:bCs w:val="0"/>
          <w:color w:val="auto"/>
          <w:sz w:val="32"/>
          <w:szCs w:val="32"/>
        </w:rPr>
        <w:t>询价会时间：</w:t>
      </w:r>
      <w:r>
        <w:rPr>
          <w:rFonts w:hint="eastAsia" w:ascii="仿宋_GB2312" w:hAnsi="仿宋_GB2312" w:eastAsia="仿宋_GB2312" w:cs="仿宋_GB2312"/>
          <w:b/>
          <w:bCs w:val="0"/>
          <w:color w:val="auto"/>
          <w:sz w:val="32"/>
          <w:szCs w:val="32"/>
          <w:u w:val="single"/>
        </w:rPr>
        <w:t>20</w:t>
      </w:r>
      <w:r>
        <w:rPr>
          <w:rFonts w:hint="eastAsia" w:ascii="仿宋_GB2312" w:hAnsi="仿宋_GB2312" w:eastAsia="仿宋_GB2312" w:cs="仿宋_GB2312"/>
          <w:b/>
          <w:bCs w:val="0"/>
          <w:color w:val="auto"/>
          <w:sz w:val="32"/>
          <w:szCs w:val="32"/>
          <w:u w:val="single"/>
          <w:lang w:val="en-US" w:eastAsia="zh-CN"/>
        </w:rPr>
        <w:t>26</w:t>
      </w:r>
      <w:r>
        <w:rPr>
          <w:rFonts w:hint="eastAsia" w:ascii="仿宋_GB2312" w:hAnsi="仿宋_GB2312" w:eastAsia="仿宋_GB2312" w:cs="仿宋_GB2312"/>
          <w:b/>
          <w:bCs w:val="0"/>
          <w:color w:val="auto"/>
          <w:sz w:val="32"/>
          <w:szCs w:val="32"/>
          <w:u w:val="single"/>
        </w:rPr>
        <w:t>年</w:t>
      </w:r>
      <w:r>
        <w:rPr>
          <w:rFonts w:hint="eastAsia" w:ascii="仿宋_GB2312" w:hAnsi="仿宋_GB2312" w:eastAsia="仿宋_GB2312" w:cs="仿宋_GB2312"/>
          <w:b/>
          <w:bCs w:val="0"/>
          <w:color w:val="auto"/>
          <w:sz w:val="32"/>
          <w:szCs w:val="32"/>
          <w:u w:val="single"/>
          <w:lang w:val="en-US" w:eastAsia="zh-CN"/>
        </w:rPr>
        <w:t>3</w:t>
      </w:r>
      <w:r>
        <w:rPr>
          <w:rFonts w:hint="eastAsia" w:ascii="仿宋_GB2312" w:hAnsi="仿宋_GB2312" w:eastAsia="仿宋_GB2312" w:cs="仿宋_GB2312"/>
          <w:b/>
          <w:bCs w:val="0"/>
          <w:color w:val="auto"/>
          <w:sz w:val="32"/>
          <w:szCs w:val="32"/>
          <w:u w:val="single"/>
        </w:rPr>
        <w:t>月</w:t>
      </w:r>
      <w:r>
        <w:rPr>
          <w:rFonts w:hint="eastAsia" w:ascii="仿宋_GB2312" w:hAnsi="仿宋_GB2312" w:eastAsia="仿宋_GB2312" w:cs="仿宋_GB2312"/>
          <w:b/>
          <w:bCs w:val="0"/>
          <w:color w:val="auto"/>
          <w:sz w:val="32"/>
          <w:szCs w:val="32"/>
          <w:u w:val="single"/>
          <w:lang w:val="en-US" w:eastAsia="zh-CN"/>
        </w:rPr>
        <w:t>4</w:t>
      </w:r>
      <w:r>
        <w:rPr>
          <w:rFonts w:hint="eastAsia" w:ascii="仿宋_GB2312" w:hAnsi="仿宋_GB2312" w:eastAsia="仿宋_GB2312" w:cs="仿宋_GB2312"/>
          <w:b/>
          <w:bCs w:val="0"/>
          <w:color w:val="auto"/>
          <w:sz w:val="32"/>
          <w:szCs w:val="32"/>
          <w:u w:val="single"/>
        </w:rPr>
        <w:t>日（星期</w:t>
      </w:r>
      <w:r>
        <w:rPr>
          <w:rFonts w:hint="eastAsia" w:ascii="仿宋_GB2312" w:hAnsi="仿宋_GB2312" w:eastAsia="仿宋_GB2312" w:cs="仿宋_GB2312"/>
          <w:b/>
          <w:bCs w:val="0"/>
          <w:color w:val="auto"/>
          <w:sz w:val="32"/>
          <w:szCs w:val="32"/>
          <w:u w:val="single"/>
          <w:lang w:eastAsia="zh-CN"/>
        </w:rPr>
        <w:t>三</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eastAsia="zh-CN"/>
        </w:rPr>
        <w:t>上午</w:t>
      </w:r>
      <w:r>
        <w:rPr>
          <w:rFonts w:hint="eastAsia" w:ascii="仿宋_GB2312" w:hAnsi="仿宋_GB2312" w:eastAsia="仿宋_GB2312" w:cs="仿宋_GB2312"/>
          <w:b/>
          <w:bCs w:val="0"/>
          <w:color w:val="auto"/>
          <w:sz w:val="32"/>
          <w:szCs w:val="32"/>
          <w:u w:val="single"/>
          <w:lang w:val="en-US" w:eastAsia="zh-CN"/>
        </w:rPr>
        <w:t>10</w:t>
      </w:r>
      <w:r>
        <w:rPr>
          <w:rFonts w:hint="eastAsia" w:ascii="仿宋_GB2312" w:hAnsi="仿宋_GB2312" w:eastAsia="仿宋_GB2312" w:cs="仿宋_GB2312"/>
          <w:b/>
          <w:bCs w:val="0"/>
          <w:color w:val="auto"/>
          <w:sz w:val="32"/>
          <w:szCs w:val="32"/>
          <w:u w:val="single"/>
        </w:rPr>
        <w:t>：</w:t>
      </w:r>
      <w:r>
        <w:rPr>
          <w:rFonts w:hint="eastAsia" w:ascii="仿宋_GB2312" w:hAnsi="仿宋_GB2312" w:eastAsia="仿宋_GB2312" w:cs="仿宋_GB2312"/>
          <w:b/>
          <w:bCs w:val="0"/>
          <w:color w:val="auto"/>
          <w:sz w:val="32"/>
          <w:szCs w:val="32"/>
          <w:u w:val="single"/>
          <w:lang w:val="en-US" w:eastAsia="zh-CN"/>
        </w:rPr>
        <w:t>00</w:t>
      </w:r>
      <w:r>
        <w:rPr>
          <w:rFonts w:hint="eastAsia" w:ascii="仿宋_GB2312" w:hAnsi="仿宋_GB2312" w:eastAsia="仿宋_GB2312" w:cs="仿宋_GB2312"/>
          <w:b/>
          <w:bCs w:val="0"/>
          <w:color w:val="auto"/>
          <w:sz w:val="32"/>
          <w:szCs w:val="32"/>
          <w:u w:val="none"/>
        </w:rPr>
        <w:t>；</w:t>
      </w:r>
      <w:r>
        <w:rPr>
          <w:rFonts w:hint="eastAsia" w:ascii="仿宋_GB2312" w:hAnsi="仿宋_GB2312" w:eastAsia="仿宋_GB2312" w:cs="仿宋_GB2312"/>
          <w:b/>
          <w:bCs w:val="0"/>
          <w:color w:val="auto"/>
          <w:sz w:val="32"/>
          <w:szCs w:val="32"/>
        </w:rPr>
        <w:t>地点：</w:t>
      </w:r>
      <w:r>
        <w:rPr>
          <w:rFonts w:hint="eastAsia" w:ascii="仿宋_GB2312" w:hAnsi="仿宋_GB2312" w:eastAsia="仿宋_GB2312" w:cs="仿宋_GB2312"/>
          <w:b/>
          <w:bCs w:val="0"/>
          <w:color w:val="auto"/>
          <w:sz w:val="32"/>
          <w:szCs w:val="32"/>
          <w:lang w:val="en-US" w:eastAsia="zh-CN"/>
        </w:rPr>
        <w:t>中华北大街559号402会议室</w:t>
      </w:r>
      <w:r>
        <w:rPr>
          <w:rFonts w:hint="eastAsia" w:ascii="仿宋_GB2312" w:hAnsi="仿宋_GB2312" w:eastAsia="仿宋_GB2312" w:cs="仿宋_GB2312"/>
          <w:b/>
          <w:bCs w:val="0"/>
          <w:color w:val="auto"/>
          <w:sz w:val="32"/>
          <w:szCs w:val="32"/>
        </w:rPr>
        <w:t>。</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eastAsia="zh-CN"/>
        </w:rPr>
        <w:t>陈运锋</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0311-85880610</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color w:val="auto"/>
          <w:sz w:val="32"/>
          <w:szCs w:val="32"/>
          <w:highlight w:val="none"/>
          <w:lang w:val="en-US" w:eastAsia="zh-CN"/>
        </w:rPr>
        <w:t>师晓威，联系电话：0311-85880697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pPr>
        <w:pStyle w:val="22"/>
        <w:keepNext w:val="0"/>
        <w:keepLines w:val="0"/>
        <w:pageBreakBefore w:val="0"/>
        <w:kinsoku/>
        <w:wordWrap/>
        <w:overflowPunct/>
        <w:topLinePunct w:val="0"/>
        <w:autoSpaceDE/>
        <w:autoSpaceDN/>
        <w:bidi w:val="0"/>
        <w:spacing w:after="0" w:line="560" w:lineRule="exact"/>
        <w:ind w:right="0" w:rightChars="0"/>
        <w:textAlignment w:val="auto"/>
        <w:rPr>
          <w:rFonts w:hint="eastAsia"/>
          <w:sz w:val="32"/>
          <w:szCs w:val="32"/>
        </w:rPr>
      </w:pP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highlight w:val="none"/>
          <w:lang w:val="en-US" w:eastAsia="zh-CN"/>
        </w:rPr>
        <w:t xml:space="preserve"> 石家庄市生态环境局         </w:t>
      </w:r>
    </w:p>
    <w:p>
      <w:pPr>
        <w:keepNext w:val="0"/>
        <w:keepLines w:val="0"/>
        <w:pageBreakBefore w:val="0"/>
        <w:kinsoku/>
        <w:wordWrap w:val="0"/>
        <w:overflowPunct/>
        <w:topLinePunct w:val="0"/>
        <w:autoSpaceDE/>
        <w:autoSpaceDN/>
        <w:bidi w:val="0"/>
        <w:spacing w:line="560" w:lineRule="exact"/>
        <w:ind w:right="0" w:rightChars="0"/>
        <w:jc w:val="center"/>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val="en-US" w:eastAsia="zh-CN"/>
        </w:rPr>
        <w:t xml:space="preserve">                           </w:t>
      </w: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02</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27</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简体" w:eastAsia="方正小标宋简体" w:cs="方正小标宋简体"/>
          <w:color w:val="auto"/>
          <w:sz w:val="44"/>
          <w:szCs w:val="44"/>
          <w:highlight w:val="none"/>
          <w:lang w:val="en-US" w:eastAsia="zh-CN"/>
        </w:rPr>
        <w:t>物业管理费项目</w:t>
      </w:r>
      <w:r>
        <w:rPr>
          <w:rFonts w:hint="eastAsia" w:ascii="方正小标宋简体" w:hAnsi="方正小标宋_GBK" w:eastAsia="方正小标宋简体" w:cs="方正小标宋_GBK"/>
          <w:bCs/>
          <w:sz w:val="44"/>
          <w:szCs w:val="44"/>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石家庄市生态环境局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简体" w:eastAsia="方正小标宋简体" w:cs="方正小标宋简体"/>
          <w:color w:val="auto"/>
          <w:sz w:val="44"/>
          <w:szCs w:val="44"/>
          <w:highlight w:val="none"/>
          <w:lang w:val="en-US" w:eastAsia="zh-CN"/>
        </w:rPr>
        <w:t>物业管理费项目</w:t>
      </w:r>
      <w:r>
        <w:rPr>
          <w:rFonts w:hint="eastAsia" w:ascii="方正小标宋简体" w:hAnsi="方正小标宋_GBK" w:eastAsia="方正小标宋简体" w:cs="方正小标宋_GBK"/>
          <w:bCs/>
          <w:sz w:val="44"/>
          <w:szCs w:val="44"/>
          <w:lang w:val="en-US" w:eastAsia="zh-CN"/>
        </w:rPr>
        <w:t>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根据石家庄市机关事务管理局和石家庄市财政局《关于党政机关办公楼（区）物业管理服务内容及费用标准的指导意见（暂行）》及</w:t>
      </w:r>
      <w:r>
        <w:rPr>
          <w:rFonts w:hint="eastAsia" w:ascii="仿宋_GB2312" w:hAnsi="仿宋_GB2312" w:eastAsia="仿宋_GB2312" w:cs="仿宋_GB2312"/>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sz w:val="32"/>
          <w:szCs w:val="32"/>
          <w:highlight w:val="none"/>
          <w:lang w:val="en-US" w:eastAsia="zh-CN"/>
        </w:rPr>
        <w:t>2021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3号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bCs/>
          <w:sz w:val="32"/>
          <w:szCs w:val="32"/>
        </w:rPr>
        <w:t>我单位</w:t>
      </w:r>
      <w:r>
        <w:rPr>
          <w:rFonts w:hint="eastAsia" w:ascii="仿宋_GB2312" w:hAnsi="仿宋_GB2312" w:eastAsia="仿宋_GB2312" w:cs="仿宋_GB2312"/>
          <w:bCs/>
          <w:sz w:val="32"/>
          <w:szCs w:val="32"/>
          <w:lang w:eastAsia="zh-CN"/>
        </w:rPr>
        <w:t>按照政府采购相关规定及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val="en-US" w:eastAsia="zh-CN"/>
        </w:rPr>
        <w:t>石家庄市生态环境局物业管理费项目</w:t>
      </w:r>
      <w:r>
        <w:rPr>
          <w:rFonts w:hint="eastAsia" w:ascii="仿宋_GB2312" w:hAnsi="仿宋_GB2312" w:eastAsia="仿宋_GB2312" w:cs="仿宋_GB2312"/>
          <w:bCs/>
          <w:sz w:val="32"/>
          <w:szCs w:val="32"/>
        </w:rPr>
        <w:t>询价工作，</w:t>
      </w:r>
      <w:r>
        <w:rPr>
          <w:rFonts w:hint="eastAsia" w:ascii="仿宋_GB2312" w:hAnsi="仿宋_GB2312" w:eastAsia="仿宋_GB2312" w:cs="仿宋_GB2312"/>
          <w:bCs/>
          <w:sz w:val="32"/>
          <w:szCs w:val="32"/>
          <w:lang w:eastAsia="zh-CN"/>
        </w:rPr>
        <w:t>制定工作方案。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一、项目概况</w:t>
      </w:r>
    </w:p>
    <w:p>
      <w:pPr>
        <w:pStyle w:val="4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我单位位于</w:t>
      </w:r>
      <w:r>
        <w:rPr>
          <w:rFonts w:hint="eastAsia" w:ascii="仿宋_GB2312" w:hAnsi="仿宋_GB2312" w:eastAsia="仿宋_GB2312" w:cs="仿宋_GB2312"/>
          <w:b w:val="0"/>
          <w:bCs w:val="0"/>
          <w:color w:val="auto"/>
          <w:sz w:val="32"/>
          <w:szCs w:val="32"/>
          <w:lang w:val="en-US" w:eastAsia="zh-CN" w:bidi="ar-SA"/>
        </w:rPr>
        <w:t>中华北大街559号</w:t>
      </w:r>
      <w:r>
        <w:rPr>
          <w:rFonts w:hint="eastAsia" w:ascii="仿宋_GB2312" w:hAnsi="仿宋_GB2312" w:eastAsia="仿宋_GB2312" w:cs="仿宋_GB2312"/>
          <w:b w:val="0"/>
          <w:bCs w:val="0"/>
          <w:sz w:val="32"/>
          <w:szCs w:val="32"/>
          <w:highlight w:val="none"/>
          <w:lang w:val="en-US" w:eastAsia="zh-CN"/>
        </w:rPr>
        <w:t>，土地面积13922.9平方米，办公用房建筑面积约14095平方米，大院面积约11596平方米。根据石家庄市机关事务管理局和石家庄市财政局《关于党政机关办公楼（区）物业管理服务内容及费用标准的指导意见（暂行）》及</w:t>
      </w:r>
      <w:r>
        <w:rPr>
          <w:rFonts w:hint="eastAsia" w:ascii="仿宋_GB2312" w:hAnsi="仿宋_GB2312" w:eastAsia="仿宋_GB2312" w:cs="仿宋_GB2312"/>
          <w:b w:val="0"/>
          <w:bCs w:val="0"/>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b w:val="0"/>
          <w:bCs w:val="0"/>
          <w:sz w:val="32"/>
          <w:szCs w:val="32"/>
          <w:highlight w:val="none"/>
          <w:lang w:val="en-US" w:eastAsia="zh-CN"/>
        </w:rPr>
        <w:t>2021</w:t>
      </w:r>
      <w:r>
        <w:rPr>
          <w:rFonts w:hint="eastAsia" w:ascii="仿宋_GB2312" w:hAnsi="仿宋_GB2312" w:eastAsia="仿宋_GB2312" w:cs="仿宋_GB2312"/>
          <w:b w:val="0"/>
          <w:bCs w:val="0"/>
          <w:sz w:val="32"/>
          <w:szCs w:val="32"/>
          <w:highlight w:val="none"/>
          <w:lang w:eastAsia="zh-CN"/>
        </w:rPr>
        <w:t>〕</w:t>
      </w:r>
      <w:r>
        <w:rPr>
          <w:rFonts w:hint="eastAsia" w:ascii="仿宋_GB2312" w:hAnsi="仿宋_GB2312" w:eastAsia="仿宋_GB2312" w:cs="仿宋_GB2312"/>
          <w:b w:val="0"/>
          <w:bCs w:val="0"/>
          <w:sz w:val="32"/>
          <w:szCs w:val="32"/>
          <w:highlight w:val="none"/>
          <w:lang w:val="en-US" w:eastAsia="zh-CN"/>
        </w:rPr>
        <w:t>3号规定内容。为满足日常办公需要，拟购买物业管理服务。</w:t>
      </w:r>
    </w:p>
    <w:p>
      <w:pPr>
        <w:pStyle w:val="4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二、工作内容及标准</w:t>
      </w:r>
      <w:bookmarkStart w:id="0" w:name="_Toc17312"/>
      <w:bookmarkStart w:id="1" w:name="_Toc2486"/>
      <w:bookmarkStart w:id="2" w:name="_Toc5112"/>
    </w:p>
    <w:bookmarkEnd w:id="0"/>
    <w:tbl>
      <w:tblPr>
        <w:tblStyle w:val="24"/>
        <w:tblpPr w:leftFromText="180" w:rightFromText="180" w:vertAnchor="text" w:horzAnchor="page" w:tblpX="2405" w:tblpY="735"/>
        <w:tblOverlap w:val="never"/>
        <w:tblW w:w="354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10"/>
        <w:gridCol w:w="3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410"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物业名称</w:t>
            </w:r>
          </w:p>
        </w:tc>
        <w:tc>
          <w:tcPr>
            <w:tcW w:w="317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物业地址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410"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物业管理费</w:t>
            </w:r>
          </w:p>
        </w:tc>
        <w:tc>
          <w:tcPr>
            <w:tcW w:w="317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中华北大街559号</w:t>
            </w:r>
          </w:p>
        </w:tc>
      </w:tr>
    </w:tbl>
    <w:p>
      <w:pPr>
        <w:pStyle w:val="42"/>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color w:val="auto"/>
          <w:kern w:val="0"/>
          <w:sz w:val="32"/>
          <w:szCs w:val="32"/>
          <w:highlight w:val="none"/>
          <w:lang w:val="en-US" w:eastAsia="zh-CN"/>
        </w:rPr>
        <w:t>1.</w:t>
      </w:r>
      <w:r>
        <w:rPr>
          <w:rFonts w:hint="eastAsia" w:ascii="仿宋_GB2312" w:hAnsi="仿宋_GB2312" w:eastAsia="仿宋_GB2312" w:cs="仿宋_GB2312"/>
          <w:b w:val="0"/>
          <w:bCs/>
          <w:color w:val="auto"/>
          <w:kern w:val="0"/>
          <w:sz w:val="32"/>
          <w:szCs w:val="32"/>
          <w:highlight w:val="none"/>
          <w:lang w:eastAsia="zh-CN"/>
        </w:rPr>
        <w:t>物业情况</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采购人提供的供应商使用的场地、设施、设备、材料等</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（1）采购人可提供办公室2间；</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（2）采购人可提供食堂，餐费由服务人员自理；</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2"/>
          <w:sz w:val="32"/>
          <w:szCs w:val="32"/>
          <w:highlight w:val="none"/>
          <w:u w:val="none"/>
          <w:lang w:val="en-US" w:eastAsia="zh-CN" w:bidi="ar-SA"/>
        </w:rPr>
        <w:t>（3）采购人可提供的</w:t>
      </w:r>
      <w:r>
        <w:rPr>
          <w:rFonts w:hint="eastAsia" w:ascii="仿宋_GB2312" w:hAnsi="仿宋_GB2312" w:eastAsia="仿宋_GB2312" w:cs="仿宋_GB2312"/>
          <w:sz w:val="32"/>
          <w:szCs w:val="32"/>
          <w:highlight w:val="none"/>
          <w:lang w:val="en-US" w:eastAsia="zh-CN"/>
        </w:rPr>
        <w:t>零星维修材料；</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color w:val="auto"/>
          <w:kern w:val="2"/>
          <w:sz w:val="32"/>
          <w:szCs w:val="32"/>
          <w:highlight w:val="none"/>
          <w:u w:val="none"/>
          <w:lang w:val="en-US" w:eastAsia="zh-CN" w:bidi="ar-SA"/>
        </w:rPr>
        <w:t>采购人可提供的</w:t>
      </w:r>
      <w:r>
        <w:rPr>
          <w:rFonts w:hint="eastAsia" w:ascii="仿宋_GB2312" w:hAnsi="仿宋_GB2312" w:eastAsia="仿宋_GB2312" w:cs="仿宋_GB2312"/>
          <w:sz w:val="32"/>
          <w:szCs w:val="32"/>
          <w:highlight w:val="none"/>
          <w:lang w:val="en-US" w:eastAsia="zh-CN"/>
        </w:rPr>
        <w:t>客耗用品，</w:t>
      </w:r>
      <w:r>
        <w:rPr>
          <w:rFonts w:hint="eastAsia" w:ascii="仿宋_GB2312" w:hAnsi="仿宋_GB2312" w:eastAsia="仿宋_GB2312" w:cs="仿宋_GB2312"/>
          <w:color w:val="auto"/>
          <w:kern w:val="0"/>
          <w:sz w:val="32"/>
          <w:szCs w:val="32"/>
          <w:highlight w:val="none"/>
          <w:u w:val="none"/>
          <w:lang w:val="en-US" w:eastAsia="zh-CN" w:bidi="ar"/>
        </w:rPr>
        <w:t>厕纸、洗手液、垃圾袋等</w:t>
      </w:r>
      <w:r>
        <w:rPr>
          <w:rFonts w:hint="eastAsia" w:ascii="仿宋_GB2312" w:hAnsi="仿宋_GB2312" w:eastAsia="仿宋_GB2312" w:cs="仿宋_GB2312"/>
          <w:sz w:val="32"/>
          <w:szCs w:val="32"/>
          <w:highlight w:val="none"/>
          <w:lang w:val="en-US" w:eastAsia="zh-CN"/>
        </w:rPr>
        <w:t>；</w:t>
      </w:r>
    </w:p>
    <w:p>
      <w:pPr>
        <w:ind w:firstLine="640" w:firstLineChars="200"/>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供应商应承担除以上所列</w:t>
      </w:r>
      <w:r>
        <w:rPr>
          <w:rFonts w:hint="eastAsia" w:ascii="仿宋_GB2312" w:hAnsi="仿宋_GB2312" w:eastAsia="仿宋_GB2312" w:cs="仿宋_GB2312"/>
          <w:color w:val="auto"/>
          <w:kern w:val="2"/>
          <w:sz w:val="32"/>
          <w:szCs w:val="32"/>
          <w:highlight w:val="none"/>
          <w:u w:val="none"/>
          <w:lang w:val="en-US" w:eastAsia="zh-CN" w:bidi="ar-SA"/>
        </w:rPr>
        <w:t>场地、设施、设备、材料</w:t>
      </w:r>
      <w:r>
        <w:rPr>
          <w:rFonts w:hint="eastAsia" w:ascii="仿宋_GB2312" w:hAnsi="仿宋_GB2312" w:eastAsia="仿宋_GB2312" w:cs="仿宋_GB2312"/>
          <w:color w:val="auto"/>
          <w:sz w:val="32"/>
          <w:szCs w:val="32"/>
          <w:highlight w:val="none"/>
          <w:lang w:val="en-US" w:eastAsia="zh-CN"/>
        </w:rPr>
        <w:t>外，与物业管理服务有关的其他</w:t>
      </w:r>
      <w:r>
        <w:rPr>
          <w:rFonts w:hint="eastAsia" w:ascii="仿宋_GB2312" w:hAnsi="仿宋_GB2312" w:eastAsia="仿宋_GB2312" w:cs="仿宋_GB2312"/>
          <w:color w:val="auto"/>
          <w:kern w:val="2"/>
          <w:sz w:val="32"/>
          <w:szCs w:val="32"/>
          <w:highlight w:val="none"/>
          <w:u w:val="none"/>
          <w:lang w:val="en-US" w:eastAsia="zh-CN" w:bidi="ar-SA"/>
        </w:rPr>
        <w:t>场地、设施、设备、材料</w:t>
      </w:r>
      <w:r>
        <w:rPr>
          <w:rFonts w:hint="eastAsia" w:ascii="仿宋_GB2312" w:hAnsi="仿宋_GB2312" w:eastAsia="仿宋_GB2312" w:cs="仿宋_GB2312"/>
          <w:color w:val="auto"/>
          <w:sz w:val="32"/>
          <w:szCs w:val="32"/>
          <w:highlight w:val="none"/>
          <w:lang w:val="en-US" w:eastAsia="zh-CN"/>
        </w:rPr>
        <w:t>。</w:t>
      </w:r>
    </w:p>
    <w:p>
      <w:pPr>
        <w:pStyle w:val="2"/>
        <w:keepNext/>
        <w:pageBreakBefore w:val="0"/>
        <w:widowControl w:val="0"/>
        <w:kinsoku/>
        <w:wordWrap/>
        <w:overflowPunct/>
        <w:topLinePunct w:val="0"/>
        <w:autoSpaceDE/>
        <w:autoSpaceDN/>
        <w:bidi w:val="0"/>
        <w:snapToGrid/>
        <w:spacing w:line="560" w:lineRule="exac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2.物业服务范围</w:t>
      </w:r>
    </w:p>
    <w:p>
      <w:pPr>
        <w:pStyle w:val="4"/>
        <w:keepNext/>
        <w:pageBreakBefore w:val="0"/>
        <w:widowControl w:val="0"/>
        <w:numPr>
          <w:ilvl w:val="2"/>
          <w:numId w:val="0"/>
        </w:numPr>
        <w:kinsoku/>
        <w:wordWrap/>
        <w:overflowPunct/>
        <w:topLinePunct w:val="0"/>
        <w:autoSpaceDE/>
        <w:autoSpaceDN/>
        <w:bidi w:val="0"/>
        <w:snapToGrid/>
        <w:spacing w:line="560" w:lineRule="exact"/>
        <w:ind w:leftChars="0" w:firstLine="320" w:firstLineChars="1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（1）物业管理（建筑物）</w:t>
      </w:r>
    </w:p>
    <w:tbl>
      <w:tblPr>
        <w:tblStyle w:val="2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2"/>
        <w:gridCol w:w="2143"/>
        <w:gridCol w:w="2538"/>
        <w:gridCol w:w="2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75" w:type="dxa"/>
            <w:gridSpan w:val="2"/>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sz w:val="32"/>
                <w:szCs w:val="32"/>
                <w:highlight w:val="none"/>
                <w:lang w:val="en-US" w:eastAsia="zh-CN"/>
              </w:rPr>
              <w:t>名称</w:t>
            </w:r>
          </w:p>
        </w:tc>
        <w:tc>
          <w:tcPr>
            <w:tcW w:w="2538"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bCs/>
                <w:sz w:val="32"/>
                <w:szCs w:val="32"/>
                <w:highlight w:val="none"/>
              </w:rPr>
              <w:t>明细</w:t>
            </w:r>
          </w:p>
        </w:tc>
        <w:tc>
          <w:tcPr>
            <w:tcW w:w="2669"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服务内容及标准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075" w:type="dxa"/>
            <w:gridSpan w:val="2"/>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lang w:val="en-US" w:eastAsia="zh-CN"/>
              </w:rPr>
              <w:t>办公楼</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办公楼</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面积</w:t>
            </w:r>
            <w:r>
              <w:rPr>
                <w:rFonts w:hint="eastAsia" w:ascii="仿宋_GB2312" w:hAnsi="仿宋_GB2312" w:eastAsia="仿宋_GB2312" w:cs="仿宋_GB2312"/>
                <w:sz w:val="32"/>
                <w:szCs w:val="32"/>
                <w:highlight w:val="none"/>
                <w:lang w:eastAsia="zh-CN"/>
              </w:rPr>
              <w:t>（平方米）（</w:t>
            </w:r>
            <w:r>
              <w:rPr>
                <w:rFonts w:hint="eastAsia" w:ascii="仿宋_GB2312" w:hAnsi="仿宋_GB2312" w:eastAsia="仿宋_GB2312" w:cs="仿宋_GB2312"/>
                <w:sz w:val="32"/>
                <w:szCs w:val="32"/>
                <w:highlight w:val="none"/>
                <w:lang w:val="en-US" w:eastAsia="zh-CN"/>
              </w:rPr>
              <w:t>总面积</w:t>
            </w:r>
            <w:r>
              <w:rPr>
                <w:rFonts w:hint="eastAsia" w:ascii="仿宋_GB2312" w:hAnsi="仿宋_GB2312" w:eastAsia="仿宋_GB2312" w:cs="仿宋_GB2312"/>
                <w:sz w:val="32"/>
                <w:szCs w:val="32"/>
                <w:highlight w:val="none"/>
                <w:lang w:eastAsia="zh-CN"/>
              </w:rPr>
              <w:t>）</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建筑面积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14095（㎡）</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center"/>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需保洁面积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21659㎡</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窗户</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窗户总数量（个）及总面积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148个，435㎡</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地面</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地面</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瓷砖总面积，2861㎡</w:t>
            </w:r>
          </w:p>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混凝土总面积，2531㎡</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墙面</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墙</w:t>
            </w:r>
            <w:r>
              <w:rPr>
                <w:rFonts w:hint="eastAsia" w:ascii="仿宋_GB2312" w:hAnsi="仿宋_GB2312" w:eastAsia="仿宋_GB2312" w:cs="仿宋_GB2312"/>
                <w:sz w:val="32"/>
                <w:szCs w:val="32"/>
                <w:highlight w:val="none"/>
              </w:rPr>
              <w:t>面</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乳胶漆，4032㎡</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atLeast"/>
        </w:trPr>
        <w:tc>
          <w:tcPr>
            <w:tcW w:w="1932"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外墙</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外墙</w:t>
            </w:r>
            <w:r>
              <w:rPr>
                <w:rFonts w:hint="eastAsia" w:ascii="仿宋_GB2312" w:hAnsi="仿宋_GB2312" w:eastAsia="仿宋_GB2312" w:cs="仿宋_GB2312"/>
                <w:sz w:val="32"/>
                <w:szCs w:val="32"/>
                <w:highlight w:val="none"/>
                <w:lang w:val="en-US" w:eastAsia="zh-CN"/>
              </w:rPr>
              <w:t>各</w:t>
            </w:r>
            <w:r>
              <w:rPr>
                <w:rFonts w:hint="eastAsia" w:ascii="仿宋_GB2312" w:hAnsi="仿宋_GB2312" w:eastAsia="仿宋_GB2312" w:cs="仿宋_GB2312"/>
                <w:sz w:val="32"/>
                <w:szCs w:val="32"/>
                <w:highlight w:val="none"/>
              </w:rPr>
              <w:t>材质</w:t>
            </w:r>
            <w:r>
              <w:rPr>
                <w:rFonts w:hint="eastAsia" w:ascii="仿宋_GB2312" w:hAnsi="仿宋_GB2312" w:eastAsia="仿宋_GB2312" w:cs="仿宋_GB2312"/>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涂料，774㎡</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见“3.2房屋维护服务”“3.4保洁服务”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55"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会议室</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室内</w:t>
            </w:r>
            <w:r>
              <w:rPr>
                <w:rFonts w:hint="eastAsia" w:ascii="仿宋_GB2312" w:hAnsi="仿宋_GB2312" w:eastAsia="仿宋_GB2312" w:cs="仿宋_GB2312"/>
                <w:sz w:val="32"/>
                <w:szCs w:val="32"/>
                <w:highlight w:val="none"/>
              </w:rPr>
              <w:t>设施</w:t>
            </w:r>
            <w:r>
              <w:rPr>
                <w:rFonts w:hint="eastAsia" w:ascii="仿宋_GB2312" w:hAnsi="仿宋_GB2312" w:eastAsia="仿宋_GB2312" w:cs="仿宋_GB2312"/>
                <w:sz w:val="32"/>
                <w:szCs w:val="32"/>
                <w:highlight w:val="none"/>
                <w:lang w:val="en-US" w:eastAsia="zh-CN"/>
              </w:rPr>
              <w:t>说明</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会议桌、会议椅、投影机、话筒</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3.2房屋维护服务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3.7会议服务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center"/>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会议室总数量</w:t>
            </w:r>
            <w:r>
              <w:rPr>
                <w:rFonts w:hint="eastAsia" w:ascii="仿宋_GB2312" w:hAnsi="仿宋_GB2312" w:eastAsia="仿宋_GB2312" w:cs="仿宋_GB2312"/>
                <w:sz w:val="32"/>
                <w:szCs w:val="32"/>
                <w:highlight w:val="none"/>
                <w:lang w:val="en-US" w:eastAsia="zh-CN"/>
              </w:rPr>
              <w:t>（个）</w:t>
            </w:r>
            <w:r>
              <w:rPr>
                <w:rFonts w:hint="eastAsia" w:ascii="仿宋_GB2312" w:hAnsi="仿宋_GB2312" w:eastAsia="仿宋_GB2312" w:cs="仿宋_GB2312"/>
                <w:color w:val="auto"/>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lang w:val="en-US" w:eastAsia="zh-CN"/>
              </w:rPr>
              <w:t>6个，728</w:t>
            </w:r>
            <w:bookmarkStart w:id="3" w:name="OLE_LINK2"/>
            <w:r>
              <w:rPr>
                <w:rFonts w:hint="eastAsia" w:ascii="仿宋_GB2312" w:hAnsi="仿宋_GB2312" w:eastAsia="仿宋_GB2312" w:cs="仿宋_GB2312"/>
                <w:sz w:val="32"/>
                <w:szCs w:val="32"/>
                <w:highlight w:val="none"/>
                <w:lang w:val="en-US" w:eastAsia="zh-CN"/>
              </w:rPr>
              <w:t>㎡</w:t>
            </w:r>
            <w:bookmarkEnd w:id="3"/>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u w:val="none"/>
                <w:lang w:val="en-US" w:eastAsia="zh-CN" w:bidi="ar-SA"/>
              </w:rPr>
              <w:t>3.7会议服务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932" w:type="dxa"/>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卫生间 </w:t>
            </w:r>
          </w:p>
          <w:p>
            <w:pPr>
              <w:pStyle w:val="2"/>
              <w:ind w:left="0" w:leftChars="0" w:firstLine="0" w:firstLineChars="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淋浴室</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卫生间、淋浴室</w:t>
            </w:r>
            <w:r>
              <w:rPr>
                <w:rFonts w:hint="eastAsia" w:ascii="仿宋_GB2312" w:hAnsi="仿宋_GB2312" w:eastAsia="仿宋_GB2312" w:cs="仿宋_GB2312"/>
                <w:color w:val="auto"/>
                <w:sz w:val="32"/>
                <w:szCs w:val="32"/>
                <w:highlight w:val="none"/>
                <w:lang w:val="en-US" w:eastAsia="zh-CN"/>
              </w:rPr>
              <w:t>总数量</w:t>
            </w:r>
            <w:r>
              <w:rPr>
                <w:rFonts w:hint="eastAsia" w:ascii="仿宋_GB2312" w:hAnsi="仿宋_GB2312" w:eastAsia="仿宋_GB2312" w:cs="仿宋_GB2312"/>
                <w:sz w:val="32"/>
                <w:szCs w:val="32"/>
                <w:highlight w:val="none"/>
                <w:lang w:val="en-US" w:eastAsia="zh-CN"/>
              </w:rPr>
              <w:t>（个）</w:t>
            </w:r>
            <w:r>
              <w:rPr>
                <w:rFonts w:hint="eastAsia" w:ascii="仿宋_GB2312" w:hAnsi="仿宋_GB2312" w:eastAsia="仿宋_GB2312" w:cs="仿宋_GB2312"/>
                <w:color w:val="auto"/>
                <w:sz w:val="32"/>
                <w:szCs w:val="32"/>
                <w:highlight w:val="none"/>
                <w:lang w:val="en-US" w:eastAsia="zh-CN"/>
              </w:rPr>
              <w:t>及总面积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卫生间19个，408㎡</w:t>
            </w:r>
          </w:p>
          <w:p>
            <w:pPr>
              <w:pStyle w:val="2"/>
              <w:ind w:left="0" w:leftChars="0" w:firstLine="0" w:firstLineChars="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淋浴室3个60</w:t>
            </w:r>
            <w:r>
              <w:rPr>
                <w:rFonts w:hint="eastAsia" w:ascii="仿宋_GB2312" w:hAnsi="仿宋_GB2312" w:eastAsia="仿宋_GB2312" w:cs="仿宋_GB2312"/>
                <w:b w:val="0"/>
                <w:bCs/>
                <w:sz w:val="32"/>
                <w:szCs w:val="32"/>
                <w:highlight w:val="none"/>
                <w:lang w:val="en-US" w:eastAsia="zh-CN"/>
              </w:rPr>
              <w:t>㎡</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1932" w:type="dxa"/>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垃圾存放点</w:t>
            </w: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各垃圾存放点位置、</w:t>
            </w:r>
            <w:r>
              <w:rPr>
                <w:rFonts w:hint="eastAsia" w:ascii="仿宋_GB2312" w:hAnsi="仿宋_GB2312" w:eastAsia="仿宋_GB2312" w:cs="仿宋_GB2312"/>
                <w:sz w:val="32"/>
                <w:szCs w:val="32"/>
                <w:highlight w:val="none"/>
              </w:rPr>
              <w:t>面积</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及数量（个）</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每楼层1个，共12㎡</w:t>
            </w:r>
          </w:p>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室外主楼西侧12个，广场4个，10㎡</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w:t>
            </w:r>
            <w:r>
              <w:rPr>
                <w:rFonts w:hint="eastAsia" w:ascii="仿宋_GB2312" w:hAnsi="仿宋_GB2312" w:eastAsia="仿宋_GB2312" w:cs="仿宋_GB2312"/>
                <w:color w:val="auto"/>
                <w:kern w:val="2"/>
                <w:sz w:val="32"/>
                <w:szCs w:val="32"/>
                <w:highlight w:val="none"/>
                <w:u w:val="none"/>
                <w:lang w:val="en-US" w:eastAsia="zh-CN" w:bidi="ar-SA"/>
              </w:rPr>
              <w:t>3.4保洁服务</w:t>
            </w:r>
            <w:r>
              <w:rPr>
                <w:rFonts w:hint="eastAsia" w:ascii="仿宋_GB2312" w:hAnsi="仿宋_GB2312" w:eastAsia="仿宋_GB2312" w:cs="仿宋_GB2312"/>
                <w:color w:val="auto"/>
                <w:kern w:val="2"/>
                <w:sz w:val="32"/>
                <w:szCs w:val="32"/>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rPr>
              <w:t>车位数</w:t>
            </w: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地下车位数</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55个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lang w:val="en-US" w:eastAsia="zh-CN"/>
              </w:rPr>
            </w:pP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地面车位数</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65个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车行/人行口</w:t>
            </w: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车行口</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sz w:val="32"/>
                <w:szCs w:val="32"/>
                <w:highlight w:val="none"/>
                <w:lang w:val="en-US" w:eastAsia="zh-CN"/>
              </w:rPr>
            </w:pPr>
          </w:p>
        </w:tc>
        <w:tc>
          <w:tcPr>
            <w:tcW w:w="2143" w:type="dxa"/>
            <w:noWrap w:val="0"/>
            <w:vAlign w:val="center"/>
          </w:tcPr>
          <w:p>
            <w:pPr>
              <w:pageBreakBefore w:val="0"/>
              <w:kinsoku/>
              <w:wordWrap/>
              <w:overflowPunct/>
              <w:topLinePunct w:val="0"/>
              <w:bidi w:val="0"/>
              <w:snapToGrid w:val="0"/>
              <w:spacing w:line="300" w:lineRule="auto"/>
              <w:ind w:left="0" w:leftChars="0" w:firstLine="0" w:firstLineChars="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人行口</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1个</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restart"/>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设施设备</w:t>
            </w:r>
          </w:p>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电梯</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电梯2部</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空调</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中央空调外机40台， 室内机186台。</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采暖</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采暖热媒采用50/40℃热水，由小区换热站提供，系统补水定压在换热站内解决，采暖面积3106.9㎡。</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给排水</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供水水源为大楼土建预留给水立管，热水系统为空气能热水器，室内污水采用合流制，室外地坪污水重力自流入室外污水管。</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rPr>
              <w:t>消防</w:t>
            </w:r>
            <w:r>
              <w:rPr>
                <w:rFonts w:hint="eastAsia" w:ascii="仿宋_GB2312" w:hAnsi="仿宋_GB2312" w:eastAsia="仿宋_GB2312" w:cs="仿宋_GB2312"/>
                <w:sz w:val="32"/>
                <w:szCs w:val="32"/>
                <w:highlight w:val="none"/>
                <w:lang w:val="en-US" w:eastAsia="zh-CN"/>
              </w:rPr>
              <w:t>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七氟丙烷气体自动灭火系统。自动报警灭火系统一套。</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安防系统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小区安防控制系统设备1套，车辆管理系统2套。</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32" w:type="dxa"/>
            <w:vMerge w:val="continue"/>
            <w:noWrap w:val="0"/>
            <w:vAlign w:val="center"/>
          </w:tcPr>
          <w:p>
            <w:pPr>
              <w:pageBreakBefore w:val="0"/>
              <w:kinsoku/>
              <w:wordWrap/>
              <w:overflowPunct/>
              <w:topLinePunct w:val="0"/>
              <w:bidi w:val="0"/>
              <w:snapToGrid w:val="0"/>
              <w:spacing w:line="300" w:lineRule="auto"/>
              <w:ind w:left="0" w:firstLine="0" w:firstLineChars="0"/>
              <w:jc w:val="both"/>
              <w:rPr>
                <w:rFonts w:hint="eastAsia" w:ascii="仿宋_GB2312" w:hAnsi="仿宋_GB2312" w:eastAsia="仿宋_GB2312" w:cs="仿宋_GB2312"/>
                <w:color w:val="auto"/>
                <w:sz w:val="32"/>
                <w:szCs w:val="32"/>
                <w:highlight w:val="none"/>
              </w:rPr>
            </w:pPr>
          </w:p>
        </w:tc>
        <w:tc>
          <w:tcPr>
            <w:tcW w:w="2143"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rPr>
              <w:t>照明系统</w:t>
            </w:r>
          </w:p>
        </w:tc>
        <w:tc>
          <w:tcPr>
            <w:tcW w:w="2538"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采用放射式的低压配电系统；照明采用就地控制或分区分组控制。</w:t>
            </w:r>
          </w:p>
        </w:tc>
        <w:tc>
          <w:tcPr>
            <w:tcW w:w="2669"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见“</w:t>
            </w:r>
            <w:r>
              <w:rPr>
                <w:rFonts w:hint="eastAsia" w:ascii="仿宋_GB2312" w:hAnsi="仿宋_GB2312" w:eastAsia="仿宋_GB2312" w:cs="仿宋_GB2312"/>
                <w:color w:val="auto"/>
                <w:sz w:val="32"/>
                <w:szCs w:val="32"/>
                <w:highlight w:val="none"/>
                <w:u w:val="none"/>
                <w:lang w:val="en-US" w:eastAsia="zh-CN"/>
              </w:rPr>
              <w:t>3.6保安服务</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u w:val="none"/>
                <w:lang w:val="en-US" w:eastAsia="zh-CN"/>
              </w:rPr>
              <w:t>3.3共用设施设备维护服务</w:t>
            </w:r>
            <w:r>
              <w:rPr>
                <w:rFonts w:hint="eastAsia" w:ascii="仿宋_GB2312" w:hAnsi="仿宋_GB2312" w:eastAsia="仿宋_GB2312" w:cs="仿宋_GB2312"/>
                <w:color w:val="auto"/>
                <w:sz w:val="32"/>
                <w:szCs w:val="32"/>
                <w:highlight w:val="none"/>
                <w:lang w:val="en-US" w:eastAsia="zh-CN"/>
              </w:rPr>
              <w:t>”</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（2）物业管理（室外）</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5"/>
        <w:gridCol w:w="3276"/>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sz w:val="32"/>
                <w:szCs w:val="32"/>
                <w:highlight w:val="none"/>
                <w:lang w:val="en-US" w:eastAsia="zh-CN"/>
              </w:rPr>
              <w:t>名称</w:t>
            </w:r>
          </w:p>
        </w:tc>
        <w:tc>
          <w:tcPr>
            <w:tcW w:w="3006"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sz w:val="32"/>
                <w:szCs w:val="32"/>
                <w:highlight w:val="none"/>
              </w:rPr>
              <w:t>明细</w:t>
            </w:r>
          </w:p>
        </w:tc>
        <w:tc>
          <w:tcPr>
            <w:tcW w:w="3865" w:type="dxa"/>
            <w:noWrap w:val="0"/>
            <w:vAlign w:val="center"/>
          </w:tcPr>
          <w:p>
            <w:pPr>
              <w:pageBreakBefore w:val="0"/>
              <w:kinsoku/>
              <w:wordWrap/>
              <w:overflowPunct/>
              <w:topLinePunct w:val="0"/>
              <w:bidi w:val="0"/>
              <w:snapToGrid w:val="0"/>
              <w:spacing w:line="300" w:lineRule="auto"/>
              <w:jc w:val="center"/>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val="en-US" w:eastAsia="zh-CN"/>
              </w:rPr>
              <w:t>服务内容及标准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室外面积</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11596㎡</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“3.6保安服务”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rPr>
              <w:t>绿化</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1728㎡</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见“3.4保洁服务”“3.5绿化服务”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广场</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2832㎡</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“3.6保安服务”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露台</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1904㎡</w:t>
            </w:r>
          </w:p>
        </w:tc>
        <w:tc>
          <w:tcPr>
            <w:tcW w:w="3865" w:type="dxa"/>
            <w:noWrap w:val="0"/>
            <w:vAlign w:val="center"/>
          </w:tcPr>
          <w:p>
            <w:pPr>
              <w:jc w:val="both"/>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见“3.2房屋维护服务”“3.4保洁服务”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路灯</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“3.3共用设施设备维护服务”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垃圾箱</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16个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48"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监控</w:t>
            </w:r>
          </w:p>
        </w:tc>
        <w:tc>
          <w:tcPr>
            <w:tcW w:w="3006" w:type="dxa"/>
            <w:noWrap w:val="0"/>
            <w:vAlign w:val="center"/>
          </w:tcPr>
          <w:p>
            <w:pPr>
              <w:pageBreakBefore w:val="0"/>
              <w:kinsoku/>
              <w:wordWrap/>
              <w:overflowPunct/>
              <w:topLinePunct w:val="0"/>
              <w:bidi w:val="0"/>
              <w:snapToGrid w:val="0"/>
              <w:spacing w:line="300" w:lineRule="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54个</w:t>
            </w:r>
          </w:p>
        </w:tc>
        <w:tc>
          <w:tcPr>
            <w:tcW w:w="3865" w:type="dxa"/>
            <w:noWrap w:val="0"/>
            <w:vAlign w:val="center"/>
          </w:tcPr>
          <w:p>
            <w:pPr>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见“3.4保洁服务”</w:t>
            </w:r>
            <w:r>
              <w:rPr>
                <w:rFonts w:hint="eastAsia" w:ascii="仿宋_GB2312" w:hAnsi="仿宋_GB2312" w:eastAsia="仿宋_GB2312" w:cs="仿宋_GB2312"/>
                <w:color w:val="auto"/>
                <w:sz w:val="32"/>
                <w:szCs w:val="32"/>
                <w:highlight w:val="none"/>
                <w:lang w:val="en-US" w:eastAsia="zh-CN"/>
              </w:rPr>
              <w:t>“3.3共用设施设备维护服务”</w:t>
            </w:r>
          </w:p>
        </w:tc>
      </w:tr>
    </w:tbl>
    <w:p>
      <w:pPr>
        <w:pStyle w:val="2"/>
        <w:bidi w:val="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3.物业管理服务内容及标准</w:t>
      </w:r>
    </w:p>
    <w:p>
      <w:pPr>
        <w:pageBreakBefore w:val="0"/>
        <w:kinsoku/>
        <w:wordWrap/>
        <w:overflowPunct/>
        <w:topLinePunct w:val="0"/>
        <w:bidi w:val="0"/>
        <w:snapToGrid w:val="0"/>
        <w:spacing w:line="300" w:lineRule="auto"/>
        <w:ind w:firstLine="640" w:firstLineChars="200"/>
        <w:outlineLvl w:val="9"/>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kern w:val="2"/>
          <w:sz w:val="32"/>
          <w:szCs w:val="32"/>
          <w:highlight w:val="none"/>
          <w:u w:val="none"/>
          <w:lang w:val="en-US" w:eastAsia="zh-CN" w:bidi="ar-SA"/>
        </w:rPr>
        <w:t>物业管理服务包括基本服务、房屋维护服务、共用设施设备维护服务、保洁服务、绿化服务、保安服务、会议服务等。</w:t>
      </w:r>
    </w:p>
    <w:bookmarkEnd w:id="1"/>
    <w:bookmarkEnd w:id="2"/>
    <w:p>
      <w:pPr>
        <w:pStyle w:val="4"/>
        <w:numPr>
          <w:ilvl w:val="2"/>
          <w:numId w:val="0"/>
        </w:numPr>
        <w:ind w:leftChars="0" w:firstLine="640" w:firstLineChars="200"/>
        <w:rPr>
          <w:rFonts w:hint="eastAsia" w:ascii="仿宋_GB2312" w:hAnsi="仿宋_GB2312" w:eastAsia="仿宋_GB2312" w:cs="仿宋_GB2312"/>
          <w:kern w:val="2"/>
          <w:sz w:val="32"/>
          <w:szCs w:val="32"/>
          <w:highlight w:val="none"/>
          <w:lang w:val="en-US" w:eastAsia="zh-CN" w:bidi="ar"/>
        </w:rPr>
      </w:pPr>
      <w:bookmarkStart w:id="4" w:name="_Toc26156"/>
      <w:bookmarkStart w:id="5" w:name="_Toc10498"/>
      <w:bookmarkStart w:id="6" w:name="_Toc26485"/>
      <w:r>
        <w:rPr>
          <w:rFonts w:hint="eastAsia" w:ascii="仿宋_GB2312" w:hAnsi="仿宋_GB2312" w:eastAsia="仿宋_GB2312" w:cs="仿宋_GB2312"/>
          <w:sz w:val="32"/>
          <w:szCs w:val="32"/>
          <w:highlight w:val="none"/>
          <w:lang w:val="en-US" w:eastAsia="zh-CN"/>
        </w:rPr>
        <w:t>3.</w:t>
      </w:r>
      <w:bookmarkEnd w:id="4"/>
      <w:bookmarkEnd w:id="5"/>
      <w:bookmarkEnd w:id="6"/>
      <w:r>
        <w:rPr>
          <w:rFonts w:hint="eastAsia" w:ascii="仿宋_GB2312" w:hAnsi="仿宋_GB2312" w:eastAsia="仿宋_GB2312" w:cs="仿宋_GB2312"/>
          <w:kern w:val="2"/>
          <w:sz w:val="32"/>
          <w:szCs w:val="32"/>
          <w:highlight w:val="none"/>
          <w:lang w:val="en-US" w:eastAsia="zh-CN" w:bidi="ar"/>
        </w:rPr>
        <w:t>1基本服务</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4"/>
        <w:gridCol w:w="2147"/>
        <w:gridCol w:w="6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2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目标与责任</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（1）结合采购人要求及物业服务实际情况，制定年度管理目标，明确责任分工，并制定配套实施方案。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服务人员要求</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（1）每季度至少开展1次岗位技能、职业素质、服务知识、客户文化、绿色节能环保等教育培训，并进行适当形式的考核。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（2）根据采购人要求对服务人员进行从业资格审查，审查结果向采购人报备。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bCs/>
                <w:color w:val="auto"/>
                <w:sz w:val="32"/>
                <w:szCs w:val="32"/>
                <w:highlight w:val="none"/>
                <w:lang w:val="en-US" w:eastAsia="zh-CN"/>
              </w:rPr>
              <w:t>服务人员的年龄、学历、工作经验及资格条件须与所在岗位能力要求相匹配，到岗前须经过必要的岗前培训以达到岗位能力要求，国家、行业规定应取得职业资格证书或特种作业证书的，应按规定持证上岗。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bCs/>
                <w:color w:val="auto"/>
                <w:sz w:val="32"/>
                <w:szCs w:val="32"/>
                <w:highlight w:val="none"/>
                <w:lang w:val="en-US" w:eastAsia="zh-CN"/>
              </w:rPr>
              <w:t>如采购人认为服务人员不适应岗位要求或存在其他影响工作的，可要求供应商进行调换。如因供应商原因对服务人员进行调换，须经采购人同意，更换比例不得超过本项目服务人员总数的20%。本项目服务人员不得在其他项目兼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jc w:val="center"/>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（5）着装分类统一，佩戴标识。仪容整洁、姿态端正、举止文明。用语文明礼貌，态度温和耐心。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保密和思想政治教育</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（1）建立保密管理制度。制度内容应包括但不限于：①明确重点要害岗位保密职责。②对涉密工作岗位的保密要求。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（2）根据采购人要求与涉密工作岗位的服务人员签订保密协议。保密协议应向采购人报备。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季度至少开展1次对服务人员进行保密、思想政治教育的培训，提高服务人员保密意识和思想政治意识。新入职员工应接受保密、思想政治教育培训，进行必要的人员经历审查，合格后签订保密协议方可上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bidi w:val="0"/>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（4）发现服务人员违法违规或重大过失，及时报告采购人，并采取必要补救措施。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档案管理</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（1）建立物业信息，准确、及时地对文件资料和服务记录进行归档保存，并确保其物理安全。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档案和记录齐全，包括但不限于：①采购人建议与投诉等。教育培训和考核记录。保密、思想政治教育培训记录。②房屋维护服务：房屋台账、使用说明、房屋装修、维保记录等。③共用设施设备维护服务：设备台账、设备卡、使用说明、维保记录、巡查记录、</w:t>
            </w:r>
            <w:r>
              <w:rPr>
                <w:rFonts w:hint="eastAsia" w:ascii="仿宋_GB2312" w:hAnsi="仿宋_GB2312" w:eastAsia="仿宋_GB2312" w:cs="仿宋_GB2312"/>
                <w:color w:val="auto"/>
                <w:kern w:val="0"/>
                <w:sz w:val="32"/>
                <w:szCs w:val="32"/>
                <w:highlight w:val="none"/>
              </w:rPr>
              <w:t>设施设备安全运行、设施设备定期巡检、维护保养、维修档案</w:t>
            </w:r>
            <w:r>
              <w:rPr>
                <w:rFonts w:hint="eastAsia" w:ascii="仿宋_GB2312" w:hAnsi="仿宋_GB2312" w:eastAsia="仿宋_GB2312" w:cs="仿宋_GB2312"/>
                <w:b w:val="0"/>
                <w:bCs w:val="0"/>
                <w:color w:val="auto"/>
                <w:kern w:val="0"/>
                <w:sz w:val="32"/>
                <w:szCs w:val="32"/>
                <w:highlight w:val="none"/>
                <w:lang w:val="en-US" w:eastAsia="zh-CN"/>
              </w:rPr>
              <w:t>等。④保安服务：监控记录、突发事件演习与处置记录等。⑤保洁服务：工作日志、清洁检查表、用品清单、客户反馈表等。⑥绿化服务：绿化总平面图、清洁整改记录、消杀记录等。⑦其他：客户信息、财务明细、合同协议、信报信息登记、大件物品进出登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（3）遵守采购人的信息、档案资料保密要求，未经许可，不得将建筑物平面图等资料转作其他用途或向其他单位、个人提供。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（4）履约结束后，相关资料交还采购人，采购人按政府采购相关规定存档。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服务改进</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（1）明确负责人，定期对物业服务过程进行自查，结合反馈意见与评价结果采取改进措施，持续提升管理与服务水平。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（2）对不合格服务进行控制，对不合格服务的原因进行识别和分析，及时采取纠正措施，消除不合格的原因，防止不合格再发生。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（3）需整改问题及时整改完成。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重大活动后勤保障</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（1）制订流程。配合采购人制订重大活动后勤保障工作流程，需对任务进行详细了解，并根据工作安排制定详细的后勤保障计划。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实施保障。按计划在关键区域和重点部位进行部署，确保任务顺利进行，对活动区域进行全面安全检查，发现并排除安全隐患，对车辆进行有序引导和管理，确保交通安全畅通，以礼貌、专业的态度对待来宾，展现良好形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（3）收尾工作。对现场进行检查，做好清理工作。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color w:val="auto"/>
                <w:kern w:val="0"/>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7</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0"/>
                <w:sz w:val="32"/>
                <w:szCs w:val="32"/>
                <w:highlight w:val="none"/>
                <w:lang w:val="en-US" w:eastAsia="zh-CN"/>
              </w:rPr>
              <w:t>应急保障预案</w:t>
            </w: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color w:val="auto"/>
                <w:sz w:val="32"/>
                <w:szCs w:val="32"/>
                <w:highlight w:val="none"/>
                <w:u w:val="none"/>
                <w:lang w:val="en-US" w:eastAsia="zh-CN"/>
              </w:rPr>
              <w:t>重点区域及安全隐患排查。结合项目的实际情况，对重点部位及危险隐患进行排查，并建立清单/台账；应对危险隐患进行风险分析，制定相应措施进行控制或整改并定期监控；随着设施设备、服务内容的变化，及时更新清单/台账，使风险隐患始终处于受控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应急预案的建立。根据办公楼隐患排查的结果和实际情况，制定专项预案，包括但不限于：火情火警紧急处理应急预案、紧急疏散应急预案、停水停电应急预案、有限空间救援应急预案、高空作业救援应急预案、恶劣天气应对应急预案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6423" w:type="dxa"/>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lang w:val="en-US" w:eastAsia="zh-CN"/>
              </w:rPr>
              <w:t>应急预案的培训和演练。应急预案定期培训和演练，组织相关岗位每半年至少开展一次专项应急预案演练；留存培训及演练记录和影像资料，并对预案进行评价，确保与实际情况相结合。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color w:val="auto"/>
                <w:kern w:val="0"/>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应急物资的管理。根据专项预案中的应对需要、必要的应急物资，建立清单或台账，并由专人定期对应急物资进行检查，如有应急物资不足，及时通知采购人购置齐全，确保能够随时正常使用。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服务方案及工作制度</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（1）制定工作制度，</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人员录用制度、</w:t>
            </w:r>
            <w:r>
              <w:rPr>
                <w:rFonts w:hint="eastAsia" w:ascii="仿宋_GB2312" w:hAnsi="仿宋_GB2312" w:eastAsia="仿宋_GB2312" w:cs="仿宋_GB2312"/>
                <w:b w:val="0"/>
                <w:bCs w:val="0"/>
                <w:color w:val="auto"/>
                <w:kern w:val="0"/>
                <w:sz w:val="32"/>
                <w:szCs w:val="32"/>
                <w:highlight w:val="none"/>
                <w:lang w:val="en-US" w:eastAsia="zh-CN"/>
              </w:rPr>
              <w:t>档案管理制度、</w:t>
            </w:r>
            <w:r>
              <w:rPr>
                <w:rFonts w:hint="eastAsia" w:ascii="仿宋_GB2312" w:hAnsi="仿宋_GB2312" w:eastAsia="仿宋_GB2312" w:cs="仿宋_GB2312"/>
                <w:bCs/>
                <w:color w:val="auto"/>
                <w:sz w:val="32"/>
                <w:szCs w:val="32"/>
                <w:highlight w:val="none"/>
              </w:rPr>
              <w:t>物业服务管理制度</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 w:val="0"/>
                <w:bCs w:val="0"/>
                <w:color w:val="auto"/>
                <w:kern w:val="0"/>
                <w:sz w:val="32"/>
                <w:szCs w:val="32"/>
                <w:highlight w:val="none"/>
                <w:lang w:val="en-US" w:eastAsia="zh-CN"/>
              </w:rPr>
              <w:t>共用设施设备相关管理制度等</w:t>
            </w:r>
            <w:r>
              <w:rPr>
                <w:rFonts w:hint="eastAsia" w:ascii="仿宋_GB2312" w:hAnsi="仿宋_GB2312" w:eastAsia="仿宋_GB2312" w:cs="仿宋_GB2312"/>
                <w:bCs/>
                <w:color w:val="auto"/>
                <w:sz w:val="32"/>
                <w:szCs w:val="32"/>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（2）制定</w:t>
            </w:r>
            <w:r>
              <w:rPr>
                <w:rFonts w:hint="eastAsia" w:ascii="仿宋_GB2312" w:hAnsi="仿宋_GB2312" w:eastAsia="仿宋_GB2312" w:cs="仿宋_GB2312"/>
                <w:bCs/>
                <w:color w:val="auto"/>
                <w:sz w:val="32"/>
                <w:szCs w:val="32"/>
                <w:highlight w:val="none"/>
              </w:rPr>
              <w:t>项目实施方案</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交接</w:t>
            </w:r>
            <w:r>
              <w:rPr>
                <w:rFonts w:hint="eastAsia" w:ascii="仿宋_GB2312" w:hAnsi="仿宋_GB2312" w:eastAsia="仿宋_GB2312" w:cs="仿宋_GB2312"/>
                <w:bCs/>
                <w:color w:val="auto"/>
                <w:sz w:val="32"/>
                <w:szCs w:val="32"/>
                <w:highlight w:val="none"/>
              </w:rPr>
              <w:t>方案、人员培训方案、人员稳定性方案、保密方案</w:t>
            </w:r>
            <w:r>
              <w:rPr>
                <w:rFonts w:hint="eastAsia" w:ascii="仿宋_GB2312" w:hAnsi="仿宋_GB2312" w:eastAsia="仿宋_GB2312" w:cs="仿宋_GB2312"/>
                <w:bCs/>
                <w:color w:val="auto"/>
                <w:sz w:val="32"/>
                <w:szCs w:val="32"/>
                <w:highlight w:val="none"/>
                <w:lang w:eastAsia="zh-CN"/>
              </w:rPr>
              <w:t>等</w:t>
            </w:r>
            <w:r>
              <w:rPr>
                <w:rFonts w:hint="eastAsia" w:ascii="仿宋_GB2312" w:hAnsi="仿宋_GB2312" w:eastAsia="仿宋_GB2312" w:cs="仿宋_GB2312"/>
                <w:bCs/>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（3）制定</w:t>
            </w:r>
            <w:r>
              <w:rPr>
                <w:rFonts w:hint="eastAsia" w:ascii="仿宋_GB2312" w:hAnsi="仿宋_GB2312" w:eastAsia="仿宋_GB2312" w:cs="仿宋_GB2312"/>
                <w:bCs/>
                <w:color w:val="auto"/>
                <w:sz w:val="32"/>
                <w:szCs w:val="32"/>
                <w:highlight w:val="none"/>
              </w:rPr>
              <w:t>物业服务方案</w:t>
            </w:r>
            <w:r>
              <w:rPr>
                <w:rFonts w:hint="eastAsia" w:ascii="仿宋_GB2312" w:hAnsi="仿宋_GB2312" w:eastAsia="仿宋_GB2312" w:cs="仿宋_GB2312"/>
                <w:bCs/>
                <w:color w:val="auto"/>
                <w:sz w:val="32"/>
                <w:szCs w:val="32"/>
                <w:highlight w:val="none"/>
                <w:lang w:eastAsia="zh-CN"/>
              </w:rPr>
              <w:t>，主要</w:t>
            </w:r>
            <w:r>
              <w:rPr>
                <w:rFonts w:hint="eastAsia" w:ascii="仿宋_GB2312" w:hAnsi="仿宋_GB2312" w:eastAsia="仿宋_GB2312" w:cs="仿宋_GB2312"/>
                <w:bCs/>
                <w:color w:val="auto"/>
                <w:sz w:val="32"/>
                <w:szCs w:val="32"/>
                <w:highlight w:val="none"/>
              </w:rPr>
              <w:t>包括：</w:t>
            </w:r>
            <w:r>
              <w:rPr>
                <w:rFonts w:hint="eastAsia" w:ascii="仿宋_GB2312" w:hAnsi="仿宋_GB2312" w:eastAsia="仿宋_GB2312" w:cs="仿宋_GB2312"/>
                <w:bCs/>
                <w:color w:val="auto"/>
                <w:sz w:val="32"/>
                <w:szCs w:val="32"/>
                <w:highlight w:val="none"/>
                <w:lang w:val="en-US" w:eastAsia="zh-CN"/>
              </w:rPr>
              <w:t>房屋维护服务方案、共用设施设备维护服务方案、</w:t>
            </w:r>
            <w:r>
              <w:rPr>
                <w:rFonts w:hint="eastAsia" w:ascii="仿宋_GB2312" w:hAnsi="仿宋_GB2312" w:eastAsia="仿宋_GB2312" w:cs="仿宋_GB2312"/>
                <w:bCs/>
                <w:color w:val="auto"/>
                <w:sz w:val="32"/>
                <w:szCs w:val="32"/>
                <w:highlight w:val="none"/>
              </w:rPr>
              <w:t>绿化</w:t>
            </w:r>
            <w:r>
              <w:rPr>
                <w:rFonts w:hint="eastAsia" w:ascii="仿宋_GB2312" w:hAnsi="仿宋_GB2312" w:eastAsia="仿宋_GB2312" w:cs="仿宋_GB2312"/>
                <w:bCs/>
                <w:color w:val="auto"/>
                <w:sz w:val="32"/>
                <w:szCs w:val="32"/>
                <w:highlight w:val="none"/>
                <w:lang w:val="en-US" w:eastAsia="zh-CN"/>
              </w:rPr>
              <w:t>服务</w:t>
            </w:r>
            <w:r>
              <w:rPr>
                <w:rFonts w:hint="eastAsia" w:ascii="仿宋_GB2312" w:hAnsi="仿宋_GB2312" w:eastAsia="仿宋_GB2312" w:cs="仿宋_GB2312"/>
                <w:bCs/>
                <w:color w:val="auto"/>
                <w:sz w:val="32"/>
                <w:szCs w:val="32"/>
                <w:highlight w:val="none"/>
              </w:rPr>
              <w:t>方案</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保洁服务方案、</w:t>
            </w:r>
            <w:r>
              <w:rPr>
                <w:rFonts w:hint="eastAsia" w:ascii="仿宋_GB2312" w:hAnsi="仿宋_GB2312" w:eastAsia="仿宋_GB2312" w:cs="仿宋_GB2312"/>
                <w:bCs/>
                <w:color w:val="auto"/>
                <w:sz w:val="32"/>
                <w:szCs w:val="32"/>
                <w:highlight w:val="none"/>
                <w:lang w:val="en-US" w:eastAsia="zh-CN"/>
              </w:rPr>
              <w:t>保安</w:t>
            </w:r>
            <w:r>
              <w:rPr>
                <w:rFonts w:hint="eastAsia" w:ascii="仿宋_GB2312" w:hAnsi="仿宋_GB2312" w:eastAsia="仿宋_GB2312" w:cs="仿宋_GB2312"/>
                <w:bCs/>
                <w:color w:val="auto"/>
                <w:sz w:val="32"/>
                <w:szCs w:val="32"/>
                <w:highlight w:val="none"/>
              </w:rPr>
              <w:t>服务方案、会议服务方案</w:t>
            </w:r>
            <w:r>
              <w:rPr>
                <w:rFonts w:hint="eastAsia" w:ascii="仿宋_GB2312" w:hAnsi="仿宋_GB2312" w:eastAsia="仿宋_GB2312" w:cs="仿宋_GB2312"/>
                <w:bCs/>
                <w:color w:val="auto"/>
                <w:sz w:val="32"/>
                <w:szCs w:val="32"/>
                <w:highlight w:val="none"/>
                <w:lang w:val="en-US" w:eastAsia="zh-CN"/>
              </w:rPr>
              <w:t>等</w:t>
            </w:r>
            <w:r>
              <w:rPr>
                <w:rFonts w:hint="eastAsia" w:ascii="仿宋_GB2312" w:hAnsi="仿宋_GB2312" w:eastAsia="仿宋_GB2312" w:cs="仿宋_GB2312"/>
                <w:bCs/>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信报服务</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（1）对邮件、包裹和挂号信等进行正确分类、安全检查和防疫卫生检查。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（2）及时投送或通知收件人领取。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rPr>
              <w:t>大件物品出入</w:t>
            </w:r>
            <w:r>
              <w:rPr>
                <w:rFonts w:hint="eastAsia" w:ascii="仿宋_GB2312" w:hAnsi="仿宋_GB2312" w:eastAsia="仿宋_GB2312" w:cs="仿宋_GB2312"/>
                <w:color w:val="auto"/>
                <w:sz w:val="32"/>
                <w:szCs w:val="32"/>
                <w:highlight w:val="none"/>
                <w:u w:val="none"/>
                <w:lang w:val="en-US" w:eastAsia="zh-CN"/>
              </w:rPr>
              <w:t>向采购人报告，待采购人确认无误后放行</w:t>
            </w:r>
            <w:r>
              <w:rPr>
                <w:rFonts w:hint="eastAsia" w:ascii="仿宋_GB2312" w:hAnsi="仿宋_GB2312" w:eastAsia="仿宋_GB2312" w:cs="仿宋_GB2312"/>
                <w:color w:val="auto"/>
                <w:sz w:val="32"/>
                <w:szCs w:val="32"/>
                <w:highlight w:val="none"/>
                <w:u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w:t>
            </w:r>
          </w:p>
        </w:tc>
        <w:tc>
          <w:tcPr>
            <w:tcW w:w="217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服务热线及紧急维修</w:t>
            </w: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（1）设置24小时报修服务热线。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217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both"/>
              <w:textAlignment w:val="auto"/>
              <w:rPr>
                <w:rFonts w:hint="eastAsia" w:ascii="仿宋_GB2312" w:hAnsi="仿宋_GB2312" w:eastAsia="仿宋_GB2312" w:cs="仿宋_GB2312"/>
                <w:sz w:val="32"/>
                <w:szCs w:val="32"/>
                <w:highlight w:val="none"/>
                <w:lang w:val="en-US" w:eastAsia="zh-CN"/>
              </w:rPr>
            </w:pPr>
          </w:p>
        </w:tc>
        <w:tc>
          <w:tcPr>
            <w:tcW w:w="642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紧急维修须15分钟内到达现场，不间断维修直至修复。</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7" w:name="_3.2房屋维护服务"/>
      <w:r>
        <w:rPr>
          <w:rFonts w:hint="eastAsia" w:ascii="仿宋_GB2312" w:hAnsi="仿宋_GB2312" w:eastAsia="仿宋_GB2312" w:cs="仿宋_GB2312"/>
          <w:sz w:val="32"/>
          <w:szCs w:val="32"/>
          <w:highlight w:val="none"/>
          <w:lang w:val="en-US" w:eastAsia="zh-CN"/>
        </w:rPr>
        <w:t>3.2房屋维护服务</w:t>
      </w:r>
    </w:p>
    <w:bookmarkEnd w:id="7"/>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117"/>
        <w:gridCol w:w="6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4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5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建筑部件、房屋</w:t>
            </w:r>
            <w:r>
              <w:rPr>
                <w:rFonts w:hint="eastAsia" w:ascii="仿宋_GB2312" w:hAnsi="仿宋_GB2312" w:eastAsia="仿宋_GB2312" w:cs="仿宋_GB2312"/>
                <w:sz w:val="32"/>
                <w:szCs w:val="32"/>
                <w:highlight w:val="none"/>
              </w:rPr>
              <w:t>结构</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（1）每季度至少开展1次房屋结构安全巡视，发现外观有变形、开裂等现象，及时建议采购人申请房屋安全鉴定，并采取必要的避险和防护措施。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（2）每季度至少开展1次外墙贴饰面、幕墙玻璃、雨棚、散水、空调室外机支撑构件等检查，发现破损，及时向采购人报告，按采购人要求出具维修方案，待采购人同意后按维修方案实施维修。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（3）每半月至少开展1次公用部位的门、窗、楼梯、通风道、室内地面、墙面、吊顶和室外屋面等巡查，发现破损，及时向采购人报告，按采购人要求出具维修方案，待采购人同意后按维修方案实施维修。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（4）每年强降雨天气前后、雨雪季节检查屋面防水和雨落管等，发现破损，及时向采购人报告，按采购人要求出具维修方案，待采购人同意后按维修方案实施维修。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（5）</w:t>
            </w:r>
            <w:r>
              <w:rPr>
                <w:rFonts w:hint="eastAsia" w:ascii="仿宋_GB2312" w:hAnsi="仿宋_GB2312" w:eastAsia="仿宋_GB2312" w:cs="仿宋_GB2312"/>
                <w:color w:val="auto"/>
                <w:sz w:val="32"/>
                <w:szCs w:val="32"/>
                <w:highlight w:val="none"/>
                <w:u w:val="none"/>
                <w:lang w:val="en-US" w:eastAsia="zh-CN"/>
              </w:rPr>
              <w:t>办公楼外观完好，建筑装饰面无脱落、无破损、无污渍，玻璃幕墙清洁明亮、无破损。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（6）</w:t>
            </w:r>
            <w:r>
              <w:rPr>
                <w:rFonts w:hint="eastAsia" w:ascii="仿宋_GB2312" w:hAnsi="仿宋_GB2312" w:eastAsia="仿宋_GB2312" w:cs="仿宋_GB2312"/>
                <w:color w:val="auto"/>
                <w:sz w:val="32"/>
                <w:szCs w:val="32"/>
                <w:highlight w:val="none"/>
                <w:u w:val="none"/>
                <w:lang w:val="en-US" w:eastAsia="zh-CN"/>
              </w:rPr>
              <w:t>通道、楼梯、门窗等设施的完好和正常使用。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rPr>
            </w:pPr>
            <w:r>
              <w:rPr>
                <w:rFonts w:hint="eastAsia" w:ascii="仿宋_GB2312" w:hAnsi="仿宋_GB2312" w:eastAsia="仿宋_GB2312" w:cs="仿宋_GB2312"/>
                <w:sz w:val="32"/>
                <w:szCs w:val="32"/>
                <w:highlight w:val="none"/>
                <w:lang w:val="en-US" w:eastAsia="zh-CN"/>
              </w:rPr>
              <w:t>附属设施</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每半月至少开展1次大门、围墙、道路、场地、管井、沟渠等巡查，每半月至少检查1次雨污水管井、化粪池等巡查，发现破损，及时向采购人报告，按采购人要求出具维修方案，待采购人同意后按维修方案实施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color w:val="auto"/>
                <w:sz w:val="32"/>
                <w:szCs w:val="32"/>
                <w:highlight w:val="none"/>
                <w:u w:val="none"/>
                <w:lang w:val="en-US" w:eastAsia="zh-CN"/>
              </w:rPr>
              <w:t>路面状态良好，地漏通畅不堵塞。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（3）接到采购人家具报修服务后，及时通知家具供货商对保修期内的家具进行维修，及时对保修期外的家具进行维修。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（4）接到采购人家具报修服务后，及时通知家具供货商对保修期内的家具进行维修，及时对保修期外的家具进行维修。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43"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装饰装修</w:t>
            </w:r>
            <w:r>
              <w:rPr>
                <w:rFonts w:hint="eastAsia" w:ascii="仿宋_GB2312" w:hAnsi="仿宋_GB2312" w:eastAsia="仿宋_GB2312" w:cs="仿宋_GB2312"/>
                <w:sz w:val="32"/>
                <w:szCs w:val="32"/>
                <w:highlight w:val="none"/>
                <w:lang w:val="en-US" w:eastAsia="zh-CN"/>
              </w:rPr>
              <w:t>监督</w:t>
            </w:r>
            <w:r>
              <w:rPr>
                <w:rFonts w:hint="eastAsia" w:ascii="仿宋_GB2312" w:hAnsi="仿宋_GB2312" w:eastAsia="仿宋_GB2312" w:cs="仿宋_GB2312"/>
                <w:sz w:val="32"/>
                <w:szCs w:val="32"/>
                <w:highlight w:val="none"/>
              </w:rPr>
              <w:t>管理</w:t>
            </w: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（1）装饰装修前，供应商应与采购人或采购人委托的装修企业签订装饰装修管理服务协议，告知装饰装修须知，并对装饰装修过程进行管理服务。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（2）根据协议内容，做好装修垃圾临时堆放、清运等</w:t>
            </w:r>
            <w:r>
              <w:rPr>
                <w:rFonts w:hint="eastAsia" w:ascii="仿宋_GB2312" w:hAnsi="仿宋_GB2312" w:eastAsia="仿宋_GB2312" w:cs="仿宋_GB2312"/>
                <w:sz w:val="32"/>
                <w:szCs w:val="32"/>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43"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5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（3）</w:t>
            </w:r>
            <w:r>
              <w:rPr>
                <w:rFonts w:hint="eastAsia" w:ascii="仿宋_GB2312" w:hAnsi="仿宋_GB2312" w:eastAsia="仿宋_GB2312" w:cs="仿宋_GB2312"/>
                <w:color w:val="auto"/>
                <w:sz w:val="32"/>
                <w:szCs w:val="32"/>
                <w:highlight w:val="none"/>
                <w:u w:val="none"/>
                <w:lang w:val="en-US" w:eastAsia="zh-CN"/>
              </w:rPr>
              <w:t>受</w:t>
            </w:r>
            <w:r>
              <w:rPr>
                <w:rFonts w:hint="eastAsia" w:ascii="仿宋_GB2312" w:hAnsi="仿宋_GB2312" w:eastAsia="仿宋_GB2312" w:cs="仿宋_GB2312"/>
                <w:b w:val="0"/>
                <w:bCs w:val="0"/>
                <w:color w:val="auto"/>
                <w:kern w:val="0"/>
                <w:sz w:val="32"/>
                <w:szCs w:val="32"/>
                <w:highlight w:val="none"/>
                <w:lang w:val="en-US" w:eastAsia="zh-CN"/>
              </w:rPr>
              <w:t>采购人</w:t>
            </w:r>
            <w:r>
              <w:rPr>
                <w:rFonts w:hint="eastAsia" w:ascii="仿宋_GB2312" w:hAnsi="仿宋_GB2312" w:eastAsia="仿宋_GB2312" w:cs="仿宋_GB2312"/>
                <w:color w:val="auto"/>
                <w:sz w:val="32"/>
                <w:szCs w:val="32"/>
                <w:highlight w:val="none"/>
                <w:u w:val="none"/>
                <w:lang w:val="en-US" w:eastAsia="zh-CN"/>
              </w:rPr>
              <w:t>委托对房屋内装修进行严格的监督管理，发现问题及时上报，确保不因装修而危及大楼结构安全、人身安全和影响正常办公秩序。</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8" w:name="_3.3共用设施设备维护服务"/>
      <w:r>
        <w:rPr>
          <w:rFonts w:hint="eastAsia" w:ascii="仿宋_GB2312" w:hAnsi="仿宋_GB2312" w:eastAsia="仿宋_GB2312" w:cs="仿宋_GB2312"/>
          <w:sz w:val="32"/>
          <w:szCs w:val="32"/>
          <w:highlight w:val="none"/>
          <w:lang w:val="en-US" w:eastAsia="zh-CN"/>
        </w:rPr>
        <w:t>3.3共用设施设备维护服务</w:t>
      </w:r>
    </w:p>
    <w:bookmarkEnd w:id="8"/>
    <w:tbl>
      <w:tblPr>
        <w:tblStyle w:val="24"/>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2"/>
        <w:gridCol w:w="1810"/>
        <w:gridCol w:w="6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1810"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71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基本要求</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（1）重大节假日及恶劣天气前后，组织系统巡检1次。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（2）具备设施设备安全、稳定运行的环境和场所，温湿度、照度、粉尘和烟雾浓度等符合相关安全规范。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设备机房</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设备机房门口有机房类别及安全标志。落实各类机房责任人、督查人，且设备系统图、应急预案流程图、管理制度、特种作业人员资格证书等上墙文件或证书符合各设备机房国家标准规范要求，机房巡视及外来人员记录清晰完整，标识统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（2）设备机房门窗、锁具应完好、有效。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（3）每半月至少开展1次清洁，整洁有序、无杂物、无积尘、无鼠、无虫害，温湿度符合设备运行要求。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（4）按各设备机房国家标准规范规定维护/保管消防、通风、应急照明、防止小动物进入等附属设施。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（5）安全防护用具配置齐全，检验合格。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（6）应急设施设备用品应齐全、完备，可随时启用。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给排水系统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（1）生活饮用水卫生符合《</w:t>
            </w:r>
            <w:r>
              <w:rPr>
                <w:rFonts w:hint="eastAsia" w:ascii="仿宋_GB2312" w:hAnsi="仿宋_GB2312" w:eastAsia="仿宋_GB2312" w:cs="仿宋_GB2312"/>
                <w:color w:val="auto"/>
                <w:kern w:val="0"/>
                <w:sz w:val="32"/>
                <w:szCs w:val="32"/>
                <w:highlight w:val="none"/>
              </w:rPr>
              <w:t>生活饮用水卫生标准</w:t>
            </w:r>
            <w:r>
              <w:rPr>
                <w:rFonts w:hint="eastAsia" w:ascii="仿宋_GB2312" w:hAnsi="仿宋_GB2312" w:eastAsia="仿宋_GB2312" w:cs="仿宋_GB2312"/>
                <w:b w:val="0"/>
                <w:bCs w:val="0"/>
                <w:color w:val="auto"/>
                <w:kern w:val="0"/>
                <w:sz w:val="32"/>
                <w:szCs w:val="32"/>
                <w:highlight w:val="none"/>
                <w:lang w:val="en-US" w:eastAsia="zh-CN"/>
              </w:rPr>
              <w:t>》（GB5749）的相关要求。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（2）二次供水卫生符合《二次供水设施卫生规范》（GB17051）的相关要求。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（3）设施设备、阀门、管道等运行正常，无跑、冒、滴、漏现象。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（4）有水泵房、水箱间的，每日至少巡视1次。每年至少养护1次水泵。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（5）遇供水单位限水、停水，按规定时间通知采购人。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（6）每季度至少开展1次对排水管进行疏通、清污，保证室内外排水系统通畅。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4</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空调</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（1）空调通风系统运行管理符合《空调通风系统运行管理标准》（GB50365）的相关要求。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（2）办公楼内温湿度、空气质量等符合《室内空气质量标准》（GB/T18883）的相关要求。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（3）定期维保并做好记录，保证空调设施设备处于良好状态。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（4）中央空调运行前对冷水机组、循环水泵、冷却塔、风机等设施设备进行系统检查，运行期间每日至少开展1次运行情况巡查。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（5）每半年至少开展1次管道、阀门检查并除锈。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（6）每年至少开展1次系统整体性维修养护，检验1次压力容器、仪表及冷却塔噪声。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（7）每年至少开展1次新风机、空气处理机滤网等清洗消毒；每2年至少开展1次风管清洗消毒。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（8）每年至少开展1次分体式空调主机和室外机清洁。每月至少开展1次挂机和室外支架稳固性巡查。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（9）制冷、供暖系统温度设定及启用时间符合节能要求。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yellow"/>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（10）</w:t>
            </w:r>
            <w:r>
              <w:rPr>
                <w:rFonts w:hint="eastAsia" w:ascii="仿宋_GB2312" w:hAnsi="仿宋_GB2312" w:eastAsia="仿宋_GB2312" w:cs="仿宋_GB2312"/>
                <w:color w:val="auto"/>
                <w:sz w:val="32"/>
                <w:szCs w:val="32"/>
                <w:highlight w:val="none"/>
                <w:u w:val="none"/>
                <w:lang w:val="en-US" w:eastAsia="zh-CN"/>
              </w:rPr>
              <w:t>发现故障或损坏应在30分钟内到场，紧急维修须15分钟内到达现场，12小时内维修完毕。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消防</w:t>
            </w:r>
            <w:r>
              <w:rPr>
                <w:rFonts w:hint="eastAsia" w:ascii="仿宋_GB2312" w:hAnsi="仿宋_GB2312" w:eastAsia="仿宋_GB2312" w:cs="仿宋_GB2312"/>
                <w:color w:val="auto"/>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（1）消防设施的维护管理符合《建筑消防设施的维护管理》（GB25201）的相关要求。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（2）消防设备检测符合《建筑消防设施检测技术规程》（GA503）的相关要求。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（3）消防设施平面图、火警疏散示意图、防火分区图等按幢设置在楼层醒目位置。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（4）消防系统各设施设备使用说明清晰，宜图文结合。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（5）自动喷水灭火系统启动正常。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（6）消火栓箱、防火门、灭火器、消防水泵、红外线报警器、应急照明、安全疏散等系统运行正常。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（7）消防监控系统运行良好，自动和手动报警设施启动正常。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（8）正压送风、防排烟系统运行正常。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供</w:t>
            </w:r>
            <w:r>
              <w:rPr>
                <w:rFonts w:hint="eastAsia" w:ascii="仿宋_GB2312" w:hAnsi="仿宋_GB2312" w:eastAsia="仿宋_GB2312" w:cs="仿宋_GB2312"/>
                <w:sz w:val="32"/>
                <w:szCs w:val="32"/>
                <w:highlight w:val="none"/>
                <w:lang w:val="en-US" w:eastAsia="zh-CN"/>
              </w:rPr>
              <w:t>配电</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（1）建立24小时运行值班监控制度。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（2）对供电范围内的电气设备定期巡视维护，加强高低压配电柜、配电箱、控制柜及线路等重点部位监测。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（3）公共使用的照明、指示灯具线路、开关、接地等保持完好，确保用电安全。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（4）非计划性停电应在事件发生后及时通知采购人，快速恢复或启用应急电源，并做好应急事件上报及处理工作。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（5）复杂故障涉及供电部门维修处置的及时与供电部门联系，并向采购人报告。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弱电系统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（1）安全防范系统维护保养符合《安全防范系统维护保养规范》（</w:t>
            </w:r>
            <w:r>
              <w:rPr>
                <w:rFonts w:hint="eastAsia" w:ascii="仿宋_GB2312" w:hAnsi="仿宋_GB2312" w:eastAsia="仿宋_GB2312" w:cs="仿宋_GB2312"/>
                <w:color w:val="auto"/>
                <w:kern w:val="0"/>
                <w:sz w:val="32"/>
                <w:szCs w:val="32"/>
                <w:highlight w:val="none"/>
              </w:rPr>
              <w:t>GA/T 1081</w:t>
            </w:r>
            <w:r>
              <w:rPr>
                <w:rFonts w:hint="eastAsia" w:ascii="仿宋_GB2312" w:hAnsi="仿宋_GB2312" w:eastAsia="仿宋_GB2312" w:cs="仿宋_GB2312"/>
                <w:b w:val="0"/>
                <w:bCs w:val="0"/>
                <w:color w:val="auto"/>
                <w:kern w:val="0"/>
                <w:sz w:val="32"/>
                <w:szCs w:val="32"/>
                <w:highlight w:val="none"/>
                <w:lang w:val="en-US" w:eastAsia="zh-CN"/>
              </w:rPr>
              <w:t>）的相关要求。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（2）保持监控系统、门禁系统、安全防范系统等运行正常，有故障及时排除。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1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照明</w:t>
            </w:r>
            <w:r>
              <w:rPr>
                <w:rFonts w:hint="eastAsia" w:ascii="仿宋_GB2312" w:hAnsi="仿宋_GB2312" w:eastAsia="仿宋_GB2312" w:cs="仿宋_GB2312"/>
                <w:sz w:val="32"/>
                <w:szCs w:val="32"/>
                <w:highlight w:val="none"/>
              </w:rPr>
              <w:t>系统</w:t>
            </w: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（1）外观整洁无缺损、无松落。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（2）更换的照明灯具应选用节能环保产品，亮度与更换前保持一致。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2"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1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717"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（3）每周至少开展1次公共区域照明设备巡视。</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9" w:name="_3.4保洁服务"/>
      <w:r>
        <w:rPr>
          <w:rFonts w:hint="eastAsia" w:ascii="仿宋_GB2312" w:hAnsi="仿宋_GB2312" w:eastAsia="仿宋_GB2312" w:cs="仿宋_GB2312"/>
          <w:sz w:val="32"/>
          <w:szCs w:val="32"/>
          <w:highlight w:val="none"/>
          <w:lang w:val="en-US" w:eastAsia="zh-CN"/>
        </w:rPr>
        <w:t>3.4保洁服务</w:t>
      </w:r>
    </w:p>
    <w:bookmarkEnd w:id="9"/>
    <w:tbl>
      <w:tblPr>
        <w:tblStyle w:val="24"/>
        <w:tblW w:w="500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2151"/>
        <w:gridCol w:w="6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4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基本要求</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（1）建立保洁服务的工作制度及工作计划，并按照执行。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（2）做好保洁服务工作记录，记录填写规范、保存完好。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（3）作业时采取安全防护措施，防止对作业人员或他人造成伤害。相关耗材的环保、安全性等应符合国家相关规定要求。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（4）进入保密区域时，有采购人相关人员在场。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7"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办公用房区域保洁</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（1）大厅、楼内公共通道：</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①公共通道保持干净，无异味、无杂物、无积水，每日至少开展1次清洁作业。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②门窗玻璃干净无尘，透光性好，每周至少开展1次清洁作业。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③指示牌干净，无污渍，每日至少开展1次清洁作业。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（2）电器、消防等设施设备：</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①配电箱、设备机房、会议室音视频设备、消防栓及开关插座等保持表面干净，无尘无污迹，每月至少开展1次清洁作业。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②监控摄像头、门禁系统等表面光亮，无尘、无斑点，每月至少开展1次清洁作业。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（3）楼梯及楼梯间保持干净、无异味、无杂物、无积水，每日至少开展1次清洁作业。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（4）开水间保持干净、无异味、无杂物、无积水，每日至少开展1次清洁作业。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（5）作业工具间：</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①保持干净，无异味、无杂物、无积水，每日至少开展1次清洁作业。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②作业工具摆放整齐有序，表面干净无渍。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（6）公共卫生间：</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①保持干净，无异味，垃圾无溢出，每日至少开展1次清洁作业。</w:t>
            </w:r>
          </w:p>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 xml:space="preserve"> ②及时补充厕纸等必要用品。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7"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（7）电梯轿厢：</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①保持干净，无污渍、无粘贴物、无异味，每日至少开展1次清洁作业。</w:t>
            </w:r>
          </w:p>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②灯具、操作指示板明亮。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（8）平台、屋顶、天沟保持干净，有杂物及时清扫，每月至少开展1次清洁作业。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（9）</w:t>
            </w:r>
            <w:r>
              <w:rPr>
                <w:rFonts w:hint="eastAsia" w:ascii="仿宋_GB2312" w:hAnsi="仿宋_GB2312" w:eastAsia="仿宋_GB2312" w:cs="仿宋_GB2312"/>
                <w:color w:val="auto"/>
                <w:sz w:val="32"/>
                <w:szCs w:val="32"/>
                <w:highlight w:val="none"/>
                <w:u w:val="none"/>
                <w:lang w:val="en-US" w:eastAsia="zh-CN"/>
              </w:rPr>
              <w:t>石材地面、内墙做好养护工作</w:t>
            </w:r>
            <w:r>
              <w:rPr>
                <w:rFonts w:hint="eastAsia" w:ascii="仿宋_GB2312" w:hAnsi="仿宋_GB2312" w:eastAsia="仿宋_GB2312" w:cs="仿宋_GB2312"/>
                <w:b w:val="0"/>
                <w:bCs w:val="0"/>
                <w:color w:val="auto"/>
                <w:kern w:val="0"/>
                <w:sz w:val="32"/>
                <w:szCs w:val="32"/>
                <w:highlight w:val="none"/>
                <w:lang w:val="en-US" w:eastAsia="zh-CN"/>
              </w:rPr>
              <w:t>，每3月开展1次清洁作业。（各类材质地面、内墙服务管理标准详见3.4.1）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公共场地区域保洁</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（1）每日清扫道路地面、停车场等公共区域2次，保持干净、无杂物、无积水。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（2）雪、冰冻等恶劣天气时及时清扫积水、积雪，并采取安全防护措施。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（3）各种路标、宣传栏等保持干净，每月至少开展1次清洁作业。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（4）清洁室外照明设备，每月至少开展1次清洁作业。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（5）绿地内无杂物、无改变用途和破坏、践踏、占用现象，每天至少开展1次巡查。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垃圾处理</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（1）在指定位置摆放分类垃圾桶，并在显著处张贴垃圾分类标识。分类垃圾桶和垃圾分类标识根据所在城市的要求设置。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（2）桶身表面干净无污渍，每日开展至少1次清洁作业。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（3）垃圾中转房保持整洁，无明显异味，每日至少开展1次清洁作业。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每个工作日内要对楼层产生的垃圾，进行清理分类，并运至垃圾集中堆放点。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（5）垃圾装袋，日产日清。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8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7"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卫生消毒</w:t>
            </w: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（1）办公用房区域、公共场所区域和周围环境预防性卫生消毒，</w:t>
            </w:r>
            <w:r>
              <w:rPr>
                <w:rFonts w:hint="eastAsia" w:ascii="仿宋_GB2312" w:hAnsi="仿宋_GB2312" w:eastAsia="仿宋_GB2312" w:cs="仿宋_GB2312"/>
                <w:color w:val="auto"/>
                <w:sz w:val="32"/>
                <w:szCs w:val="32"/>
                <w:highlight w:val="none"/>
                <w:u w:val="none"/>
                <w:lang w:val="en-US" w:eastAsia="zh-CN"/>
              </w:rPr>
              <w:t>消毒后及时通风，每周</w:t>
            </w:r>
            <w:r>
              <w:rPr>
                <w:rFonts w:hint="eastAsia" w:ascii="仿宋_GB2312" w:hAnsi="仿宋_GB2312" w:eastAsia="仿宋_GB2312" w:cs="仿宋_GB2312"/>
                <w:b w:val="0"/>
                <w:bCs w:val="0"/>
                <w:color w:val="auto"/>
                <w:kern w:val="0"/>
                <w:sz w:val="32"/>
                <w:szCs w:val="32"/>
                <w:highlight w:val="none"/>
                <w:lang w:val="en-US" w:eastAsia="zh-CN"/>
              </w:rPr>
              <w:t>至少开展</w:t>
            </w:r>
            <w:r>
              <w:rPr>
                <w:rFonts w:hint="eastAsia" w:ascii="仿宋_GB2312" w:hAnsi="仿宋_GB2312" w:eastAsia="仿宋_GB2312" w:cs="仿宋_GB2312"/>
                <w:color w:val="auto"/>
                <w:sz w:val="32"/>
                <w:szCs w:val="32"/>
                <w:highlight w:val="none"/>
                <w:u w:val="none"/>
                <w:lang w:val="en-US" w:eastAsia="zh-CN"/>
              </w:rPr>
              <w:t>1次作业。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（2）采取综合措施消灭老鼠、蟑螂，控制室内外蚊虫滋生，达到基本无蝇</w:t>
            </w:r>
            <w:r>
              <w:rPr>
                <w:rFonts w:hint="eastAsia" w:ascii="仿宋_GB2312" w:hAnsi="仿宋_GB2312" w:eastAsia="仿宋_GB2312" w:cs="仿宋_GB2312"/>
                <w:color w:val="auto"/>
                <w:sz w:val="32"/>
                <w:szCs w:val="32"/>
                <w:highlight w:val="none"/>
                <w:u w:val="none"/>
                <w:lang w:val="en-US" w:eastAsia="zh-CN"/>
              </w:rPr>
              <w:t>，每3月</w:t>
            </w:r>
            <w:r>
              <w:rPr>
                <w:rFonts w:hint="eastAsia" w:ascii="仿宋_GB2312" w:hAnsi="仿宋_GB2312" w:eastAsia="仿宋_GB2312" w:cs="仿宋_GB2312"/>
                <w:b w:val="0"/>
                <w:bCs w:val="0"/>
                <w:color w:val="auto"/>
                <w:kern w:val="0"/>
                <w:sz w:val="32"/>
                <w:szCs w:val="32"/>
                <w:highlight w:val="none"/>
                <w:lang w:val="en-US" w:eastAsia="zh-CN"/>
              </w:rPr>
              <w:t>至少开展</w:t>
            </w:r>
            <w:r>
              <w:rPr>
                <w:rFonts w:hint="eastAsia" w:ascii="仿宋_GB2312" w:hAnsi="仿宋_GB2312" w:eastAsia="仿宋_GB2312" w:cs="仿宋_GB2312"/>
                <w:color w:val="auto"/>
                <w:sz w:val="32"/>
                <w:szCs w:val="32"/>
                <w:highlight w:val="none"/>
                <w:u w:val="none"/>
                <w:lang w:val="en-US" w:eastAsia="zh-CN"/>
              </w:rPr>
              <w:t>1次作业。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78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7"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color w:val="auto"/>
                <w:sz w:val="32"/>
                <w:szCs w:val="32"/>
                <w:highlight w:val="none"/>
              </w:rPr>
            </w:pPr>
          </w:p>
        </w:tc>
        <w:tc>
          <w:tcPr>
            <w:tcW w:w="6443"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（3）发生公共卫生事件时，邀请专业单位开展消毒、检测等工作。</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3.4.1具体清洁要求</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
        <w:gridCol w:w="1937"/>
        <w:gridCol w:w="6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符号</w:t>
            </w:r>
          </w:p>
        </w:tc>
        <w:tc>
          <w:tcPr>
            <w:tcW w:w="1937"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材质</w:t>
            </w:r>
          </w:p>
        </w:tc>
        <w:tc>
          <w:tcPr>
            <w:tcW w:w="6433" w:type="dxa"/>
            <w:noWrap w:val="0"/>
            <w:vAlign w:val="center"/>
          </w:tcPr>
          <w:p>
            <w:pPr>
              <w:jc w:val="center"/>
              <w:rPr>
                <w:rFonts w:hint="eastAsia" w:ascii="仿宋_GB2312" w:hAnsi="仿宋_GB2312" w:eastAsia="仿宋_GB2312" w:cs="仿宋_GB2312"/>
                <w:b/>
                <w:bCs/>
                <w:sz w:val="32"/>
                <w:szCs w:val="32"/>
                <w:highlight w:val="none"/>
                <w:vertAlign w:val="baseline"/>
                <w:lang w:val="en-US" w:eastAsia="zh-CN"/>
              </w:rPr>
            </w:pPr>
            <w:r>
              <w:rPr>
                <w:rFonts w:hint="eastAsia" w:ascii="仿宋_GB2312" w:hAnsi="仿宋_GB2312" w:eastAsia="仿宋_GB2312" w:cs="仿宋_GB2312"/>
                <w:b/>
                <w:bCs/>
                <w:sz w:val="32"/>
                <w:szCs w:val="32"/>
                <w:highlight w:val="none"/>
                <w:vertAlign w:val="baseline"/>
                <w:lang w:val="en-US" w:eastAsia="zh-CN"/>
              </w:rPr>
              <w:t>清洗要求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vMerge w:val="restart"/>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1</w:t>
            </w:r>
          </w:p>
        </w:tc>
        <w:tc>
          <w:tcPr>
            <w:tcW w:w="1937" w:type="dxa"/>
            <w:vMerge w:val="restart"/>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瓷砖地面</w:t>
            </w:r>
          </w:p>
        </w:tc>
        <w:tc>
          <w:tcPr>
            <w:tcW w:w="6433" w:type="dxa"/>
            <w:noWrap w:val="0"/>
            <w:vAlign w:val="center"/>
          </w:tcPr>
          <w:p>
            <w:pPr>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sz w:val="32"/>
                <w:szCs w:val="32"/>
                <w:highlight w:val="none"/>
              </w:rPr>
              <w:t>日常清洁：</w:t>
            </w:r>
            <w:r>
              <w:rPr>
                <w:rFonts w:hint="eastAsia" w:ascii="仿宋_GB2312" w:hAnsi="仿宋_GB2312" w:eastAsia="仿宋_GB2312" w:cs="仿宋_GB2312"/>
                <w:sz w:val="32"/>
                <w:szCs w:val="32"/>
                <w:highlight w:val="none"/>
                <w:lang w:val="en-US" w:eastAsia="zh-CN"/>
              </w:rPr>
              <w:t>推尘，保持地面干净无杂物。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vMerge w:val="continue"/>
            <w:noWrap w:val="0"/>
            <w:vAlign w:val="center"/>
          </w:tcPr>
          <w:p>
            <w:pPr>
              <w:jc w:val="center"/>
              <w:rPr>
                <w:rFonts w:hint="eastAsia" w:ascii="仿宋_GB2312" w:hAnsi="仿宋_GB2312" w:eastAsia="仿宋_GB2312" w:cs="仿宋_GB2312"/>
                <w:sz w:val="32"/>
                <w:szCs w:val="32"/>
                <w:highlight w:val="none"/>
                <w:vertAlign w:val="baseline"/>
                <w:lang w:val="en-US" w:eastAsia="zh-CN"/>
              </w:rPr>
            </w:pPr>
          </w:p>
        </w:tc>
        <w:tc>
          <w:tcPr>
            <w:tcW w:w="1937" w:type="dxa"/>
            <w:vMerge w:val="continue"/>
            <w:noWrap w:val="0"/>
            <w:vAlign w:val="center"/>
          </w:tcPr>
          <w:p>
            <w:pPr>
              <w:jc w:val="both"/>
              <w:rPr>
                <w:rFonts w:hint="eastAsia" w:ascii="仿宋_GB2312" w:hAnsi="仿宋_GB2312" w:eastAsia="仿宋_GB2312" w:cs="仿宋_GB2312"/>
                <w:sz w:val="32"/>
                <w:szCs w:val="32"/>
                <w:highlight w:val="none"/>
                <w:vertAlign w:val="baseline"/>
                <w:lang w:val="en-US" w:eastAsia="zh-CN"/>
              </w:rPr>
            </w:pPr>
          </w:p>
        </w:tc>
        <w:tc>
          <w:tcPr>
            <w:tcW w:w="6433" w:type="dxa"/>
            <w:noWrap w:val="0"/>
            <w:vAlign w:val="center"/>
          </w:tcPr>
          <w:p>
            <w:pPr>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w:t>
            </w:r>
            <w:r>
              <w:rPr>
                <w:rFonts w:hint="eastAsia" w:ascii="仿宋_GB2312" w:hAnsi="仿宋_GB2312" w:eastAsia="仿宋_GB2312" w:cs="仿宋_GB2312"/>
                <w:sz w:val="32"/>
                <w:szCs w:val="32"/>
                <w:highlight w:val="none"/>
                <w:lang w:val="en-US" w:eastAsia="zh-CN"/>
              </w:rPr>
              <w:t>深度清洁：使用洗洁精或肥皂水清理。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2</w:t>
            </w:r>
          </w:p>
        </w:tc>
        <w:tc>
          <w:tcPr>
            <w:tcW w:w="1937"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乳胶漆内墙</w:t>
            </w:r>
          </w:p>
        </w:tc>
        <w:tc>
          <w:tcPr>
            <w:tcW w:w="6433" w:type="dxa"/>
            <w:noWrap w:val="0"/>
            <w:vAlign w:val="center"/>
          </w:tcPr>
          <w:p>
            <w:pPr>
              <w:jc w:val="both"/>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有污渍时用半干布擦拭。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06" w:type="dxa"/>
            <w:noWrap w:val="0"/>
            <w:vAlign w:val="center"/>
          </w:tcPr>
          <w:p>
            <w:pPr>
              <w:jc w:val="center"/>
              <w:rPr>
                <w:rFonts w:hint="eastAsia" w:ascii="仿宋_GB2312" w:hAnsi="仿宋_GB2312" w:eastAsia="仿宋_GB2312" w:cs="仿宋_GB2312"/>
                <w:sz w:val="32"/>
                <w:szCs w:val="32"/>
                <w:highlight w:val="none"/>
                <w:vertAlign w:val="baseline"/>
                <w:lang w:val="en-US" w:eastAsia="zh-CN"/>
              </w:rPr>
            </w:pPr>
            <w:r>
              <w:rPr>
                <w:rFonts w:hint="eastAsia" w:ascii="仿宋_GB2312" w:hAnsi="仿宋_GB2312" w:eastAsia="仿宋_GB2312" w:cs="仿宋_GB2312"/>
                <w:sz w:val="32"/>
                <w:szCs w:val="32"/>
                <w:highlight w:val="none"/>
                <w:vertAlign w:val="baseline"/>
                <w:lang w:val="en-US" w:eastAsia="zh-CN"/>
              </w:rPr>
              <w:t>3</w:t>
            </w:r>
          </w:p>
        </w:tc>
        <w:tc>
          <w:tcPr>
            <w:tcW w:w="1937" w:type="dxa"/>
            <w:noWrap w:val="0"/>
            <w:vAlign w:val="center"/>
          </w:tcPr>
          <w:p>
            <w:pPr>
              <w:jc w:val="both"/>
              <w:rPr>
                <w:rFonts w:hint="eastAsia" w:ascii="仿宋_GB2312" w:hAnsi="仿宋_GB2312" w:eastAsia="仿宋_GB2312" w:cs="仿宋_GB2312"/>
                <w:kern w:val="2"/>
                <w:sz w:val="32"/>
                <w:szCs w:val="32"/>
                <w:highlight w:val="none"/>
                <w:vertAlign w:val="baseline"/>
                <w:lang w:val="en-US" w:eastAsia="zh-CN" w:bidi="ar-SA"/>
              </w:rPr>
            </w:pPr>
            <w:r>
              <w:rPr>
                <w:rFonts w:hint="eastAsia" w:ascii="仿宋_GB2312" w:hAnsi="仿宋_GB2312" w:eastAsia="仿宋_GB2312" w:cs="仿宋_GB2312"/>
                <w:sz w:val="32"/>
                <w:szCs w:val="32"/>
                <w:highlight w:val="none"/>
                <w:vertAlign w:val="baseline"/>
                <w:lang w:val="en-US" w:eastAsia="zh-CN"/>
              </w:rPr>
              <w:t>涂料外墙</w:t>
            </w:r>
          </w:p>
        </w:tc>
        <w:tc>
          <w:tcPr>
            <w:tcW w:w="6433" w:type="dxa"/>
            <w:noWrap w:val="0"/>
            <w:vAlign w:val="center"/>
          </w:tcPr>
          <w:p>
            <w:pPr>
              <w:jc w:val="both"/>
              <w:rPr>
                <w:rFonts w:hint="eastAsia" w:ascii="仿宋_GB2312" w:hAnsi="仿宋_GB2312" w:eastAsia="仿宋_GB2312" w:cs="仿宋_GB2312"/>
                <w:kern w:val="2"/>
                <w:sz w:val="32"/>
                <w:szCs w:val="32"/>
                <w:highlight w:val="none"/>
                <w:vertAlign w:val="baseline"/>
                <w:lang w:val="en-US" w:eastAsia="zh-CN" w:bidi="ar-SA"/>
              </w:rPr>
            </w:pPr>
            <w:r>
              <w:rPr>
                <w:rFonts w:hint="eastAsia" w:ascii="仿宋_GB2312" w:hAnsi="仿宋_GB2312" w:eastAsia="仿宋_GB2312" w:cs="仿宋_GB2312"/>
                <w:sz w:val="32"/>
                <w:szCs w:val="32"/>
                <w:highlight w:val="none"/>
                <w:vertAlign w:val="baseline"/>
                <w:lang w:val="en-US" w:eastAsia="zh-CN"/>
              </w:rPr>
              <w:t>定期专业清洗。</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3.5绿化服务</w:t>
      </w:r>
    </w:p>
    <w:tbl>
      <w:tblPr>
        <w:tblStyle w:val="24"/>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2149"/>
        <w:gridCol w:w="6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5"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41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5"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基本要求</w:t>
            </w: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（1）制定绿化服务的工作制度及工作计划，并按照执行。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（2）做好绿化服务工作记录，填写规范。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（3）作业时采取安全防护措施，防止对作业人员或他人造成伤害。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（4）相关耗材的环保、安全性应符合规定要求。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5"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室外绿化养护</w:t>
            </w: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r>
              <w:rPr>
                <w:rFonts w:hint="eastAsia" w:ascii="仿宋_GB2312" w:hAnsi="仿宋_GB2312" w:eastAsia="仿宋_GB2312" w:cs="仿宋_GB2312"/>
                <w:color w:val="auto"/>
                <w:sz w:val="32"/>
                <w:szCs w:val="32"/>
                <w:highlight w:val="none"/>
                <w:u w:val="none"/>
                <w:lang w:val="en-US" w:eastAsia="zh-CN"/>
              </w:rPr>
              <w:t>根据生长环境、植物特性进行除草、灌溉、施肥、整形修剪、防治病虫害等。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（2）根据生长情况修剪绿地，绿地内无枯草、无杂物，</w:t>
            </w:r>
            <w:r>
              <w:rPr>
                <w:rFonts w:hint="eastAsia" w:ascii="仿宋_GB2312" w:hAnsi="仿宋_GB2312" w:eastAsia="仿宋_GB2312" w:cs="仿宋_GB2312"/>
                <w:color w:val="auto"/>
                <w:sz w:val="32"/>
                <w:szCs w:val="32"/>
                <w:highlight w:val="none"/>
                <w:u w:val="none"/>
                <w:lang w:val="en-US" w:eastAsia="zh-CN"/>
              </w:rPr>
              <w:t>无干</w:t>
            </w:r>
            <w:bookmarkStart w:id="10" w:name="OLE_LINK1"/>
            <w:r>
              <w:rPr>
                <w:rFonts w:hint="eastAsia" w:ascii="仿宋_GB2312" w:hAnsi="仿宋_GB2312" w:eastAsia="仿宋_GB2312" w:cs="仿宋_GB2312"/>
                <w:color w:val="auto"/>
                <w:sz w:val="32"/>
                <w:szCs w:val="32"/>
                <w:highlight w:val="none"/>
                <w:u w:val="none"/>
                <w:lang w:val="en-US" w:eastAsia="zh-CN"/>
              </w:rPr>
              <w:t>枯</w:t>
            </w:r>
            <w:bookmarkEnd w:id="10"/>
            <w:r>
              <w:rPr>
                <w:rFonts w:hint="eastAsia" w:ascii="仿宋_GB2312" w:hAnsi="仿宋_GB2312" w:eastAsia="仿宋_GB2312" w:cs="仿宋_GB2312"/>
                <w:color w:val="auto"/>
                <w:sz w:val="32"/>
                <w:szCs w:val="32"/>
                <w:highlight w:val="none"/>
                <w:u w:val="none"/>
                <w:lang w:val="en-US" w:eastAsia="zh-CN"/>
              </w:rPr>
              <w:t>坏死和病虫侵害，基本无裸露土地。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（3）定期修剪树木、花卉等，</w:t>
            </w:r>
            <w:r>
              <w:rPr>
                <w:rFonts w:hint="eastAsia" w:ascii="仿宋_GB2312" w:hAnsi="仿宋_GB2312" w:eastAsia="仿宋_GB2312" w:cs="仿宋_GB2312"/>
                <w:color w:val="auto"/>
                <w:sz w:val="32"/>
                <w:szCs w:val="32"/>
                <w:highlight w:val="none"/>
                <w:u w:val="none"/>
                <w:lang w:val="en-US" w:eastAsia="zh-CN"/>
              </w:rPr>
              <w:t>灌乔木生长正常、造型美观自然、花枝新鲜，无枯叶、无病虫、无死树缺株。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w:t>
            </w:r>
            <w:r>
              <w:rPr>
                <w:rFonts w:hint="eastAsia" w:ascii="仿宋_GB2312" w:hAnsi="仿宋_GB2312" w:eastAsia="仿宋_GB2312" w:cs="仿宋_GB2312"/>
                <w:color w:val="auto"/>
                <w:sz w:val="32"/>
                <w:szCs w:val="32"/>
                <w:highlight w:val="none"/>
                <w:u w:val="none"/>
                <w:lang w:val="en-US" w:eastAsia="zh-CN"/>
              </w:rPr>
              <w:t>绿篱生长造型正常，颜色正常，修剪及时，基本无死株和枯株，有虫株率在10%以下。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w:t>
            </w:r>
            <w:r>
              <w:rPr>
                <w:rFonts w:hint="eastAsia" w:ascii="仿宋_GB2312" w:hAnsi="仿宋_GB2312" w:eastAsia="仿宋_GB2312" w:cs="仿宋_GB2312"/>
                <w:color w:val="auto"/>
                <w:sz w:val="32"/>
                <w:szCs w:val="32"/>
                <w:highlight w:val="none"/>
                <w:u w:val="none"/>
                <w:lang w:val="en-US" w:eastAsia="zh-CN"/>
              </w:rPr>
              <w:t>清除花坛和花景的花蒂、黄叶、杂草、垃圾，做好病虫害防治。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（6）根据病虫害发生规律实施综合治理，通常在病虫率高时，以药剂杀死病虫，以确保植物良好生长。产生垃圾的主要区域和路段做到日产日清。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（7）雨雪、冰冻等恶劣天气来临前，专人巡查，对绿植做好预防措施，排除安全隐患。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01"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5"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kern w:val="2"/>
                <w:sz w:val="32"/>
                <w:szCs w:val="32"/>
                <w:highlight w:val="none"/>
                <w:lang w:val="en-US" w:eastAsia="zh-CN" w:bidi="ar-SA"/>
              </w:rPr>
            </w:pPr>
          </w:p>
        </w:tc>
        <w:tc>
          <w:tcPr>
            <w:tcW w:w="6414"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（8）恶劣天气后，及时清除倒树断枝，疏通道路，尽快恢复原状。</w:t>
            </w:r>
          </w:p>
        </w:tc>
      </w:tr>
    </w:tbl>
    <w:p>
      <w:pPr>
        <w:pStyle w:val="4"/>
        <w:numPr>
          <w:ilvl w:val="2"/>
          <w:numId w:val="0"/>
        </w:numPr>
        <w:ind w:leftChars="0" w:firstLine="640" w:firstLineChars="200"/>
        <w:rPr>
          <w:rFonts w:hint="eastAsia" w:ascii="仿宋_GB2312" w:hAnsi="仿宋_GB2312" w:eastAsia="仿宋_GB2312" w:cs="仿宋_GB2312"/>
          <w:b/>
          <w:bCs w:val="0"/>
          <w:i w:val="0"/>
          <w:iCs w:val="0"/>
          <w:sz w:val="32"/>
          <w:szCs w:val="32"/>
          <w:highlight w:val="none"/>
          <w:u w:val="none"/>
          <w:lang w:val="en-US" w:eastAsia="zh-CN"/>
        </w:rPr>
      </w:pPr>
      <w:bookmarkStart w:id="11" w:name="_3.6保安服务"/>
      <w:r>
        <w:rPr>
          <w:rFonts w:hint="eastAsia" w:ascii="仿宋_GB2312" w:hAnsi="仿宋_GB2312" w:eastAsia="仿宋_GB2312" w:cs="仿宋_GB2312"/>
          <w:b w:val="0"/>
          <w:bCs/>
          <w:i w:val="0"/>
          <w:iCs w:val="0"/>
          <w:sz w:val="32"/>
          <w:szCs w:val="32"/>
          <w:highlight w:val="none"/>
          <w:u w:val="none"/>
          <w:lang w:val="en-US" w:eastAsia="zh-CN"/>
        </w:rPr>
        <w:t>3.6</w:t>
      </w:r>
      <w:r>
        <w:rPr>
          <w:rFonts w:hint="eastAsia" w:ascii="仿宋_GB2312" w:hAnsi="仿宋_GB2312" w:eastAsia="仿宋_GB2312" w:cs="仿宋_GB2312"/>
          <w:color w:val="auto"/>
          <w:kern w:val="2"/>
          <w:sz w:val="32"/>
          <w:szCs w:val="32"/>
          <w:highlight w:val="none"/>
          <w:u w:val="none"/>
          <w:lang w:val="en-US" w:eastAsia="zh-CN" w:bidi="ar-SA"/>
        </w:rPr>
        <w:t>保安服务</w:t>
      </w:r>
    </w:p>
    <w:bookmarkEnd w:id="11"/>
    <w:tbl>
      <w:tblPr>
        <w:tblStyle w:val="24"/>
        <w:tblW w:w="497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2148"/>
        <w:gridCol w:w="6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217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w:t>
            </w:r>
          </w:p>
        </w:tc>
        <w:tc>
          <w:tcPr>
            <w:tcW w:w="637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基本要求</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（1）建立保安服务相关制度，并按照执行。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（2）对巡查、值守及异常情况等做好相关记录，填写规范，保存完好。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（3）配备保安服务必要的器材。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出入管理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（1）主出入口应实行 24小时值班制。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（2）设置门岗。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（3）在出入口对外来人员及其携带大件物品、外来车辆进行询问和记录，并与相关部门取得联系，同意后方可进入。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（4）大件物品搬出有相关部门开具的证明和清单，经核实后放行。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（5）排查可疑人员，对于不出示证件、不按规定登记、不听劝阻而强行闯入者，及时劝离，必要时通知公安机关进行处理。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根据物业服务合同约定，对物品进出实行安检、登记、电话确认等分类管理措施。大宗物品进出会同接收单位收件人审检，严防违禁品（包括毒品、军火弹药、管制刀具、易燃易爆品等）、限带品（包括动物、任何未经授权的专业摄影设备、无人机等）进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（7）提供现场接待服务。</w:t>
            </w:r>
          </w:p>
          <w:p>
            <w:pPr>
              <w:keepNext w:val="0"/>
              <w:keepLines w:val="0"/>
              <w:pageBreakBefore w:val="0"/>
              <w:widowControl/>
              <w:kinsoku/>
              <w:wordWrap/>
              <w:overflowPunct/>
              <w:topLinePunct w:val="0"/>
              <w:autoSpaceDE/>
              <w:autoSpaceDN/>
              <w:bidi w:val="0"/>
              <w:adjustRightInd/>
              <w:snapToGrid w:val="0"/>
              <w:spacing w:line="300" w:lineRule="auto"/>
              <w:ind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lang w:val="en-US" w:eastAsia="zh-CN"/>
              </w:rPr>
              <w:t>①</w:t>
            </w:r>
            <w:r>
              <w:rPr>
                <w:rFonts w:hint="eastAsia" w:ascii="仿宋_GB2312" w:hAnsi="仿宋_GB2312" w:eastAsia="仿宋_GB2312" w:cs="仿宋_GB2312"/>
                <w:color w:val="auto"/>
                <w:sz w:val="32"/>
                <w:szCs w:val="32"/>
                <w:highlight w:val="none"/>
                <w:u w:val="none"/>
                <w:lang w:eastAsia="zh-CN"/>
              </w:rPr>
              <w:t>做好来访人员、车辆进出证件登记，及时通报。</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lang w:val="en-US" w:eastAsia="zh-CN"/>
              </w:rPr>
              <w:t>②</w:t>
            </w:r>
            <w:r>
              <w:rPr>
                <w:rFonts w:hint="eastAsia" w:ascii="仿宋_GB2312" w:hAnsi="仿宋_GB2312" w:eastAsia="仿宋_GB2312" w:cs="仿宋_GB2312"/>
                <w:color w:val="auto"/>
                <w:sz w:val="32"/>
                <w:szCs w:val="32"/>
                <w:highlight w:val="none"/>
                <w:u w:val="none"/>
                <w:lang w:eastAsia="zh-CN"/>
              </w:rPr>
              <w:t>严禁无关人员、可疑人员和危险物品进入办公楼（区）内。</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③物品摆放整齐有序、分类放置。</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④现场办理等待时间不超过5分钟，等待较长时间应及时沟通。</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⑤对来访人员咨询、建议、求助等事项，及时处理或答复，处理和答复率100%。</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lang w:eastAsia="zh-CN"/>
              </w:rPr>
            </w:pPr>
            <w:r>
              <w:rPr>
                <w:rFonts w:hint="eastAsia" w:ascii="仿宋_GB2312" w:hAnsi="仿宋_GB2312" w:eastAsia="仿宋_GB2312" w:cs="仿宋_GB2312"/>
                <w:color w:val="auto"/>
                <w:sz w:val="32"/>
                <w:szCs w:val="32"/>
                <w:highlight w:val="none"/>
                <w:u w:val="none"/>
              </w:rPr>
              <w:t>⑥接待服务工作时间应覆盖采购人工作时间</w:t>
            </w:r>
            <w:r>
              <w:rPr>
                <w:rFonts w:hint="eastAsia" w:ascii="仿宋_GB2312" w:hAnsi="仿宋_GB2312" w:eastAsia="仿宋_GB2312" w:cs="仿宋_GB2312"/>
                <w:color w:val="auto"/>
                <w:sz w:val="32"/>
                <w:szCs w:val="32"/>
                <w:highlight w:val="none"/>
                <w:u w:val="none"/>
                <w:lang w:eastAsia="zh-CN"/>
              </w:rPr>
              <w:t>。</w:t>
            </w:r>
          </w:p>
          <w:p>
            <w:pPr>
              <w:keepNext w:val="0"/>
              <w:keepLines w:val="0"/>
              <w:pageBreakBefore w:val="0"/>
              <w:widowControl/>
              <w:kinsoku/>
              <w:wordWrap/>
              <w:overflowPunct/>
              <w:topLinePunct w:val="0"/>
              <w:autoSpaceDE/>
              <w:autoSpaceDN/>
              <w:bidi w:val="0"/>
              <w:adjustRightInd/>
              <w:snapToGrid w:val="0"/>
              <w:spacing w:line="300" w:lineRule="auto"/>
              <w:ind w:left="0" w:firstLine="320" w:firstLineChars="100"/>
              <w:jc w:val="left"/>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⑦与被访人进行核实确认；告知被访人的办公室门牌号。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值班</w:t>
            </w:r>
            <w:r>
              <w:rPr>
                <w:rFonts w:hint="eastAsia" w:ascii="仿宋_GB2312" w:hAnsi="仿宋_GB2312" w:eastAsia="仿宋_GB2312" w:cs="仿宋_GB2312"/>
                <w:sz w:val="32"/>
                <w:szCs w:val="32"/>
                <w:highlight w:val="none"/>
              </w:rPr>
              <w:t>巡查</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（1）建立24小时值班巡查制度。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（2）制定巡查路线，按照指定时间和路线执行，加强重点区域、重点部位及装修区域的巡查。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（3）巡查期间保持通信设施设备畅通，遇到异常情况立即上报并在现场采取相应措施。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（4）收到监控室指令后，巡查人员及时到达指定地点并迅速采取相应措施。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监控</w:t>
            </w:r>
            <w:r>
              <w:rPr>
                <w:rFonts w:hint="eastAsia" w:ascii="仿宋_GB2312" w:hAnsi="仿宋_GB2312" w:eastAsia="仿宋_GB2312" w:cs="仿宋_GB2312"/>
                <w:sz w:val="32"/>
                <w:szCs w:val="32"/>
                <w:highlight w:val="none"/>
                <w:lang w:val="en-US" w:eastAsia="zh-CN"/>
              </w:rPr>
              <w:t>值守</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（1）监控室环境符合系统设备运行要求，定期进行检查和检测，确保系统功能正常。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（2）监控设备24小时正常运行，监控室实行专人24小时值班制度。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（3）监控记录画面清晰，视频监控无死角、无盲区。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（4）值班期间遵守操作规程和保密制度，做好监控记录的保存工作。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（5）监控记录保持完整，保存时间不应少于90天。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（6）无关人员进入监控室或查阅监控记录，经授权人批准并做好相关记录。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（7）监控室收到火情等报警信号、其他异常情况信号后，及时报警并安排其他安保人员前往现场进行处理。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车辆停放</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（1）车辆行驶路线设置合理、规范，导向标志完整、清晰。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（2）合理规划车辆停放区域，张贴车辆引导标识，对车辆及停放区域实行规范管理。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（3）严禁在办公楼的公用走道、楼梯间、安全出口处等公共区域停放车辆或充电。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（4）非机动车定点有序停放。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（5）发现车辆异常情况及时通知车主，并做好登记；发生交通事故、自然灾害等意外事故时及时赶赴现场疏导和协助处理，响应时间不超过3分钟。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消防安全管理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（1）建立消防安全责任制，确定各级消防安全责任人及其职责。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（2）消防控制室实行24小时值班制度，每班不少于2人。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（3）消火栓、应急照明、应急物资、消防及人员逃生通道、消防车通道可随时正常使用。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（4）易燃易爆品设专区专人管理，做好相关记录。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（5）定期组织消防安全宣传，每半年至少开展1次消防演练。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突发事件处理</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（1）制定突发事件安全责任书，明确突发事件责任人及应承担的安全责任。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（2）建立应急突发事件处置队伍，明确各自的职责。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（3）识别、分析各种潜在风险，针对不同风险类型制定相应解决方案，并配备应急物资。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（4）每半年至少开展1次突发事件应急演练，并有相应记录。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（5）发生意外事件时，及时采取应急措施，维护办公区域物业服务正常进行，保护人身财产安全。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（6）办公区域物业服务应急预案终止实施后，积极采取措施，在尽可能短的时间内，消除事故带来的不良影响，妥善安置和慰问受害及受影响的人员和部门。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（7）事故处理后，及时形成事故应急总结报告，完善应急救援工作方案。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jc w:val="center"/>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w:t>
            </w:r>
          </w:p>
        </w:tc>
        <w:tc>
          <w:tcPr>
            <w:tcW w:w="2174" w:type="dxa"/>
            <w:vMerge w:val="restart"/>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大型活动秩序</w:t>
            </w: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（1）制定相应的活动秩序维护方案，合理安排人员，并对场所的安全隐患进行排查。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（2）应保障通道、出入口、停车场等区域畅通。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0"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lang w:val="en-US" w:eastAsia="zh-CN"/>
              </w:rPr>
            </w:pPr>
          </w:p>
        </w:tc>
        <w:tc>
          <w:tcPr>
            <w:tcW w:w="2174" w:type="dxa"/>
            <w:vMerge w:val="continue"/>
            <w:noWrap w:val="0"/>
            <w:vAlign w:val="center"/>
          </w:tcPr>
          <w:p>
            <w:pPr>
              <w:keepNext w:val="0"/>
              <w:keepLines w:val="0"/>
              <w:pageBreakBefore w:val="0"/>
              <w:widowControl/>
              <w:numPr>
                <w:ilvl w:val="0"/>
                <w:numId w:val="0"/>
              </w:numPr>
              <w:kinsoku/>
              <w:wordWrap/>
              <w:overflowPunct/>
              <w:topLinePunct w:val="0"/>
              <w:autoSpaceDE/>
              <w:autoSpaceDN/>
              <w:bidi w:val="0"/>
              <w:adjustRightInd/>
              <w:snapToGrid w:val="0"/>
              <w:spacing w:line="300" w:lineRule="auto"/>
              <w:ind w:left="0" w:leftChars="0" w:firstLine="0" w:firstLineChars="0"/>
              <w:textAlignment w:val="auto"/>
              <w:rPr>
                <w:rFonts w:hint="eastAsia" w:ascii="仿宋_GB2312" w:hAnsi="仿宋_GB2312" w:eastAsia="仿宋_GB2312" w:cs="仿宋_GB2312"/>
                <w:sz w:val="32"/>
                <w:szCs w:val="32"/>
                <w:highlight w:val="none"/>
              </w:rPr>
            </w:pPr>
          </w:p>
        </w:tc>
        <w:tc>
          <w:tcPr>
            <w:tcW w:w="6378" w:type="dxa"/>
            <w:noWrap w:val="0"/>
            <w:vAlign w:val="center"/>
          </w:tcPr>
          <w:p>
            <w:pPr>
              <w:keepNext w:val="0"/>
              <w:keepLines w:val="0"/>
              <w:pageBreakBefore w:val="0"/>
              <w:widowControl/>
              <w:kinsoku/>
              <w:wordWrap/>
              <w:overflowPunct/>
              <w:topLinePunct w:val="0"/>
              <w:autoSpaceDE/>
              <w:autoSpaceDN/>
              <w:bidi w:val="0"/>
              <w:adjustRightInd/>
              <w:snapToGrid w:val="0"/>
              <w:spacing w:line="300" w:lineRule="auto"/>
              <w:jc w:val="left"/>
              <w:textAlignment w:val="auto"/>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（3）活动举办过程中，做好现场秩序的维护和突发事故的处置工作，确保活动正常进行。</w:t>
            </w:r>
          </w:p>
        </w:tc>
      </w:tr>
    </w:tbl>
    <w:p>
      <w:pPr>
        <w:pStyle w:val="4"/>
        <w:numPr>
          <w:ilvl w:val="2"/>
          <w:numId w:val="0"/>
        </w:numPr>
        <w:bidi w:val="0"/>
        <w:ind w:leftChars="0" w:firstLine="640" w:firstLineChars="200"/>
        <w:rPr>
          <w:rFonts w:hint="eastAsia" w:ascii="仿宋_GB2312" w:hAnsi="仿宋_GB2312" w:eastAsia="仿宋_GB2312" w:cs="仿宋_GB2312"/>
          <w:sz w:val="32"/>
          <w:szCs w:val="32"/>
          <w:highlight w:val="none"/>
          <w:lang w:val="en-US" w:eastAsia="zh-CN"/>
        </w:rPr>
      </w:pPr>
      <w:bookmarkStart w:id="12" w:name="_3.7会议服务"/>
      <w:r>
        <w:rPr>
          <w:rFonts w:hint="eastAsia" w:ascii="仿宋_GB2312" w:hAnsi="仿宋_GB2312" w:eastAsia="仿宋_GB2312" w:cs="仿宋_GB2312"/>
          <w:sz w:val="32"/>
          <w:szCs w:val="32"/>
          <w:highlight w:val="none"/>
          <w:lang w:val="en-US" w:eastAsia="zh-CN"/>
        </w:rPr>
        <w:t>3.7会议服务</w:t>
      </w:r>
    </w:p>
    <w:bookmarkEnd w:id="12"/>
    <w:tbl>
      <w:tblPr>
        <w:tblStyle w:val="24"/>
        <w:tblW w:w="49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136"/>
        <w:gridCol w:w="62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序号</w:t>
            </w:r>
          </w:p>
        </w:tc>
        <w:tc>
          <w:tcPr>
            <w:tcW w:w="334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服务内容构成</w:t>
            </w:r>
          </w:p>
        </w:tc>
        <w:tc>
          <w:tcPr>
            <w:tcW w:w="986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服务标准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1</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会议受理</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接受会议预订，记录会议需求。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2</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会前准备</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根据会议需求、场地大小、用途，明确会议桌椅、桌牌、物品、设备、文具等摆放规定。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3</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引导服务</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做好引导牌并放置在指定位置，引导人员引导手势规范，语言标准。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4</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会中服务</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会议开始后按要求加水。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81"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jc w:val="center"/>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5</w:t>
            </w:r>
          </w:p>
        </w:tc>
        <w:tc>
          <w:tcPr>
            <w:tcW w:w="3348" w:type="dxa"/>
            <w:noWrap w:val="0"/>
            <w:vAlign w:val="center"/>
          </w:tcPr>
          <w:p>
            <w:pPr>
              <w:pageBreakBefore w:val="0"/>
              <w:widowControl/>
              <w:numPr>
                <w:ilvl w:val="0"/>
                <w:numId w:val="0"/>
              </w:numPr>
              <w:kinsoku/>
              <w:wordWrap/>
              <w:overflowPunct/>
              <w:topLinePunct w:val="0"/>
              <w:bidi w:val="0"/>
              <w:snapToGrid w:val="0"/>
              <w:spacing w:line="300" w:lineRule="auto"/>
              <w:ind w:left="0" w:leftChars="0" w:firstLine="0" w:firstLine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会后整理</w:t>
            </w:r>
          </w:p>
        </w:tc>
        <w:tc>
          <w:tcPr>
            <w:tcW w:w="9867" w:type="dxa"/>
            <w:noWrap w:val="0"/>
            <w:vAlign w:val="center"/>
          </w:tcPr>
          <w:p>
            <w:pPr>
              <w:pageBreakBefore w:val="0"/>
              <w:widowControl/>
              <w:numPr>
                <w:ilvl w:val="0"/>
                <w:numId w:val="0"/>
              </w:numPr>
              <w:kinsoku/>
              <w:wordWrap/>
              <w:overflowPunct/>
              <w:topLinePunct w:val="0"/>
              <w:bidi w:val="0"/>
              <w:snapToGrid w:val="0"/>
              <w:spacing w:line="300" w:lineRule="auto"/>
              <w:ind w:leftChars="0"/>
              <w:rPr>
                <w:rFonts w:hint="eastAsia" w:ascii="仿宋_GB2312" w:hAnsi="仿宋_GB2312" w:eastAsia="仿宋_GB2312" w:cs="仿宋_GB2312"/>
                <w:color w:val="auto"/>
                <w:kern w:val="2"/>
                <w:sz w:val="32"/>
                <w:szCs w:val="32"/>
                <w:highlight w:val="none"/>
                <w:u w:val="none"/>
                <w:lang w:val="en-US" w:eastAsia="zh-CN" w:bidi="ar-SA"/>
              </w:rPr>
            </w:pPr>
            <w:r>
              <w:rPr>
                <w:rFonts w:hint="eastAsia" w:ascii="仿宋_GB2312" w:hAnsi="仿宋_GB2312" w:eastAsia="仿宋_GB2312" w:cs="仿宋_GB2312"/>
                <w:color w:val="auto"/>
                <w:sz w:val="32"/>
                <w:szCs w:val="32"/>
                <w:highlight w:val="none"/>
                <w:u w:val="none"/>
                <w:lang w:val="en-US" w:eastAsia="zh-CN"/>
              </w:rPr>
              <w:t>对会议现场进行检查，做好会场清扫工作。</w:t>
            </w:r>
          </w:p>
        </w:tc>
      </w:tr>
    </w:tbl>
    <w:p>
      <w:pPr>
        <w:pStyle w:val="2"/>
        <w:rPr>
          <w:rFonts w:hint="eastAsia" w:ascii="仿宋_GB2312" w:hAnsi="仿宋_GB2312" w:eastAsia="仿宋_GB2312" w:cs="仿宋_GB2312"/>
          <w:color w:val="auto"/>
          <w:sz w:val="32"/>
          <w:szCs w:val="32"/>
          <w:highlight w:val="none"/>
          <w:u w:val="none"/>
          <w:lang w:val="en-US" w:eastAsia="zh-CN"/>
        </w:rPr>
      </w:pPr>
      <w:bookmarkStart w:id="13" w:name="_Toc26417"/>
      <w:bookmarkStart w:id="14" w:name="_Toc12052"/>
      <w:bookmarkStart w:id="15" w:name="_Toc27983"/>
    </w:p>
    <w:p>
      <w:pPr>
        <w:pStyle w:val="2"/>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4.供应商履行合同所需的设备</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2966"/>
        <w:gridCol w:w="3718"/>
        <w:gridCol w:w="953"/>
        <w:gridCol w:w="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rPr>
              <w:t>序号</w:t>
            </w:r>
          </w:p>
        </w:tc>
        <w:tc>
          <w:tcPr>
            <w:tcW w:w="3002"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rPr>
            </w:pPr>
            <w:r>
              <w:rPr>
                <w:rFonts w:hint="eastAsia" w:ascii="仿宋_GB2312" w:hAnsi="仿宋_GB2312" w:eastAsia="仿宋_GB2312" w:cs="仿宋_GB2312"/>
                <w:b/>
                <w:bCs/>
                <w:color w:val="auto"/>
                <w:kern w:val="0"/>
                <w:sz w:val="32"/>
                <w:szCs w:val="32"/>
                <w:highlight w:val="none"/>
                <w:lang w:val="en-US" w:eastAsia="zh-CN"/>
              </w:rPr>
              <w:t>用途</w:t>
            </w:r>
          </w:p>
        </w:tc>
        <w:tc>
          <w:tcPr>
            <w:tcW w:w="376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eastAsia="zh-CN"/>
              </w:rPr>
            </w:pPr>
            <w:r>
              <w:rPr>
                <w:rFonts w:hint="eastAsia" w:ascii="仿宋_GB2312" w:hAnsi="仿宋_GB2312" w:eastAsia="仿宋_GB2312" w:cs="仿宋_GB2312"/>
                <w:b/>
                <w:bCs/>
                <w:color w:val="auto"/>
                <w:kern w:val="0"/>
                <w:sz w:val="32"/>
                <w:szCs w:val="32"/>
                <w:highlight w:val="none"/>
                <w:lang w:val="en-US" w:eastAsia="zh-CN"/>
              </w:rPr>
              <w:t>作业设备</w:t>
            </w:r>
            <w:r>
              <w:rPr>
                <w:rFonts w:hint="eastAsia" w:ascii="仿宋_GB2312" w:hAnsi="仿宋_GB2312" w:eastAsia="仿宋_GB2312" w:cs="仿宋_GB2312"/>
                <w:b/>
                <w:bCs/>
                <w:color w:val="auto"/>
                <w:kern w:val="0"/>
                <w:sz w:val="32"/>
                <w:szCs w:val="32"/>
                <w:highlight w:val="none"/>
              </w:rPr>
              <w:t>名称</w:t>
            </w:r>
          </w:p>
        </w:tc>
        <w:tc>
          <w:tcPr>
            <w:tcW w:w="965"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数量</w:t>
            </w:r>
          </w:p>
        </w:tc>
        <w:tc>
          <w:tcPr>
            <w:tcW w:w="93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color w:val="auto"/>
                <w:kern w:val="0"/>
                <w:sz w:val="32"/>
                <w:szCs w:val="32"/>
                <w:highlight w:val="none"/>
                <w:lang w:val="en-US" w:eastAsia="zh-CN"/>
              </w:rPr>
            </w:pPr>
            <w:r>
              <w:rPr>
                <w:rFonts w:hint="eastAsia" w:ascii="仿宋_GB2312" w:hAnsi="仿宋_GB2312" w:eastAsia="仿宋_GB2312" w:cs="仿宋_GB2312"/>
                <w:b/>
                <w:bCs/>
                <w:color w:val="auto"/>
                <w:kern w:val="0"/>
                <w:sz w:val="32"/>
                <w:szCs w:val="32"/>
                <w:highlight w:val="no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共用设施设备维护服务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4米叉梯、2.5铝合金米梯、2米铝合金梯、电锤</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2</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保洁服务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速干毛巾、速干拖把、尘推、玻璃刮水器、胶皮手套、笤帚、簸箕</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3</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绿化服务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高枝剪、修枝剪、手锯、水管、喷雾器、铁锹</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32" w:type="dxa"/>
            <w:noWrap w:val="0"/>
            <w:vAlign w:val="center"/>
          </w:tcPr>
          <w:p>
            <w:pPr>
              <w:pageBreakBefore w:val="0"/>
              <w:widowControl/>
              <w:numPr>
                <w:ilvl w:val="0"/>
                <w:numId w:val="0"/>
              </w:numPr>
              <w:kinsoku/>
              <w:wordWrap/>
              <w:overflowPunct/>
              <w:topLinePunct w:val="0"/>
              <w:bidi w:val="0"/>
              <w:snapToGrid w:val="0"/>
              <w:spacing w:line="300" w:lineRule="auto"/>
              <w:ind w:left="0" w:firstLine="0"/>
              <w:jc w:val="center"/>
              <w:rPr>
                <w:rFonts w:hint="eastAsia" w:ascii="仿宋_GB2312" w:hAnsi="仿宋_GB2312" w:eastAsia="仿宋_GB2312" w:cs="仿宋_GB2312"/>
                <w:b w:val="0"/>
                <w:bCs w:val="0"/>
                <w:color w:val="auto"/>
                <w:kern w:val="0"/>
                <w:sz w:val="32"/>
                <w:szCs w:val="32"/>
                <w:highlight w:val="none"/>
              </w:rPr>
            </w:pPr>
            <w:r>
              <w:rPr>
                <w:rFonts w:hint="eastAsia" w:ascii="仿宋_GB2312" w:hAnsi="仿宋_GB2312" w:eastAsia="仿宋_GB2312" w:cs="仿宋_GB2312"/>
                <w:b w:val="0"/>
                <w:bCs w:val="0"/>
                <w:color w:val="auto"/>
                <w:kern w:val="0"/>
                <w:sz w:val="32"/>
                <w:szCs w:val="32"/>
                <w:highlight w:val="none"/>
                <w:lang w:val="en-US" w:eastAsia="zh-CN"/>
              </w:rPr>
              <w:t>4</w:t>
            </w:r>
          </w:p>
        </w:tc>
        <w:tc>
          <w:tcPr>
            <w:tcW w:w="3002"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保安服务</w:t>
            </w:r>
          </w:p>
        </w:tc>
        <w:tc>
          <w:tcPr>
            <w:tcW w:w="3764" w:type="dxa"/>
            <w:noWrap w:val="0"/>
            <w:vAlign w:val="center"/>
          </w:tcPr>
          <w:p>
            <w:pPr>
              <w:pageBreakBefore w:val="0"/>
              <w:widowControl/>
              <w:kinsoku/>
              <w:wordWrap/>
              <w:overflowPunct/>
              <w:topLinePunct w:val="0"/>
              <w:bidi w:val="0"/>
              <w:snapToGrid w:val="0"/>
              <w:spacing w:line="300" w:lineRule="auto"/>
              <w:ind w:left="0" w:leftChars="0"/>
              <w:jc w:val="left"/>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强光手电、防爆头盔、防刺服、防爆盾牌、伸缩脚叉、狼牙棒、钢叉、防割手套</w:t>
            </w:r>
          </w:p>
        </w:tc>
        <w:tc>
          <w:tcPr>
            <w:tcW w:w="965"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bidi="ar-SA"/>
              </w:rPr>
              <w:t>1</w:t>
            </w:r>
          </w:p>
        </w:tc>
        <w:tc>
          <w:tcPr>
            <w:tcW w:w="938"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 w:val="0"/>
                <w:bCs w:val="0"/>
                <w:color w:val="auto"/>
                <w:kern w:val="0"/>
                <w:sz w:val="32"/>
                <w:szCs w:val="32"/>
                <w:highlight w:val="none"/>
                <w:lang w:val="en-US" w:eastAsia="zh-CN" w:bidi="ar-SA"/>
              </w:rPr>
            </w:pPr>
            <w:r>
              <w:rPr>
                <w:rFonts w:hint="eastAsia" w:ascii="仿宋_GB2312" w:hAnsi="仿宋_GB2312" w:eastAsia="仿宋_GB2312" w:cs="仿宋_GB2312"/>
                <w:b w:val="0"/>
                <w:bCs w:val="0"/>
                <w:color w:val="auto"/>
                <w:kern w:val="0"/>
                <w:sz w:val="32"/>
                <w:szCs w:val="32"/>
                <w:highlight w:val="none"/>
                <w:lang w:val="en-US" w:eastAsia="zh-CN"/>
              </w:rPr>
              <w:t>套</w:t>
            </w:r>
          </w:p>
        </w:tc>
      </w:tr>
    </w:tbl>
    <w:p>
      <w:pPr>
        <w:pStyle w:val="2"/>
        <w:bidi w:val="0"/>
        <w:rPr>
          <w:rFonts w:hint="eastAsia" w:ascii="仿宋_GB2312" w:hAnsi="仿宋_GB2312" w:eastAsia="仿宋_GB2312" w:cs="仿宋_GB2312"/>
          <w:sz w:val="32"/>
          <w:szCs w:val="32"/>
          <w:highlight w:val="none"/>
          <w:lang w:val="en-US" w:eastAsia="zh-CN"/>
        </w:rPr>
      </w:pPr>
    </w:p>
    <w:p>
      <w:pPr>
        <w:pStyle w:val="2"/>
        <w:bidi w:val="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物业管理服务人员需求</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7"/>
        <w:gridCol w:w="1513"/>
        <w:gridCol w:w="1366"/>
        <w:gridCol w:w="1514"/>
        <w:gridCol w:w="3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rPr>
              <w:t>部门</w:t>
            </w:r>
            <w:r>
              <w:rPr>
                <w:rFonts w:hint="eastAsia" w:ascii="仿宋_GB2312" w:hAnsi="仿宋_GB2312" w:eastAsia="仿宋_GB2312" w:cs="仿宋_GB2312"/>
                <w:b/>
                <w:bCs w:val="0"/>
                <w:color w:val="auto"/>
                <w:sz w:val="32"/>
                <w:szCs w:val="32"/>
                <w:highlight w:val="none"/>
                <w:lang w:eastAsia="zh-CN"/>
              </w:rPr>
              <w:t>职能</w:t>
            </w:r>
          </w:p>
        </w:tc>
        <w:tc>
          <w:tcPr>
            <w:tcW w:w="1513"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岗位</w:t>
            </w:r>
          </w:p>
        </w:tc>
        <w:tc>
          <w:tcPr>
            <w:tcW w:w="1366"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同时在岗人数</w:t>
            </w:r>
          </w:p>
        </w:tc>
        <w:tc>
          <w:tcPr>
            <w:tcW w:w="1514"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岗位所需总人数</w:t>
            </w:r>
          </w:p>
        </w:tc>
        <w:tc>
          <w:tcPr>
            <w:tcW w:w="3378" w:type="dxa"/>
            <w:noWrap w:val="0"/>
            <w:vAlign w:val="center"/>
          </w:tcPr>
          <w:p>
            <w:pPr>
              <w:pageBreakBefore w:val="0"/>
              <w:widowControl/>
              <w:kinsoku/>
              <w:wordWrap/>
              <w:overflowPunct/>
              <w:topLinePunct w:val="0"/>
              <w:bidi w:val="0"/>
              <w:snapToGrid w:val="0"/>
              <w:spacing w:line="300" w:lineRule="auto"/>
              <w:ind w:left="0"/>
              <w:jc w:val="center"/>
              <w:rPr>
                <w:rFonts w:hint="eastAsia" w:ascii="仿宋_GB2312" w:hAnsi="仿宋_GB2312" w:eastAsia="仿宋_GB2312" w:cs="仿宋_GB2312"/>
                <w:b/>
                <w:bCs w:val="0"/>
                <w:color w:val="auto"/>
                <w:sz w:val="32"/>
                <w:szCs w:val="32"/>
                <w:highlight w:val="none"/>
              </w:rPr>
            </w:pPr>
            <w:r>
              <w:rPr>
                <w:rFonts w:hint="eastAsia" w:ascii="仿宋_GB2312" w:hAnsi="仿宋_GB2312" w:eastAsia="仿宋_GB2312" w:cs="仿宋_GB2312"/>
                <w:b/>
                <w:bCs w:val="0"/>
                <w:color w:val="auto"/>
                <w:sz w:val="32"/>
                <w:szCs w:val="32"/>
                <w:highlight w:val="none"/>
              </w:rPr>
              <w:t>备注（岗位所需服务时长或时段、需具备的上岗资格证</w:t>
            </w:r>
            <w:r>
              <w:rPr>
                <w:rFonts w:hint="eastAsia" w:ascii="仿宋_GB2312" w:hAnsi="仿宋_GB2312" w:eastAsia="仿宋_GB2312" w:cs="仿宋_GB2312"/>
                <w:b/>
                <w:bCs w:val="0"/>
                <w:color w:val="auto"/>
                <w:sz w:val="32"/>
                <w:szCs w:val="32"/>
                <w:highlight w:val="none"/>
                <w:lang w:eastAsia="zh-CN"/>
              </w:rPr>
              <w:t>、人员学历、工作经验</w:t>
            </w:r>
            <w:r>
              <w:rPr>
                <w:rFonts w:hint="eastAsia" w:ascii="仿宋_GB2312" w:hAnsi="仿宋_GB2312" w:eastAsia="仿宋_GB2312" w:cs="仿宋_GB2312"/>
                <w:b/>
                <w:bCs w:val="0"/>
                <w:color w:val="auto"/>
                <w:sz w:val="32"/>
                <w:szCs w:val="32"/>
                <w:highlight w:val="none"/>
              </w:rPr>
              <w:t>等</w:t>
            </w:r>
            <w:r>
              <w:rPr>
                <w:rFonts w:hint="eastAsia" w:ascii="仿宋_GB2312" w:hAnsi="仿宋_GB2312" w:eastAsia="仿宋_GB2312" w:cs="仿宋_GB2312"/>
                <w:b/>
                <w:bCs w:val="0"/>
                <w:color w:val="auto"/>
                <w:sz w:val="32"/>
                <w:szCs w:val="32"/>
                <w:highlight w:val="none"/>
                <w:lang w:eastAsia="zh-CN"/>
              </w:rPr>
              <w:t>要求</w:t>
            </w:r>
            <w:r>
              <w:rPr>
                <w:rFonts w:hint="eastAsia" w:ascii="仿宋_GB2312" w:hAnsi="仿宋_GB2312" w:eastAsia="仿宋_GB2312" w:cs="仿宋_GB2312"/>
                <w:b/>
                <w:bCs w:val="0"/>
                <w:color w:val="auto"/>
                <w:sz w:val="32"/>
                <w:szCs w:val="32"/>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服务中心</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项目经理</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1</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restart"/>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sz w:val="32"/>
                <w:szCs w:val="32"/>
                <w:highlight w:val="none"/>
                <w:lang w:val="en-US" w:eastAsia="zh-CN"/>
              </w:rPr>
              <w:t>共用设施设备维护服务</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配电室值班</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24小时；男性60周岁以下，持有高压电工作业证。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电气设备维护</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3</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24小时；男性60周岁以下，持有低压电工作业证。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给排水供暖设备维护</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3</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保洁服务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保洁员</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10</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10</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男性60周岁以下或女性50周岁以下。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lang w:val="en-US" w:eastAsia="zh-CN"/>
              </w:rPr>
              <w:t>绿化服务</w:t>
            </w:r>
          </w:p>
        </w:tc>
        <w:tc>
          <w:tcPr>
            <w:tcW w:w="1513"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color w:val="auto"/>
                <w:sz w:val="32"/>
                <w:szCs w:val="32"/>
                <w:highlight w:val="none"/>
              </w:rPr>
              <w:t>绿化工</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男性60周岁以下或女性50周岁以下。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restart"/>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保安服务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门岗</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vMerge w:val="continue"/>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rPr>
            </w:pP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消控岗</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6</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24小时；男性60周岁以下或女性50周岁以下，持有消防设施操作证。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517" w:type="dxa"/>
            <w:noWrap w:val="0"/>
            <w:vAlign w:val="center"/>
          </w:tcPr>
          <w:p>
            <w:pPr>
              <w:pageBreakBefore w:val="0"/>
              <w:widowControl/>
              <w:kinsoku/>
              <w:wordWrap/>
              <w:overflowPunct/>
              <w:topLinePunct w:val="0"/>
              <w:bidi w:val="0"/>
              <w:snapToGrid w:val="0"/>
              <w:spacing w:line="300" w:lineRule="auto"/>
              <w:ind w:left="0"/>
              <w:jc w:val="both"/>
              <w:rPr>
                <w:rFonts w:hint="eastAsia" w:ascii="仿宋_GB2312" w:hAnsi="仿宋_GB2312" w:eastAsia="仿宋_GB2312" w:cs="仿宋_GB2312"/>
                <w:bCs/>
                <w:color w:val="auto"/>
                <w:sz w:val="32"/>
                <w:szCs w:val="32"/>
                <w:highlight w:val="none"/>
                <w:lang w:val="en-US" w:eastAsia="zh-CN"/>
              </w:rPr>
            </w:pPr>
            <w:r>
              <w:rPr>
                <w:rFonts w:hint="eastAsia" w:ascii="仿宋_GB2312" w:hAnsi="仿宋_GB2312" w:eastAsia="仿宋_GB2312" w:cs="仿宋_GB2312"/>
                <w:bCs/>
                <w:color w:val="auto"/>
                <w:sz w:val="32"/>
                <w:szCs w:val="32"/>
                <w:highlight w:val="none"/>
                <w:lang w:val="en-US" w:eastAsia="zh-CN"/>
              </w:rPr>
              <w:t>会议服务</w:t>
            </w:r>
          </w:p>
        </w:tc>
        <w:tc>
          <w:tcPr>
            <w:tcW w:w="1513"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rPr>
              <w:t>会务</w:t>
            </w:r>
          </w:p>
        </w:tc>
        <w:tc>
          <w:tcPr>
            <w:tcW w:w="1366"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2</w:t>
            </w:r>
          </w:p>
        </w:tc>
        <w:tc>
          <w:tcPr>
            <w:tcW w:w="1514" w:type="dxa"/>
            <w:noWrap w:val="0"/>
            <w:vAlign w:val="center"/>
          </w:tcPr>
          <w:p>
            <w:pPr>
              <w:pageBreakBefore w:val="0"/>
              <w:widowControl/>
              <w:kinsoku/>
              <w:wordWrap/>
              <w:overflowPunct/>
              <w:topLinePunct w:val="0"/>
              <w:bidi w:val="0"/>
              <w:snapToGrid w:val="0"/>
              <w:spacing w:line="300" w:lineRule="auto"/>
              <w:ind w:left="0" w:leftChars="0"/>
              <w:jc w:val="center"/>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kern w:val="2"/>
                <w:sz w:val="32"/>
                <w:szCs w:val="32"/>
                <w:highlight w:val="none"/>
                <w:lang w:val="en-US" w:eastAsia="zh-CN" w:bidi="ar-SA"/>
              </w:rPr>
              <w:t>2</w:t>
            </w:r>
          </w:p>
        </w:tc>
        <w:tc>
          <w:tcPr>
            <w:tcW w:w="3378" w:type="dxa"/>
            <w:noWrap w:val="0"/>
            <w:vAlign w:val="center"/>
          </w:tcPr>
          <w:p>
            <w:pPr>
              <w:pageBreakBefore w:val="0"/>
              <w:widowControl/>
              <w:kinsoku/>
              <w:wordWrap/>
              <w:overflowPunct/>
              <w:topLinePunct w:val="0"/>
              <w:bidi w:val="0"/>
              <w:snapToGrid w:val="0"/>
              <w:spacing w:line="300" w:lineRule="auto"/>
              <w:ind w:left="0" w:leftChars="0"/>
              <w:jc w:val="both"/>
              <w:rPr>
                <w:rFonts w:hint="eastAsia" w:ascii="仿宋_GB2312" w:hAnsi="仿宋_GB2312" w:eastAsia="仿宋_GB2312" w:cs="仿宋_GB2312"/>
                <w:bCs/>
                <w:color w:val="auto"/>
                <w:kern w:val="2"/>
                <w:sz w:val="32"/>
                <w:szCs w:val="32"/>
                <w:highlight w:val="none"/>
                <w:lang w:val="en-US" w:eastAsia="zh-CN" w:bidi="ar-SA"/>
              </w:rPr>
            </w:pPr>
            <w:r>
              <w:rPr>
                <w:rFonts w:hint="eastAsia" w:ascii="仿宋_GB2312" w:hAnsi="仿宋_GB2312" w:eastAsia="仿宋_GB2312" w:cs="仿宋_GB2312"/>
                <w:bCs/>
                <w:color w:val="auto"/>
                <w:sz w:val="32"/>
                <w:szCs w:val="32"/>
                <w:highlight w:val="none"/>
                <w:lang w:val="en-US" w:eastAsia="zh-CN"/>
              </w:rPr>
              <w:t>女性45周岁以下。</w:t>
            </w:r>
          </w:p>
        </w:tc>
      </w:tr>
      <w:bookmarkEnd w:id="13"/>
      <w:bookmarkEnd w:id="14"/>
      <w:bookmarkEnd w:id="15"/>
    </w:tbl>
    <w:p>
      <w:pPr>
        <w:pStyle w:val="2"/>
        <w:bidi w:val="0"/>
        <w:rPr>
          <w:rFonts w:hint="eastAsia" w:ascii="仿宋_GB2312" w:hAnsi="仿宋_GB2312" w:eastAsia="仿宋_GB2312" w:cs="仿宋_GB2312"/>
          <w:sz w:val="32"/>
          <w:szCs w:val="32"/>
          <w:highlight w:val="none"/>
          <w:lang w:eastAsia="zh-CN"/>
        </w:rPr>
      </w:pPr>
      <w:bookmarkStart w:id="16" w:name="_Toc1962"/>
      <w:bookmarkStart w:id="17" w:name="_Toc20385"/>
      <w:bookmarkStart w:id="18" w:name="_Toc21574"/>
    </w:p>
    <w:p>
      <w:pPr>
        <w:pStyle w:val="2"/>
        <w:bidi w:val="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6</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商务要求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询价报价：本项目最高限价为76.97万元，询价报价超过最高限价的为无效询价。询价报价必须包含完成采购项目所需的服务、承诺、义务、人员工资、保险、税金等所有费用，不包含物耗费。</w:t>
      </w:r>
    </w:p>
    <w:bookmarkEnd w:id="16"/>
    <w:bookmarkEnd w:id="17"/>
    <w:bookmarkEnd w:id="18"/>
    <w:p>
      <w:pPr>
        <w:pStyle w:val="19"/>
        <w:keepNext w:val="0"/>
        <w:keepLines w:val="0"/>
        <w:widowControl w:val="0"/>
        <w:suppressLineNumbers w:val="0"/>
        <w:adjustRightInd w:val="0"/>
        <w:snapToGrid w:val="0"/>
        <w:spacing w:before="0" w:beforeAutospacing="0" w:after="0" w:afterAutospacing="0" w:line="560" w:lineRule="exact"/>
        <w:ind w:right="0" w:firstLine="640" w:firstLineChars="200"/>
        <w:jc w:val="both"/>
        <w:outlineLvl w:val="0"/>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三、服务质量及考核标准</w:t>
      </w:r>
    </w:p>
    <w:p>
      <w:pPr>
        <w:spacing w:line="560" w:lineRule="exact"/>
        <w:ind w:firstLine="640" w:firstLineChars="200"/>
        <w:jc w:val="left"/>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市级党政机关办公用房物业服务管理指导意见等文件要求，制定《物业服务检查考核办法》，加强对物业服务的日常巡查和年度考核，严禁物业服务企业中标后降低服务质量，全面评价物业服务合同履行和节能降耗等情况。</w:t>
      </w:r>
    </w:p>
    <w:p>
      <w:pPr>
        <w:spacing w:line="560" w:lineRule="exact"/>
        <w:ind w:firstLine="640" w:firstLineChars="200"/>
        <w:jc w:val="left"/>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四、项目绩效</w:t>
      </w:r>
    </w:p>
    <w:p>
      <w:pPr>
        <w:spacing w:line="560" w:lineRule="exact"/>
        <w:ind w:firstLine="640" w:firstLineChars="200"/>
        <w:jc w:val="left"/>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按照石家庄市机关事务管理局和石家庄市财政局《关于党政机关办公楼（区）物业管理服务内容及费用标准的指导意见（暂行）》及</w:t>
      </w:r>
      <w:r>
        <w:rPr>
          <w:rFonts w:hint="eastAsia" w:ascii="仿宋_GB2312" w:hAnsi="仿宋_GB2312" w:eastAsia="仿宋_GB2312" w:cs="仿宋_GB2312"/>
          <w:color w:val="auto"/>
          <w:sz w:val="32"/>
          <w:szCs w:val="32"/>
          <w:highlight w:val="none"/>
          <w:lang w:eastAsia="zh-CN"/>
        </w:rPr>
        <w:t>石家庄市机关事务管理局《关于加强和规范市级党政机关办公用房物业服务的指导意见》（石事管〔</w:t>
      </w:r>
      <w:r>
        <w:rPr>
          <w:rFonts w:hint="eastAsia" w:ascii="仿宋_GB2312" w:hAnsi="仿宋_GB2312" w:eastAsia="仿宋_GB2312" w:cs="仿宋_GB2312"/>
          <w:color w:val="auto"/>
          <w:sz w:val="32"/>
          <w:szCs w:val="32"/>
          <w:highlight w:val="none"/>
          <w:lang w:val="en-US" w:eastAsia="zh-CN"/>
        </w:rPr>
        <w:t>2021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3号</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规定，我单位将依法合规选聘规章制度健全、财务状况良好、服务质量优秀、社会口碑良好的企业，为我局提供物业服务及大院运行维护服务。</w:t>
      </w:r>
    </w:p>
    <w:p>
      <w:pPr>
        <w:numPr>
          <w:ilvl w:val="0"/>
          <w:numId w:val="0"/>
        </w:numPr>
        <w:spacing w:line="560" w:lineRule="exact"/>
        <w:ind w:firstLine="640" w:firstLineChars="200"/>
        <w:jc w:val="left"/>
        <w:rPr>
          <w:rFonts w:hint="eastAsia" w:ascii="仿宋_GB2312" w:hAnsi="仿宋_GB2312" w:eastAsia="仿宋_GB2312" w:cs="仿宋_GB2312"/>
          <w:i/>
          <w:iCs/>
          <w:sz w:val="32"/>
          <w:szCs w:val="32"/>
          <w:highlight w:val="none"/>
          <w:u w:val="single"/>
          <w:lang w:eastAsia="zh-CN"/>
        </w:rPr>
      </w:pPr>
      <w:r>
        <w:rPr>
          <w:rFonts w:hint="eastAsia" w:ascii="仿宋_GB2312" w:hAnsi="仿宋_GB2312" w:eastAsia="仿宋_GB2312" w:cs="仿宋_GB2312"/>
          <w:color w:val="auto"/>
          <w:sz w:val="32"/>
          <w:szCs w:val="32"/>
          <w:highlight w:val="none"/>
          <w:lang w:val="en-US" w:eastAsia="zh-CN"/>
        </w:rPr>
        <w:t>购买</w:t>
      </w:r>
      <w:r>
        <w:rPr>
          <w:rFonts w:hint="eastAsia" w:ascii="仿宋_GB2312" w:hAnsi="仿宋_GB2312" w:eastAsia="仿宋_GB2312" w:cs="仿宋_GB2312"/>
          <w:b w:val="0"/>
          <w:bCs w:val="0"/>
          <w:color w:val="auto"/>
          <w:sz w:val="32"/>
          <w:szCs w:val="32"/>
          <w:lang w:val="en-US" w:eastAsia="zh-CN" w:bidi="ar-SA"/>
        </w:rPr>
        <w:t>物业管理服务</w:t>
      </w:r>
      <w:r>
        <w:rPr>
          <w:rFonts w:hint="eastAsia" w:ascii="仿宋_GB2312" w:hAnsi="仿宋_GB2312" w:eastAsia="仿宋_GB2312" w:cs="仿宋_GB2312"/>
          <w:color w:val="auto"/>
          <w:sz w:val="32"/>
          <w:szCs w:val="32"/>
          <w:highlight w:val="none"/>
          <w:lang w:val="en-US" w:eastAsia="zh-CN"/>
        </w:rPr>
        <w:t>能够保障党政机关</w:t>
      </w:r>
      <w:r>
        <w:rPr>
          <w:rFonts w:hint="eastAsia" w:ascii="仿宋_GB2312" w:hAnsi="仿宋_GB2312" w:eastAsia="仿宋_GB2312" w:cs="仿宋_GB2312"/>
          <w:sz w:val="32"/>
          <w:szCs w:val="32"/>
          <w:lang w:val="en-US" w:eastAsia="zh-CN"/>
        </w:rPr>
        <w:t>办公场所正常运行，更好的</w:t>
      </w:r>
      <w:r>
        <w:rPr>
          <w:rFonts w:hint="eastAsia" w:ascii="仿宋_GB2312" w:hAnsi="仿宋_GB2312" w:eastAsia="仿宋_GB2312" w:cs="仿宋_GB2312"/>
          <w:color w:val="auto"/>
          <w:sz w:val="32"/>
          <w:szCs w:val="32"/>
          <w:highlight w:val="none"/>
          <w:lang w:val="en-US" w:eastAsia="zh-CN"/>
        </w:rPr>
        <w:t>履职尽责、高效运转的重要举措，进一步提高物业服务质量和水平，逐步实现物业管理规范化、市场化和专业化。</w:t>
      </w:r>
    </w:p>
    <w:p>
      <w:pPr>
        <w:keepNext w:val="0"/>
        <w:keepLines w:val="0"/>
        <w:widowControl w:val="0"/>
        <w:suppressLineNumbers w:val="0"/>
        <w:adjustRightInd w:val="0"/>
        <w:snapToGrid w:val="0"/>
        <w:spacing w:before="0" w:beforeAutospacing="0" w:after="0" w:afterAutospacing="0" w:line="560" w:lineRule="exact"/>
        <w:ind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五、项目验收方案及要求</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中标方提供的服务应符合招标文件、投标文件及合同约定的相关要求。服务期满并达到履约要求后，采购方向局采购办报《履约验收申请表》，并组织局采购领导小组成员单位和相关专家对本项目进行验收。</w:t>
      </w:r>
    </w:p>
    <w:p>
      <w:pPr>
        <w:pStyle w:val="21"/>
        <w:numPr>
          <w:ilvl w:val="0"/>
          <w:numId w:val="2"/>
        </w:numPr>
        <w:ind w:left="0" w:leftChars="0" w:firstLine="640" w:firstLineChars="200"/>
        <w:jc w:val="both"/>
        <w:rPr>
          <w:rFonts w:hint="eastAsia" w:ascii="黑体" w:hAnsi="黑体" w:eastAsia="黑体" w:cs="黑体"/>
          <w:b w:val="0"/>
          <w:bCs/>
          <w:kern w:val="2"/>
          <w:sz w:val="32"/>
          <w:szCs w:val="32"/>
          <w:lang w:val="en-US" w:eastAsia="zh-CN" w:bidi="ar"/>
        </w:rPr>
      </w:pPr>
      <w:r>
        <w:rPr>
          <w:rFonts w:hint="eastAsia" w:ascii="黑体" w:hAnsi="黑体" w:eastAsia="黑体" w:cs="黑体"/>
          <w:b w:val="0"/>
          <w:bCs/>
          <w:kern w:val="2"/>
          <w:sz w:val="32"/>
          <w:szCs w:val="32"/>
          <w:lang w:val="en-US" w:eastAsia="zh-CN" w:bidi="ar"/>
        </w:rPr>
        <w:t>时间安排</w:t>
      </w:r>
    </w:p>
    <w:p>
      <w:pPr>
        <w:ind w:firstLine="640" w:firstLineChars="200"/>
        <w:jc w:val="lef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物业管理费项目服务期限为：壹年。</w:t>
      </w:r>
    </w:p>
    <w:p>
      <w:pPr>
        <w:keepNext w:val="0"/>
        <w:keepLines w:val="0"/>
        <w:widowControl w:val="0"/>
        <w:suppressLineNumbers w:val="0"/>
        <w:autoSpaceDE w:val="0"/>
        <w:autoSpaceDN/>
        <w:adjustRightInd w:val="0"/>
        <w:snapToGrid w:val="0"/>
        <w:spacing w:before="0" w:beforeAutospacing="0" w:after="0" w:afterAutospacing="0" w:line="560" w:lineRule="exact"/>
        <w:ind w:left="0" w:leftChars="0" w:right="0" w:firstLine="640" w:firstLineChars="200"/>
        <w:jc w:val="both"/>
        <w:rPr>
          <w:rFonts w:hint="eastAsia" w:ascii="黑体" w:hAnsi="黑体" w:eastAsia="黑体" w:cs="黑体"/>
          <w:b w:val="0"/>
          <w:bCs w:val="0"/>
          <w:kern w:val="2"/>
          <w:sz w:val="32"/>
          <w:szCs w:val="32"/>
        </w:rPr>
      </w:pPr>
      <w:r>
        <w:rPr>
          <w:rFonts w:hint="eastAsia" w:ascii="黑体" w:hAnsi="黑体" w:eastAsia="黑体" w:cs="黑体"/>
          <w:b w:val="0"/>
          <w:bCs w:val="0"/>
          <w:kern w:val="2"/>
          <w:sz w:val="32"/>
          <w:szCs w:val="32"/>
          <w:lang w:val="en-US" w:eastAsia="zh-CN" w:bidi="ar"/>
        </w:rPr>
        <w:t>七、经费预算</w:t>
      </w:r>
    </w:p>
    <w:p>
      <w:pPr>
        <w:pStyle w:val="9"/>
        <w:keepNext w:val="0"/>
        <w:keepLines w:val="0"/>
        <w:pageBreakBefore w:val="0"/>
        <w:kinsoku/>
        <w:wordWrap/>
        <w:overflowPunct/>
        <w:topLinePunct w:val="0"/>
        <w:autoSpaceDE/>
        <w:autoSpaceDN/>
        <w:bidi w:val="0"/>
        <w:adjustRightInd w:val="0"/>
        <w:spacing w:line="560" w:lineRule="exact"/>
        <w:ind w:right="0" w:rightChars="0" w:firstLine="640"/>
        <w:jc w:val="left"/>
        <w:textAlignment w:val="auto"/>
        <w:rPr>
          <w:rFonts w:hint="eastAsia" w:ascii="黑体" w:hAnsi="黑体" w:eastAsia="黑体" w:cs="黑体"/>
          <w:b w:val="0"/>
          <w:bCs/>
          <w:sz w:val="32"/>
          <w:szCs w:val="32"/>
        </w:rPr>
      </w:pPr>
      <w:r>
        <w:rPr>
          <w:rFonts w:hint="eastAsia" w:ascii="仿宋_GB2312" w:hAnsi="仿宋_GB2312" w:eastAsia="仿宋_GB2312" w:cs="仿宋_GB2312"/>
          <w:sz w:val="32"/>
          <w:szCs w:val="32"/>
          <w:lang w:eastAsia="zh-CN"/>
        </w:rPr>
        <w:t>采购项目预（概）算：</w:t>
      </w:r>
      <w:r>
        <w:rPr>
          <w:rFonts w:hint="eastAsia" w:ascii="仿宋_GB2312" w:hAnsi="仿宋_GB2312" w:eastAsia="仿宋_GB2312" w:cs="仿宋_GB2312"/>
          <w:b w:val="0"/>
          <w:bCs/>
          <w:sz w:val="32"/>
          <w:szCs w:val="32"/>
          <w:lang w:val="en-US" w:eastAsia="zh-CN"/>
        </w:rPr>
        <w:t>76.97万元</w:t>
      </w: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rPr>
      </w:pPr>
    </w:p>
    <w:p>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Cs/>
          <w:sz w:val="36"/>
          <w:u w:val="single"/>
          <w:lang w:val="en-US" w:eastAsia="zh-CN"/>
        </w:rPr>
        <w:t xml:space="preserve">   </w:t>
      </w: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pPr>
        <w:pStyle w:val="21"/>
        <w:rPr>
          <w:rFonts w:ascii="仿宋_GB2312" w:hAnsi="仿宋_GB2312" w:eastAsia="仿宋_GB2312" w:cs="仿宋_GB2312"/>
          <w:b/>
          <w:sz w:val="48"/>
        </w:rPr>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1"/>
      </w:pPr>
    </w:p>
    <w:p>
      <w:pPr>
        <w:pStyle w:val="22"/>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1"/>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3"/>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3"/>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9"/>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pPr>
        <w:pStyle w:val="9"/>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w:t>
      </w:r>
      <w:r>
        <w:rPr>
          <w:rFonts w:hint="eastAsia" w:ascii="仿宋_GB2312" w:hAnsi="仿宋_GB2312" w:eastAsia="仿宋_GB2312" w:cs="仿宋_GB2312"/>
          <w:sz w:val="28"/>
          <w:lang w:eastAsia="zh-CN"/>
        </w:rPr>
        <w:t>单位</w:t>
      </w:r>
      <w:r>
        <w:rPr>
          <w:rFonts w:hint="eastAsia" w:ascii="仿宋_GB2312" w:hAnsi="仿宋_GB2312" w:eastAsia="仿宋_GB2312" w:cs="仿宋_GB2312"/>
          <w:sz w:val="28"/>
        </w:rPr>
        <w:t>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1"/>
        <w:rPr>
          <w:rFonts w:hint="eastAsia" w:ascii="仿宋_GB2312" w:hAnsi="仿宋_GB2312" w:eastAsia="仿宋_GB2312" w:cs="仿宋_GB2312"/>
          <w:sz w:val="28"/>
        </w:rPr>
      </w:pPr>
    </w:p>
    <w:p>
      <w:pPr>
        <w:pStyle w:val="22"/>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1"/>
        <w:rPr>
          <w:rFonts w:hint="eastAsia"/>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XXX（单位）</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XXX项目</w:t>
      </w:r>
      <w:r>
        <w:rPr>
          <w:rFonts w:hint="eastAsia" w:ascii="方正小标宋_GBK" w:hAnsi="方正小标宋_GBK" w:eastAsia="方正小标宋_GBK" w:cs="方正小标宋_GBK"/>
          <w:bCs/>
          <w:sz w:val="44"/>
          <w:szCs w:val="44"/>
        </w:rPr>
        <w:t>询价告知卡</w:t>
      </w:r>
    </w:p>
    <w:p>
      <w:pPr>
        <w:pStyle w:val="30"/>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XXX（单位）关于XXX项目</w:t>
      </w:r>
      <w:r>
        <w:rPr>
          <w:rFonts w:hint="eastAsia" w:ascii="方正小标宋_GBK" w:hAnsi="方正小标宋_GBK" w:eastAsia="方正小标宋_GBK" w:cs="方正小标宋_GBK"/>
          <w:b w:val="0"/>
          <w:bCs/>
          <w:sz w:val="32"/>
          <w:szCs w:val="32"/>
        </w:rPr>
        <w:t>的询价信息公告”是否阅知？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XXX（单位）XXX项目询价要求及流程</w:t>
      </w:r>
      <w:r>
        <w:rPr>
          <w:rFonts w:hint="eastAsia" w:ascii="方正小标宋_GBK" w:hAnsi="方正小标宋_GBK" w:eastAsia="方正小标宋_GBK" w:cs="方正小标宋_GBK"/>
          <w:b w:val="0"/>
          <w:bCs/>
          <w:sz w:val="32"/>
          <w:szCs w:val="32"/>
        </w:rPr>
        <w:t>”是否阅知？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XXX（单位）XXX项目工作方案</w:t>
      </w:r>
      <w:r>
        <w:rPr>
          <w:rFonts w:hint="eastAsia" w:ascii="方正小标宋_GBK" w:hAnsi="方正小标宋_GBK" w:eastAsia="方正小标宋_GBK" w:cs="方正小标宋_GBK"/>
          <w:b w:val="0"/>
          <w:bCs/>
          <w:sz w:val="32"/>
          <w:szCs w:val="32"/>
        </w:rPr>
        <w:t>”及采购需求是否阅知？</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62DE0707"/>
    <w:multiLevelType w:val="singleLevel"/>
    <w:tmpl w:val="62DE0707"/>
    <w:lvl w:ilvl="0" w:tentative="0">
      <w:start w:val="6"/>
      <w:numFmt w:val="chineseCounting"/>
      <w:suff w:val="nothing"/>
      <w:lvlText w:val="%1、"/>
      <w:lvlJc w:val="left"/>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1FE3B56"/>
    <w:rsid w:val="02B80751"/>
    <w:rsid w:val="034E7427"/>
    <w:rsid w:val="054637EC"/>
    <w:rsid w:val="05732022"/>
    <w:rsid w:val="05A255BA"/>
    <w:rsid w:val="05AA1AAE"/>
    <w:rsid w:val="05C20325"/>
    <w:rsid w:val="06FF4152"/>
    <w:rsid w:val="0A5228A9"/>
    <w:rsid w:val="0A666707"/>
    <w:rsid w:val="0ACE0286"/>
    <w:rsid w:val="0B156206"/>
    <w:rsid w:val="0BA31992"/>
    <w:rsid w:val="0C63233E"/>
    <w:rsid w:val="0CD60C9A"/>
    <w:rsid w:val="0E88796A"/>
    <w:rsid w:val="0EC0759D"/>
    <w:rsid w:val="0ED619B3"/>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156CD4"/>
    <w:rsid w:val="194A05B4"/>
    <w:rsid w:val="1AC66850"/>
    <w:rsid w:val="1B642266"/>
    <w:rsid w:val="1B8D5C41"/>
    <w:rsid w:val="1E486234"/>
    <w:rsid w:val="1F012D15"/>
    <w:rsid w:val="1F6623C1"/>
    <w:rsid w:val="20304FD0"/>
    <w:rsid w:val="204E102B"/>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156643E"/>
    <w:rsid w:val="32075721"/>
    <w:rsid w:val="32BC67A5"/>
    <w:rsid w:val="32D76267"/>
    <w:rsid w:val="332609ED"/>
    <w:rsid w:val="33433250"/>
    <w:rsid w:val="346A24A1"/>
    <w:rsid w:val="36336D3C"/>
    <w:rsid w:val="37664A4B"/>
    <w:rsid w:val="376A10BB"/>
    <w:rsid w:val="37D31B27"/>
    <w:rsid w:val="392B32DA"/>
    <w:rsid w:val="3A3F6D53"/>
    <w:rsid w:val="3A9F725A"/>
    <w:rsid w:val="3B2535D0"/>
    <w:rsid w:val="3C3314A1"/>
    <w:rsid w:val="3C771D8C"/>
    <w:rsid w:val="3ED04B63"/>
    <w:rsid w:val="3F345B9D"/>
    <w:rsid w:val="3FC2791B"/>
    <w:rsid w:val="3FCD703E"/>
    <w:rsid w:val="403959A7"/>
    <w:rsid w:val="40B93D70"/>
    <w:rsid w:val="423E416A"/>
    <w:rsid w:val="42B43088"/>
    <w:rsid w:val="43C92044"/>
    <w:rsid w:val="44127729"/>
    <w:rsid w:val="45330549"/>
    <w:rsid w:val="45AE61C7"/>
    <w:rsid w:val="47D64CBF"/>
    <w:rsid w:val="486D2B74"/>
    <w:rsid w:val="48BA422E"/>
    <w:rsid w:val="49862862"/>
    <w:rsid w:val="4A103E4C"/>
    <w:rsid w:val="4B34396A"/>
    <w:rsid w:val="4B562B1E"/>
    <w:rsid w:val="4BCF0A3E"/>
    <w:rsid w:val="4C0140EA"/>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C253BEE"/>
    <w:rsid w:val="5C405349"/>
    <w:rsid w:val="5EAE0D08"/>
    <w:rsid w:val="5F0919A4"/>
    <w:rsid w:val="60456754"/>
    <w:rsid w:val="617625B0"/>
    <w:rsid w:val="61817A1F"/>
    <w:rsid w:val="62037CDB"/>
    <w:rsid w:val="620F2B8A"/>
    <w:rsid w:val="62517FC0"/>
    <w:rsid w:val="62720114"/>
    <w:rsid w:val="627853EA"/>
    <w:rsid w:val="631E69AA"/>
    <w:rsid w:val="638C03E2"/>
    <w:rsid w:val="64481E81"/>
    <w:rsid w:val="645131D3"/>
    <w:rsid w:val="65707F32"/>
    <w:rsid w:val="659C40EE"/>
    <w:rsid w:val="66014531"/>
    <w:rsid w:val="66302E0F"/>
    <w:rsid w:val="672B0915"/>
    <w:rsid w:val="67AB00FD"/>
    <w:rsid w:val="67BE26CC"/>
    <w:rsid w:val="680A67C8"/>
    <w:rsid w:val="68837F16"/>
    <w:rsid w:val="68E07AEE"/>
    <w:rsid w:val="69006831"/>
    <w:rsid w:val="6A4A6515"/>
    <w:rsid w:val="6A4C7071"/>
    <w:rsid w:val="6A640F76"/>
    <w:rsid w:val="6C784183"/>
    <w:rsid w:val="6D6A2812"/>
    <w:rsid w:val="6DD00BA9"/>
    <w:rsid w:val="6E2C46FB"/>
    <w:rsid w:val="6F125D61"/>
    <w:rsid w:val="6F857F81"/>
    <w:rsid w:val="70642025"/>
    <w:rsid w:val="70F652BC"/>
    <w:rsid w:val="71407CFA"/>
    <w:rsid w:val="726C6ADB"/>
    <w:rsid w:val="751F4904"/>
    <w:rsid w:val="759706CC"/>
    <w:rsid w:val="75B430DD"/>
    <w:rsid w:val="762941A2"/>
    <w:rsid w:val="76536B40"/>
    <w:rsid w:val="76D36788"/>
    <w:rsid w:val="77CE39B5"/>
    <w:rsid w:val="77D53717"/>
    <w:rsid w:val="77DD7433"/>
    <w:rsid w:val="784D55E5"/>
    <w:rsid w:val="78A71B1C"/>
    <w:rsid w:val="7C115EE7"/>
    <w:rsid w:val="7CA33860"/>
    <w:rsid w:val="7D242C86"/>
    <w:rsid w:val="7DBE5B9D"/>
    <w:rsid w:val="7E1A6E9E"/>
    <w:rsid w:val="7ECD2214"/>
    <w:rsid w:val="7F50046D"/>
    <w:rsid w:val="7F911058"/>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jc w:val="left"/>
      <w:outlineLvl w:val="0"/>
    </w:pPr>
    <w:rPr>
      <w:rFonts w:ascii="宋体" w:hAnsi="宋体"/>
      <w:b/>
      <w:sz w:val="32"/>
      <w:szCs w:val="20"/>
    </w:rPr>
  </w:style>
  <w:style w:type="paragraph" w:styleId="2">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unhideWhenUsed/>
    <w:qFormat/>
    <w:uiPriority w:val="0"/>
    <w:pPr>
      <w:keepNext/>
      <w:keepLines/>
      <w:spacing w:before="280" w:after="290" w:line="376" w:lineRule="atLeast"/>
      <w:outlineLvl w:val="4"/>
    </w:pPr>
    <w:rPr>
      <w:bCs/>
      <w:szCs w:val="28"/>
    </w:rPr>
  </w:style>
  <w:style w:type="character" w:default="1" w:styleId="25">
    <w:name w:val="Default Paragraph Font"/>
    <w:unhideWhenUsed/>
    <w:qFormat/>
    <w:uiPriority w:val="1"/>
  </w:style>
  <w:style w:type="table" w:default="1" w:styleId="23">
    <w:name w:val="Normal Table"/>
    <w:unhideWhenUsed/>
    <w:qFormat/>
    <w:uiPriority w:val="99"/>
    <w:tblPr>
      <w:tblCellMar>
        <w:top w:w="0" w:type="dxa"/>
        <w:left w:w="108" w:type="dxa"/>
        <w:bottom w:w="0" w:type="dxa"/>
        <w:right w:w="108" w:type="dxa"/>
      </w:tblCellMar>
    </w:tblPr>
  </w:style>
  <w:style w:type="paragraph" w:styleId="7">
    <w:name w:val="Normal Indent"/>
    <w:basedOn w:val="1"/>
    <w:qFormat/>
    <w:uiPriority w:val="0"/>
    <w:pPr>
      <w:spacing w:line="360" w:lineRule="auto"/>
      <w:ind w:firstLine="420"/>
    </w:pPr>
    <w:rPr>
      <w:szCs w:val="20"/>
    </w:rPr>
  </w:style>
  <w:style w:type="paragraph" w:styleId="8">
    <w:name w:val="annotation text"/>
    <w:basedOn w:val="1"/>
    <w:link w:val="39"/>
    <w:qFormat/>
    <w:uiPriority w:val="0"/>
    <w:pPr>
      <w:jc w:val="left"/>
    </w:pPr>
  </w:style>
  <w:style w:type="paragraph" w:styleId="9">
    <w:name w:val="Body Text"/>
    <w:basedOn w:val="1"/>
    <w:qFormat/>
    <w:uiPriority w:val="0"/>
    <w:pPr>
      <w:jc w:val="center"/>
    </w:pPr>
    <w:rPr>
      <w:rFonts w:ascii="宋体"/>
      <w:b/>
      <w:sz w:val="48"/>
    </w:rPr>
  </w:style>
  <w:style w:type="paragraph" w:styleId="10">
    <w:name w:val="Body Text Indent"/>
    <w:basedOn w:val="1"/>
    <w:next w:val="1"/>
    <w:unhideWhenUsed/>
    <w:qFormat/>
    <w:uiPriority w:val="99"/>
    <w:pPr>
      <w:spacing w:after="120"/>
      <w:ind w:left="420" w:leftChars="200"/>
    </w:pPr>
    <w:rPr>
      <w:rFonts w:ascii="Times New Roman" w:hAnsi="Times New Roman" w:eastAsia="宋体" w:cs="Times New Roman"/>
      <w:szCs w:val="24"/>
    </w:rPr>
  </w:style>
  <w:style w:type="paragraph" w:styleId="11">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2">
    <w:name w:val="Balloon Text"/>
    <w:basedOn w:val="1"/>
    <w:link w:val="41"/>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0"/>
    <w:pPr>
      <w:spacing w:before="120" w:after="120"/>
      <w:jc w:val="left"/>
    </w:pPr>
    <w:rPr>
      <w:b/>
      <w:bCs/>
      <w:caps/>
    </w:rPr>
  </w:style>
  <w:style w:type="paragraph" w:styleId="16">
    <w:name w:val="toc 4"/>
    <w:basedOn w:val="1"/>
    <w:next w:val="1"/>
    <w:qFormat/>
    <w:uiPriority w:val="0"/>
    <w:pPr>
      <w:ind w:left="1260" w:leftChars="600"/>
    </w:pPr>
  </w:style>
  <w:style w:type="paragraph" w:styleId="17">
    <w:name w:val="Body Text Indent 3"/>
    <w:basedOn w:val="1"/>
    <w:qFormat/>
    <w:uiPriority w:val="0"/>
    <w:pPr>
      <w:ind w:firstLine="560" w:firstLineChars="200"/>
    </w:pPr>
    <w:rPr>
      <w:rFonts w:ascii="仿宋_GB2312" w:eastAsia="仿宋_GB2312"/>
      <w:sz w:val="28"/>
    </w:rPr>
  </w:style>
  <w:style w:type="paragraph" w:styleId="18">
    <w:name w:val="toc 2"/>
    <w:basedOn w:val="1"/>
    <w:next w:val="1"/>
    <w:qFormat/>
    <w:uiPriority w:val="0"/>
    <w:pPr>
      <w:tabs>
        <w:tab w:val="right" w:leader="dot" w:pos="9038"/>
      </w:tabs>
      <w:spacing w:line="60" w:lineRule="atLeast"/>
      <w:ind w:left="210"/>
      <w:jc w:val="left"/>
    </w:pPr>
    <w:rPr>
      <w:smallCaps/>
    </w:rPr>
  </w:style>
  <w:style w:type="paragraph" w:styleId="19">
    <w:name w:val="Normal (Web)"/>
    <w:basedOn w:val="1"/>
    <w:qFormat/>
    <w:uiPriority w:val="0"/>
    <w:rPr>
      <w:rFonts w:ascii="Calibri" w:hAnsi="Calibri" w:eastAsia="宋体" w:cs="Times New Roman"/>
      <w:sz w:val="24"/>
    </w:rPr>
  </w:style>
  <w:style w:type="paragraph" w:styleId="20">
    <w:name w:val="annotation subject"/>
    <w:basedOn w:val="8"/>
    <w:next w:val="8"/>
    <w:link w:val="40"/>
    <w:qFormat/>
    <w:uiPriority w:val="0"/>
    <w:rPr>
      <w:b/>
      <w:bCs/>
    </w:rPr>
  </w:style>
  <w:style w:type="paragraph" w:styleId="21">
    <w:name w:val="Body Text First Indent"/>
    <w:basedOn w:val="9"/>
    <w:next w:val="22"/>
    <w:unhideWhenUsed/>
    <w:qFormat/>
    <w:uiPriority w:val="99"/>
    <w:pPr>
      <w:ind w:firstLine="420" w:firstLineChars="100"/>
    </w:pPr>
  </w:style>
  <w:style w:type="paragraph" w:styleId="22">
    <w:name w:val="Body Text First Indent 2"/>
    <w:basedOn w:val="10"/>
    <w:next w:val="1"/>
    <w:unhideWhenUsed/>
    <w:qFormat/>
    <w:uiPriority w:val="99"/>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page number"/>
    <w:basedOn w:val="25"/>
    <w:qFormat/>
    <w:uiPriority w:val="0"/>
  </w:style>
  <w:style w:type="character" w:styleId="27">
    <w:name w:val="Hyperlink"/>
    <w:basedOn w:val="25"/>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Char"/>
    <w:basedOn w:val="1"/>
    <w:qFormat/>
    <w:uiPriority w:val="0"/>
    <w:rPr>
      <w:szCs w:val="20"/>
    </w:rPr>
  </w:style>
  <w:style w:type="paragraph" w:customStyle="1" w:styleId="30">
    <w:name w:val="表格文字"/>
    <w:basedOn w:val="1"/>
    <w:next w:val="9"/>
    <w:qFormat/>
    <w:uiPriority w:val="0"/>
    <w:pPr>
      <w:spacing w:line="360" w:lineRule="auto"/>
      <w:jc w:val="left"/>
    </w:pPr>
    <w:rPr>
      <w:rFonts w:ascii="Times New Roman" w:hAnsi="Times New Roman"/>
      <w:bCs/>
      <w:spacing w:val="10"/>
      <w:kern w:val="0"/>
      <w:szCs w:val="21"/>
    </w:rPr>
  </w:style>
  <w:style w:type="paragraph" w:customStyle="1" w:styleId="31">
    <w:name w:val="正文1"/>
    <w:basedOn w:val="32"/>
    <w:qFormat/>
    <w:uiPriority w:val="0"/>
    <w:pPr>
      <w:jc w:val="both"/>
    </w:pPr>
    <w:rPr>
      <w:rFonts w:ascii="Times New Roman" w:hAnsi="Times New Roman" w:eastAsia="Times New Roman"/>
      <w:sz w:val="21"/>
    </w:rPr>
  </w:style>
  <w:style w:type="paragraph" w:customStyle="1" w:styleId="32">
    <w:name w:val="[Normal]"/>
    <w:qFormat/>
    <w:uiPriority w:val="0"/>
    <w:rPr>
      <w:rFonts w:ascii="宋体" w:hAnsi="宋体" w:eastAsiaTheme="minorEastAsia" w:cstheme="minorBidi"/>
      <w:sz w:val="24"/>
      <w:szCs w:val="22"/>
      <w:lang w:val="en-US" w:eastAsia="en-US" w:bidi="ar-SA"/>
    </w:rPr>
  </w:style>
  <w:style w:type="paragraph" w:customStyle="1" w:styleId="33">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4">
    <w:name w:val="C503-正文格式"/>
    <w:basedOn w:val="1"/>
    <w:qFormat/>
    <w:uiPriority w:val="0"/>
    <w:pPr>
      <w:spacing w:line="360" w:lineRule="auto"/>
      <w:ind w:firstLine="480" w:firstLineChars="200"/>
    </w:pPr>
    <w:rPr>
      <w:rFonts w:cs="宋体"/>
      <w:sz w:val="24"/>
      <w:szCs w:val="22"/>
    </w:rPr>
  </w:style>
  <w:style w:type="character" w:customStyle="1" w:styleId="35">
    <w:name w:val="font51"/>
    <w:basedOn w:val="25"/>
    <w:qFormat/>
    <w:uiPriority w:val="0"/>
    <w:rPr>
      <w:rFonts w:hint="eastAsia" w:ascii="仿宋" w:hAnsi="仿宋" w:eastAsia="仿宋" w:cs="仿宋"/>
      <w:color w:val="000000"/>
      <w:sz w:val="22"/>
      <w:szCs w:val="22"/>
      <w:u w:val="none"/>
    </w:rPr>
  </w:style>
  <w:style w:type="table" w:customStyle="1" w:styleId="36">
    <w:name w:val="网格型8"/>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列出段落1"/>
    <w:basedOn w:val="1"/>
    <w:qFormat/>
    <w:uiPriority w:val="34"/>
    <w:pPr>
      <w:ind w:firstLine="420"/>
    </w:pPr>
  </w:style>
  <w:style w:type="character" w:customStyle="1" w:styleId="38">
    <w:name w:val="font31"/>
    <w:basedOn w:val="25"/>
    <w:qFormat/>
    <w:uiPriority w:val="0"/>
    <w:rPr>
      <w:rFonts w:hint="eastAsia" w:ascii="宋体" w:hAnsi="宋体" w:eastAsia="宋体" w:cs="宋体"/>
      <w:color w:val="000000"/>
      <w:sz w:val="24"/>
      <w:szCs w:val="24"/>
      <w:u w:val="none"/>
    </w:rPr>
  </w:style>
  <w:style w:type="character" w:customStyle="1" w:styleId="39">
    <w:name w:val="批注文字 字符"/>
    <w:basedOn w:val="25"/>
    <w:link w:val="8"/>
    <w:qFormat/>
    <w:uiPriority w:val="0"/>
    <w:rPr>
      <w:rFonts w:asciiTheme="minorHAnsi" w:hAnsiTheme="minorHAnsi" w:eastAsiaTheme="minorEastAsia" w:cstheme="minorBidi"/>
      <w:kern w:val="2"/>
      <w:sz w:val="21"/>
      <w:szCs w:val="24"/>
    </w:rPr>
  </w:style>
  <w:style w:type="character" w:customStyle="1" w:styleId="40">
    <w:name w:val="批注主题 字符"/>
    <w:basedOn w:val="39"/>
    <w:link w:val="20"/>
    <w:qFormat/>
    <w:uiPriority w:val="0"/>
    <w:rPr>
      <w:rFonts w:asciiTheme="minorHAnsi" w:hAnsiTheme="minorHAnsi" w:eastAsiaTheme="minorEastAsia" w:cstheme="minorBidi"/>
      <w:b/>
      <w:bCs/>
      <w:kern w:val="2"/>
      <w:sz w:val="21"/>
      <w:szCs w:val="24"/>
    </w:rPr>
  </w:style>
  <w:style w:type="character" w:customStyle="1" w:styleId="41">
    <w:name w:val="批注框文本 字符"/>
    <w:basedOn w:val="25"/>
    <w:link w:val="12"/>
    <w:qFormat/>
    <w:uiPriority w:val="0"/>
    <w:rPr>
      <w:rFonts w:asciiTheme="minorHAnsi" w:hAnsiTheme="minorHAnsi" w:eastAsiaTheme="minorEastAsia" w:cstheme="minorBidi"/>
      <w:kern w:val="2"/>
      <w:sz w:val="18"/>
      <w:szCs w:val="18"/>
    </w:rPr>
  </w:style>
  <w:style w:type="paragraph" w:customStyle="1" w:styleId="42">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3">
    <w:name w:val="列表段落1"/>
    <w:basedOn w:val="1"/>
    <w:qFormat/>
    <w:uiPriority w:val="99"/>
    <w:pPr>
      <w:ind w:firstLine="420" w:firstLineChars="200"/>
    </w:pPr>
  </w:style>
  <w:style w:type="character" w:customStyle="1" w:styleId="44">
    <w:name w:val="未处理的提及1"/>
    <w:basedOn w:val="25"/>
    <w:unhideWhenUsed/>
    <w:qFormat/>
    <w:uiPriority w:val="99"/>
    <w:rPr>
      <w:color w:val="605E5C"/>
      <w:shd w:val="clear" w:color="auto" w:fill="E1DFDD"/>
    </w:rPr>
  </w:style>
  <w:style w:type="paragraph" w:customStyle="1" w:styleId="45">
    <w:name w:val="正文缩进1"/>
    <w:basedOn w:val="1"/>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37</Pages>
  <Words>815</Words>
  <Characters>4646</Characters>
  <Lines>38</Lines>
  <Paragraphs>10</Paragraphs>
  <TotalTime>1</TotalTime>
  <ScaleCrop>false</ScaleCrop>
  <LinksUpToDate>false</LinksUpToDate>
  <CharactersWithSpaces>5451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土豆王子</cp:lastModifiedBy>
  <cp:lastPrinted>2020-09-21T05:55:00Z</cp:lastPrinted>
  <dcterms:modified xsi:type="dcterms:W3CDTF">2026-02-27T04:38:44Z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D17983B13E7A446DA8F26C92DEE588F9</vt:lpwstr>
  </property>
</Properties>
</file>