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48764">
      <w:pPr>
        <w:keepNext w:val="0"/>
        <w:keepLines w:val="0"/>
        <w:pageBreakBefore w:val="0"/>
        <w:kinsoku/>
        <w:wordWrap/>
        <w:overflowPunct/>
        <w:topLinePunct w:val="0"/>
        <w:autoSpaceDN/>
        <w:bidi w:val="0"/>
        <w:adjustRightInd w:val="0"/>
        <w:snapToGrid w:val="0"/>
        <w:spacing w:line="540" w:lineRule="exact"/>
        <w:ind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石家庄市大气环境质量限期达标规划</w:t>
      </w:r>
    </w:p>
    <w:p w14:paraId="0A5ABCFB">
      <w:pPr>
        <w:keepNext w:val="0"/>
        <w:keepLines w:val="0"/>
        <w:pageBreakBefore w:val="0"/>
        <w:kinsoku/>
        <w:wordWrap/>
        <w:overflowPunct/>
        <w:topLinePunct w:val="0"/>
        <w:autoSpaceDN/>
        <w:bidi w:val="0"/>
        <w:spacing w:line="540" w:lineRule="exact"/>
        <w:jc w:val="center"/>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（征求意见稿）</w:t>
      </w:r>
    </w:p>
    <w:p w14:paraId="588C109A">
      <w:pPr>
        <w:keepNext w:val="0"/>
        <w:keepLines w:val="0"/>
        <w:pageBreakBefore w:val="0"/>
        <w:kinsoku/>
        <w:wordWrap/>
        <w:overflowPunct/>
        <w:topLinePunct w:val="0"/>
        <w:autoSpaceDN/>
        <w:bidi w:val="0"/>
        <w:spacing w:line="540" w:lineRule="exact"/>
        <w:ind w:firstLine="640"/>
        <w:textAlignment w:val="auto"/>
        <w:rPr>
          <w:rFonts w:hint="eastAsia" w:eastAsia="仿宋" w:cs="Times New Roman"/>
          <w:sz w:val="32"/>
          <w:szCs w:val="32"/>
        </w:rPr>
      </w:pPr>
    </w:p>
    <w:p w14:paraId="56109EC2">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为深入打好蓝天保卫战，推动我市空气质量持续改善，依据</w:t>
      </w:r>
      <w:r>
        <w:rPr>
          <w:rFonts w:ascii="Times New Roman" w:hAnsi="Times New Roman" w:eastAsia="仿宋" w:cs="Times New Roman"/>
          <w:sz w:val="32"/>
          <w:szCs w:val="32"/>
        </w:rPr>
        <w:t>《中华人民共和国大气污染防治法》</w:t>
      </w:r>
      <w:r>
        <w:rPr>
          <w:rFonts w:hint="eastAsia" w:ascii="Times New Roman" w:hAnsi="Times New Roman" w:eastAsia="仿宋" w:cs="Times New Roman"/>
          <w:sz w:val="32"/>
          <w:szCs w:val="32"/>
        </w:rPr>
        <w:t>《河北省大气污染防治条例》等</w:t>
      </w:r>
      <w:r>
        <w:rPr>
          <w:rFonts w:ascii="Times New Roman" w:hAnsi="Times New Roman" w:eastAsia="仿宋" w:cs="Times New Roman"/>
          <w:sz w:val="32"/>
          <w:szCs w:val="32"/>
        </w:rPr>
        <w:t>要求，结合我市实际情况，制定本规划。</w:t>
      </w:r>
    </w:p>
    <w:p w14:paraId="16D916E2">
      <w:pPr>
        <w:pStyle w:val="28"/>
        <w:keepNext w:val="0"/>
        <w:keepLines w:val="0"/>
        <w:pageBreakBefore w:val="0"/>
        <w:numPr>
          <w:ilvl w:val="0"/>
          <w:numId w:val="0"/>
        </w:numPr>
        <w:kinsoku/>
        <w:wordWrap/>
        <w:overflowPunct/>
        <w:topLinePunct w:val="0"/>
        <w:autoSpaceDN/>
        <w:bidi w:val="0"/>
        <w:spacing w:line="540" w:lineRule="exact"/>
        <w:ind w:firstLine="640" w:firstLineChars="200"/>
        <w:textAlignment w:val="auto"/>
        <w:outlineLvl w:val="0"/>
        <w:rPr>
          <w:rFonts w:hint="default" w:ascii="Times New Roman" w:hAnsi="Times New Roman" w:eastAsia="黑体" w:cs="黑体"/>
          <w:sz w:val="32"/>
          <w:szCs w:val="32"/>
          <w:lang w:val="en-US"/>
        </w:rPr>
      </w:pPr>
      <w:bookmarkStart w:id="0" w:name="_Toc30767"/>
      <w:r>
        <w:rPr>
          <w:rFonts w:hint="eastAsia" w:ascii="Times New Roman" w:hAnsi="Times New Roman" w:eastAsia="黑体" w:cs="黑体"/>
          <w:sz w:val="32"/>
          <w:szCs w:val="32"/>
          <w:lang w:eastAsia="zh-CN"/>
        </w:rPr>
        <w:t>一、</w:t>
      </w:r>
      <w:r>
        <w:rPr>
          <w:rFonts w:hint="eastAsia" w:ascii="Times New Roman" w:hAnsi="Times New Roman" w:eastAsia="黑体" w:cs="黑体"/>
          <w:sz w:val="32"/>
          <w:szCs w:val="32"/>
        </w:rPr>
        <w:t>空气质量</w:t>
      </w:r>
      <w:r>
        <w:rPr>
          <w:rFonts w:hint="eastAsia" w:ascii="Times New Roman" w:hAnsi="Times New Roman" w:eastAsia="黑体" w:cs="黑体"/>
          <w:sz w:val="32"/>
          <w:szCs w:val="32"/>
          <w:lang w:eastAsia="zh-CN"/>
        </w:rPr>
        <w:t>现状分析</w:t>
      </w:r>
    </w:p>
    <w:p w14:paraId="56A74D72">
      <w:pPr>
        <w:keepNext w:val="0"/>
        <w:keepLines w:val="0"/>
        <w:pageBreakBefore w:val="0"/>
        <w:kinsoku/>
        <w:wordWrap/>
        <w:overflowPunct/>
        <w:topLinePunct w:val="0"/>
        <w:autoSpaceDN/>
        <w:bidi w:val="0"/>
        <w:spacing w:line="540" w:lineRule="exact"/>
        <w:ind w:left="0" w:firstLine="640" w:firstLineChars="200"/>
        <w:textAlignment w:val="auto"/>
        <w:outlineLvl w:val="0"/>
        <w:rPr>
          <w:rFonts w:ascii="Times New Roman" w:hAnsi="Times New Roman" w:eastAsia="楷体" w:cs="楷体"/>
          <w:sz w:val="32"/>
          <w:szCs w:val="32"/>
        </w:rPr>
      </w:pPr>
      <w:r>
        <w:rPr>
          <w:rFonts w:hint="eastAsia" w:ascii="Times New Roman" w:hAnsi="Times New Roman" w:eastAsia="楷体" w:cs="楷体"/>
          <w:sz w:val="32"/>
          <w:szCs w:val="32"/>
        </w:rPr>
        <w:t>（一）空气质量现状</w:t>
      </w:r>
    </w:p>
    <w:p w14:paraId="6B52E780">
      <w:pPr>
        <w:keepNext w:val="0"/>
        <w:keepLines w:val="0"/>
        <w:pageBreakBefore w:val="0"/>
        <w:kinsoku/>
        <w:wordWrap/>
        <w:overflowPunct/>
        <w:topLinePunct w:val="0"/>
        <w:autoSpaceDN/>
        <w:bidi w:val="0"/>
        <w:spacing w:line="540" w:lineRule="exact"/>
        <w:ind w:left="0" w:firstLine="640" w:firstLineChars="200"/>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近年来，石家庄市空气质量改善成效显著。2024年，综合指数为4.615，较2020年下降22.6%；PM</w:t>
      </w:r>
      <w:r>
        <w:rPr>
          <w:rFonts w:hint="eastAsia"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、PM</w:t>
      </w:r>
      <w:r>
        <w:rPr>
          <w:rFonts w:hint="eastAsia" w:ascii="Times New Roman" w:hAnsi="Times New Roman" w:eastAsia="仿宋" w:cs="Times New Roman"/>
          <w:sz w:val="32"/>
          <w:szCs w:val="32"/>
          <w:vertAlign w:val="subscript"/>
        </w:rPr>
        <w:t>10</w:t>
      </w:r>
      <w:r>
        <w:rPr>
          <w:rFonts w:hint="eastAsia" w:ascii="Times New Roman" w:hAnsi="Times New Roman" w:eastAsia="仿宋" w:cs="Times New Roman"/>
          <w:sz w:val="32"/>
          <w:szCs w:val="32"/>
        </w:rPr>
        <w:t>、SO</w:t>
      </w:r>
      <w:r>
        <w:rPr>
          <w:rFonts w:hint="eastAsia" w:ascii="Times New Roman" w:hAnsi="Times New Roman" w:eastAsia="仿宋" w:cs="Times New Roman"/>
          <w:sz w:val="32"/>
          <w:szCs w:val="32"/>
          <w:vertAlign w:val="subscript"/>
        </w:rPr>
        <w:t>2</w:t>
      </w:r>
      <w:r>
        <w:rPr>
          <w:rFonts w:hint="eastAsia" w:ascii="Times New Roman" w:hAnsi="Times New Roman" w:eastAsia="仿宋" w:cs="Times New Roman"/>
          <w:sz w:val="32"/>
          <w:szCs w:val="32"/>
        </w:rPr>
        <w:t>、NO</w:t>
      </w:r>
      <w:r>
        <w:rPr>
          <w:rFonts w:hint="eastAsia" w:ascii="Times New Roman" w:hAnsi="Times New Roman" w:eastAsia="仿宋" w:cs="Times New Roman"/>
          <w:sz w:val="32"/>
          <w:szCs w:val="32"/>
          <w:vertAlign w:val="subscript"/>
        </w:rPr>
        <w:t>2</w:t>
      </w:r>
      <w:r>
        <w:rPr>
          <w:rFonts w:hint="eastAsia" w:ascii="Times New Roman" w:hAnsi="Times New Roman" w:eastAsia="仿宋" w:cs="Times New Roman"/>
          <w:sz w:val="32"/>
          <w:szCs w:val="32"/>
        </w:rPr>
        <w:t>、CO-95per浓度较2020年分别下降21.6%、22.5%、59.2%、33.9%、43.8%，仅O</w:t>
      </w:r>
      <w:r>
        <w:rPr>
          <w:rFonts w:hint="eastAsia" w:ascii="Times New Roman" w:hAnsi="Times New Roman" w:eastAsia="仿宋" w:cs="Times New Roman"/>
          <w:sz w:val="32"/>
          <w:szCs w:val="32"/>
          <w:vertAlign w:val="subscript"/>
        </w:rPr>
        <w:t>3</w:t>
      </w:r>
      <w:r>
        <w:rPr>
          <w:rFonts w:hint="eastAsia" w:ascii="Times New Roman" w:hAnsi="Times New Roman" w:eastAsia="仿宋" w:cs="Times New Roman"/>
          <w:sz w:val="32"/>
          <w:szCs w:val="32"/>
        </w:rPr>
        <w:t>-8H-90per浓度小幅反弹1.4%；优良天数为236天，较2020年增加31天；重度及以上污染天为7天，较2020年减少14天。</w:t>
      </w:r>
    </w:p>
    <w:p w14:paraId="66881894">
      <w:pPr>
        <w:keepNext w:val="0"/>
        <w:keepLines w:val="0"/>
        <w:pageBreakBefore w:val="0"/>
        <w:kinsoku/>
        <w:wordWrap/>
        <w:overflowPunct/>
        <w:topLinePunct w:val="0"/>
        <w:autoSpaceDN/>
        <w:bidi w:val="0"/>
        <w:spacing w:line="540" w:lineRule="exact"/>
        <w:ind w:left="0" w:firstLine="640" w:firstLineChars="200"/>
        <w:textAlignment w:val="auto"/>
        <w:outlineLvl w:val="0"/>
        <w:rPr>
          <w:rFonts w:ascii="Times New Roman" w:hAnsi="Times New Roman" w:eastAsia="楷体" w:cs="楷体"/>
          <w:sz w:val="32"/>
          <w:szCs w:val="32"/>
        </w:rPr>
      </w:pPr>
      <w:r>
        <w:rPr>
          <w:rFonts w:hint="eastAsia" w:ascii="Times New Roman" w:hAnsi="Times New Roman" w:eastAsia="楷体" w:cs="楷体"/>
          <w:sz w:val="32"/>
          <w:szCs w:val="32"/>
        </w:rPr>
        <w:t>（二）大气污染物排放来源</w:t>
      </w:r>
    </w:p>
    <w:p w14:paraId="0E23C201">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根据石家庄市2023年大气污染物和温室气体融合排放清单初步测算，全市SO</w:t>
      </w:r>
      <w:r>
        <w:rPr>
          <w:rFonts w:hint="eastAsia" w:ascii="Times New Roman" w:hAnsi="Times New Roman" w:eastAsia="仿宋" w:cs="Times New Roman"/>
          <w:sz w:val="32"/>
          <w:szCs w:val="32"/>
          <w:vertAlign w:val="subscript"/>
        </w:rPr>
        <w:t>2</w:t>
      </w:r>
      <w:r>
        <w:rPr>
          <w:rFonts w:hint="eastAsia" w:ascii="Times New Roman" w:hAnsi="Times New Roman" w:eastAsia="仿宋" w:cs="Times New Roman"/>
          <w:sz w:val="32"/>
          <w:szCs w:val="32"/>
        </w:rPr>
        <w:t>、NOx 、VOCs、NH</w:t>
      </w:r>
      <w:r>
        <w:rPr>
          <w:rFonts w:hint="eastAsia" w:ascii="Times New Roman" w:hAnsi="Times New Roman" w:eastAsia="仿宋" w:cs="Times New Roman"/>
          <w:sz w:val="32"/>
          <w:szCs w:val="32"/>
          <w:vertAlign w:val="subscript"/>
        </w:rPr>
        <w:t>3</w:t>
      </w:r>
      <w:r>
        <w:rPr>
          <w:rFonts w:hint="eastAsia" w:ascii="Times New Roman" w:hAnsi="Times New Roman" w:eastAsia="仿宋" w:cs="Times New Roman"/>
          <w:sz w:val="32"/>
          <w:szCs w:val="32"/>
        </w:rPr>
        <w:t>、PM</w:t>
      </w:r>
      <w:r>
        <w:rPr>
          <w:rFonts w:hint="eastAsia" w:ascii="Times New Roman" w:hAnsi="Times New Roman" w:eastAsia="仿宋" w:cs="Times New Roman"/>
          <w:sz w:val="32"/>
          <w:szCs w:val="32"/>
          <w:vertAlign w:val="subscript"/>
        </w:rPr>
        <w:t>10</w:t>
      </w:r>
      <w:r>
        <w:rPr>
          <w:rFonts w:hint="eastAsia" w:ascii="Times New Roman" w:hAnsi="Times New Roman" w:eastAsia="仿宋" w:cs="Times New Roman"/>
          <w:sz w:val="32"/>
          <w:szCs w:val="32"/>
        </w:rPr>
        <w:t>和一次PM</w:t>
      </w:r>
      <w:r>
        <w:rPr>
          <w:rFonts w:hint="eastAsia"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排放量分别为1.46万吨、11.69万吨、7.75万吨、9.77万吨、12.45万吨和4.99万吨。SO</w:t>
      </w:r>
      <w:r>
        <w:rPr>
          <w:rFonts w:hint="eastAsia" w:ascii="Times New Roman" w:hAnsi="Times New Roman" w:eastAsia="仿宋" w:cs="Times New Roman"/>
          <w:sz w:val="32"/>
          <w:szCs w:val="32"/>
          <w:vertAlign w:val="subscript"/>
        </w:rPr>
        <w:t>2</w:t>
      </w:r>
      <w:r>
        <w:rPr>
          <w:rFonts w:hint="eastAsia" w:ascii="Times New Roman" w:hAnsi="Times New Roman" w:eastAsia="仿宋" w:cs="Times New Roman"/>
          <w:sz w:val="32"/>
          <w:szCs w:val="32"/>
        </w:rPr>
        <w:t>排放主要来自钢铁、工业锅炉、民用炉灶、电力供热和石化化工，占总排放的84.3%；NOx排放主要来自机动车和非道路移动机械，占总排放的78.9%；VOCs排放主要来自机动车和石化化工，占总排放的45.7%；NH</w:t>
      </w:r>
      <w:r>
        <w:rPr>
          <w:rFonts w:hint="eastAsia" w:ascii="Times New Roman" w:hAnsi="Times New Roman" w:eastAsia="仿宋" w:cs="Times New Roman"/>
          <w:sz w:val="32"/>
          <w:szCs w:val="32"/>
          <w:vertAlign w:val="subscript"/>
        </w:rPr>
        <w:t>3</w:t>
      </w:r>
      <w:r>
        <w:rPr>
          <w:rFonts w:hint="eastAsia" w:ascii="Times New Roman" w:hAnsi="Times New Roman" w:eastAsia="仿宋" w:cs="Times New Roman"/>
          <w:sz w:val="32"/>
          <w:szCs w:val="32"/>
        </w:rPr>
        <w:t>排放主要来自畜禽养殖和氮肥施用，占总排放的87.4%；PM</w:t>
      </w:r>
      <w:r>
        <w:rPr>
          <w:rFonts w:hint="eastAsia" w:ascii="Times New Roman" w:hAnsi="Times New Roman" w:eastAsia="仿宋" w:cs="Times New Roman"/>
          <w:sz w:val="32"/>
          <w:szCs w:val="32"/>
          <w:vertAlign w:val="subscript"/>
        </w:rPr>
        <w:t>10</w:t>
      </w:r>
      <w:r>
        <w:rPr>
          <w:rFonts w:hint="eastAsia" w:ascii="Times New Roman" w:hAnsi="Times New Roman" w:eastAsia="仿宋" w:cs="Times New Roman"/>
          <w:sz w:val="32"/>
          <w:szCs w:val="32"/>
        </w:rPr>
        <w:t>和一次PM</w:t>
      </w:r>
      <w:r>
        <w:rPr>
          <w:rFonts w:hint="eastAsia"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排放均主要来自道路扬尘、土壤扬尘、施工扬尘、生活民用炉灶、钢铁、水泥、石化与化工等，分别占总排放的90.0%和83.8%。</w:t>
      </w:r>
    </w:p>
    <w:p w14:paraId="0CD66AD8">
      <w:pPr>
        <w:keepNext w:val="0"/>
        <w:keepLines w:val="0"/>
        <w:pageBreakBefore w:val="0"/>
        <w:kinsoku/>
        <w:wordWrap/>
        <w:overflowPunct/>
        <w:topLinePunct w:val="0"/>
        <w:autoSpaceDN/>
        <w:bidi w:val="0"/>
        <w:spacing w:line="540" w:lineRule="exact"/>
        <w:ind w:left="0" w:firstLine="640" w:firstLineChars="200"/>
        <w:textAlignment w:val="auto"/>
        <w:outlineLvl w:val="0"/>
        <w:rPr>
          <w:rFonts w:ascii="Times New Roman" w:hAnsi="Times New Roman" w:eastAsia="楷体" w:cs="楷体"/>
          <w:sz w:val="32"/>
          <w:szCs w:val="32"/>
        </w:rPr>
      </w:pPr>
      <w:r>
        <w:rPr>
          <w:rFonts w:hint="eastAsia" w:ascii="Times New Roman" w:hAnsi="Times New Roman" w:eastAsia="楷体" w:cs="楷体"/>
          <w:sz w:val="32"/>
          <w:szCs w:val="32"/>
        </w:rPr>
        <w:t>（三）面临的挑战</w:t>
      </w:r>
    </w:p>
    <w:p w14:paraId="24DC181E">
      <w:pPr>
        <w:keepNext w:val="0"/>
        <w:keepLines w:val="0"/>
        <w:pageBreakBefore w:val="0"/>
        <w:kinsoku/>
        <w:wordWrap/>
        <w:overflowPunct/>
        <w:topLinePunct w:val="0"/>
        <w:autoSpaceDN/>
        <w:bidi w:val="0"/>
        <w:spacing w:line="540" w:lineRule="exact"/>
        <w:ind w:left="0" w:firstLine="640" w:firstLineChars="200"/>
        <w:textAlignment w:val="auto"/>
        <w:outlineLvl w:val="9"/>
        <w:rPr>
          <w:rFonts w:ascii="Times New Roman" w:hAnsi="Times New Roman" w:eastAsia="仿宋" w:cs="Times New Roman"/>
          <w:b w:val="0"/>
          <w:bCs w:val="0"/>
          <w:sz w:val="32"/>
          <w:szCs w:val="32"/>
        </w:rPr>
      </w:pPr>
      <w:bookmarkStart w:id="1" w:name="_Toc58590721"/>
      <w:bookmarkStart w:id="2" w:name="_Toc56038084"/>
      <w:bookmarkStart w:id="3" w:name="_Toc56424537"/>
      <w:bookmarkStart w:id="4" w:name="_Toc51075150"/>
      <w:bookmarkStart w:id="5" w:name="_Toc82803842"/>
      <w:bookmarkStart w:id="6" w:name="_Toc90633574"/>
      <w:bookmarkStart w:id="7" w:name="_Toc47556919"/>
      <w:r>
        <w:rPr>
          <w:rFonts w:hint="eastAsia" w:ascii="Times New Roman" w:hAnsi="Times New Roman" w:eastAsia="仿宋" w:cs="Times New Roman"/>
          <w:b w:val="0"/>
          <w:bCs w:val="0"/>
          <w:sz w:val="32"/>
          <w:szCs w:val="32"/>
        </w:rPr>
        <w:t>污染治理成效稳固，</w:t>
      </w:r>
      <w:r>
        <w:rPr>
          <w:rFonts w:ascii="Times New Roman" w:hAnsi="Times New Roman" w:eastAsia="仿宋" w:cs="Times New Roman"/>
          <w:b w:val="0"/>
          <w:bCs w:val="0"/>
          <w:sz w:val="32"/>
          <w:szCs w:val="32"/>
        </w:rPr>
        <w:t>PM</w:t>
      </w:r>
      <w:r>
        <w:rPr>
          <w:rFonts w:ascii="Times New Roman" w:hAnsi="Times New Roman" w:eastAsia="仿宋" w:cs="Times New Roman"/>
          <w:b w:val="0"/>
          <w:bCs w:val="0"/>
          <w:sz w:val="32"/>
          <w:szCs w:val="32"/>
          <w:vertAlign w:val="subscript"/>
        </w:rPr>
        <w:t>2.5</w:t>
      </w:r>
      <w:r>
        <w:rPr>
          <w:rFonts w:hint="eastAsia" w:ascii="Times New Roman" w:hAnsi="Times New Roman" w:eastAsia="仿宋" w:cs="Times New Roman"/>
          <w:b w:val="0"/>
          <w:bCs w:val="0"/>
          <w:sz w:val="32"/>
          <w:szCs w:val="32"/>
        </w:rPr>
        <w:t>和</w:t>
      </w:r>
      <w:r>
        <w:rPr>
          <w:rFonts w:ascii="Times New Roman" w:hAnsi="Times New Roman" w:eastAsia="仿宋" w:cs="Times New Roman"/>
          <w:b w:val="0"/>
          <w:bCs w:val="0"/>
          <w:sz w:val="32"/>
          <w:szCs w:val="32"/>
        </w:rPr>
        <w:t>O</w:t>
      </w:r>
      <w:r>
        <w:rPr>
          <w:rFonts w:ascii="Times New Roman" w:hAnsi="Times New Roman" w:eastAsia="仿宋" w:cs="Times New Roman"/>
          <w:b w:val="0"/>
          <w:bCs w:val="0"/>
          <w:sz w:val="32"/>
          <w:szCs w:val="32"/>
          <w:vertAlign w:val="subscript"/>
        </w:rPr>
        <w:t>3</w:t>
      </w:r>
      <w:r>
        <w:rPr>
          <w:rFonts w:hint="eastAsia" w:ascii="Times New Roman" w:hAnsi="Times New Roman" w:eastAsia="仿宋" w:cs="Times New Roman"/>
          <w:b w:val="0"/>
          <w:bCs w:val="0"/>
          <w:sz w:val="32"/>
          <w:szCs w:val="32"/>
        </w:rPr>
        <w:t>防控亟待加强。</w:t>
      </w:r>
      <w:r>
        <w:rPr>
          <w:rFonts w:ascii="Times New Roman" w:hAnsi="Times New Roman" w:eastAsia="仿宋" w:cs="Times New Roman"/>
          <w:sz w:val="32"/>
          <w:szCs w:val="32"/>
        </w:rPr>
        <w:t>2021</w:t>
      </w:r>
      <w:r>
        <w:rPr>
          <w:rFonts w:hint="eastAsia" w:ascii="Times New Roman" w:hAnsi="Times New Roman" w:eastAsia="仿宋" w:cs="Times New Roman"/>
          <w:sz w:val="32"/>
          <w:szCs w:val="32"/>
        </w:rPr>
        <w:t>年—</w:t>
      </w:r>
      <w:r>
        <w:rPr>
          <w:rFonts w:ascii="Times New Roman" w:hAnsi="Times New Roman" w:eastAsia="仿宋" w:cs="Times New Roman"/>
          <w:sz w:val="32"/>
          <w:szCs w:val="32"/>
        </w:rPr>
        <w:t>2024</w:t>
      </w:r>
      <w:r>
        <w:rPr>
          <w:rFonts w:hint="eastAsia" w:ascii="Times New Roman" w:hAnsi="Times New Roman" w:eastAsia="仿宋" w:cs="Times New Roman"/>
          <w:sz w:val="32"/>
          <w:szCs w:val="32"/>
        </w:rPr>
        <w:t>年，石家庄市</w:t>
      </w:r>
      <w:r>
        <w:rPr>
          <w:rFonts w:ascii="Times New Roman" w:hAnsi="Times New Roman" w:eastAsia="仿宋" w:cs="Times New Roman"/>
          <w:sz w:val="32"/>
          <w:szCs w:val="32"/>
        </w:rPr>
        <w:t>SO</w:t>
      </w:r>
      <w:r>
        <w:rPr>
          <w:rFonts w:ascii="Times New Roman" w:hAnsi="Times New Roman" w:eastAsia="仿宋" w:cs="Times New Roman"/>
          <w:sz w:val="32"/>
          <w:szCs w:val="32"/>
          <w:vertAlign w:val="subscript"/>
        </w:rPr>
        <w:t>2</w:t>
      </w:r>
      <w:r>
        <w:rPr>
          <w:rFonts w:hint="eastAsia" w:ascii="Times New Roman" w:hAnsi="Times New Roman" w:eastAsia="仿宋" w:cs="Times New Roman"/>
          <w:sz w:val="32"/>
          <w:szCs w:val="32"/>
        </w:rPr>
        <w:t>、</w:t>
      </w:r>
      <w:r>
        <w:rPr>
          <w:rFonts w:ascii="Times New Roman" w:hAnsi="Times New Roman" w:eastAsia="仿宋" w:cs="Times New Roman"/>
          <w:sz w:val="32"/>
          <w:szCs w:val="32"/>
        </w:rPr>
        <w:t>NO</w:t>
      </w:r>
      <w:r>
        <w:rPr>
          <w:rFonts w:ascii="Times New Roman" w:hAnsi="Times New Roman" w:eastAsia="仿宋" w:cs="Times New Roman"/>
          <w:sz w:val="32"/>
          <w:szCs w:val="32"/>
          <w:vertAlign w:val="subscript"/>
        </w:rPr>
        <w:t>2</w:t>
      </w:r>
      <w:r>
        <w:rPr>
          <w:rFonts w:hint="eastAsia" w:ascii="Times New Roman" w:hAnsi="Times New Roman" w:eastAsia="仿宋" w:cs="Times New Roman"/>
          <w:sz w:val="32"/>
          <w:szCs w:val="32"/>
        </w:rPr>
        <w:t>和</w:t>
      </w:r>
      <w:r>
        <w:rPr>
          <w:rFonts w:ascii="Times New Roman" w:hAnsi="Times New Roman" w:eastAsia="仿宋" w:cs="Times New Roman"/>
          <w:sz w:val="32"/>
          <w:szCs w:val="32"/>
        </w:rPr>
        <w:t>CO</w:t>
      </w:r>
      <w:r>
        <w:rPr>
          <w:rFonts w:hint="eastAsia" w:ascii="Times New Roman" w:hAnsi="Times New Roman" w:eastAsia="仿宋" w:cs="Times New Roman"/>
          <w:sz w:val="32"/>
          <w:szCs w:val="32"/>
        </w:rPr>
        <w:t>浓度稳定达到国家空气质量二级标准并呈现持续下降趋势，但2024年</w:t>
      </w:r>
      <w:r>
        <w:rPr>
          <w:rFonts w:ascii="Times New Roman" w:hAnsi="Times New Roman" w:eastAsia="仿宋" w:cs="Times New Roman"/>
          <w:sz w:val="32"/>
          <w:szCs w:val="32"/>
        </w:rPr>
        <w:t>PM</w:t>
      </w:r>
      <w:r>
        <w:rPr>
          <w:rFonts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w:t>
      </w:r>
      <w:r>
        <w:rPr>
          <w:rFonts w:ascii="Times New Roman" w:hAnsi="Times New Roman" w:eastAsia="仿宋" w:cs="Times New Roman"/>
          <w:sz w:val="32"/>
          <w:szCs w:val="32"/>
        </w:rPr>
        <w:t>PM</w:t>
      </w:r>
      <w:r>
        <w:rPr>
          <w:rFonts w:ascii="Times New Roman" w:hAnsi="Times New Roman" w:eastAsia="仿宋" w:cs="Times New Roman"/>
          <w:sz w:val="32"/>
          <w:szCs w:val="32"/>
          <w:vertAlign w:val="subscript"/>
        </w:rPr>
        <w:t>10</w:t>
      </w:r>
      <w:r>
        <w:rPr>
          <w:rFonts w:hint="eastAsia" w:ascii="Times New Roman" w:hAnsi="Times New Roman" w:eastAsia="仿宋" w:cs="Times New Roman"/>
          <w:sz w:val="32"/>
          <w:szCs w:val="32"/>
        </w:rPr>
        <w:t>和</w:t>
      </w:r>
      <w:r>
        <w:rPr>
          <w:rFonts w:ascii="Times New Roman" w:hAnsi="Times New Roman" w:eastAsia="仿宋" w:cs="Times New Roman"/>
          <w:sz w:val="32"/>
          <w:szCs w:val="32"/>
        </w:rPr>
        <w:t>O</w:t>
      </w:r>
      <w:r>
        <w:rPr>
          <w:rFonts w:ascii="Times New Roman" w:hAnsi="Times New Roman" w:eastAsia="仿宋" w:cs="Times New Roman"/>
          <w:sz w:val="32"/>
          <w:szCs w:val="32"/>
          <w:vertAlign w:val="subscript"/>
        </w:rPr>
        <w:t>3</w:t>
      </w:r>
      <w:r>
        <w:rPr>
          <w:rFonts w:hint="eastAsia" w:ascii="Times New Roman" w:hAnsi="Times New Roman" w:eastAsia="仿宋" w:cs="Times New Roman"/>
          <w:sz w:val="32"/>
          <w:szCs w:val="32"/>
        </w:rPr>
        <w:t>年均浓度仍分别超出国家环境空气质量二级标准的</w:t>
      </w:r>
      <w:r>
        <w:rPr>
          <w:rFonts w:ascii="Times New Roman" w:hAnsi="Times New Roman" w:eastAsia="仿宋" w:cs="Times New Roman"/>
          <w:sz w:val="32"/>
          <w:szCs w:val="32"/>
        </w:rPr>
        <w:t>31.4%</w:t>
      </w:r>
      <w:r>
        <w:rPr>
          <w:rFonts w:hint="eastAsia" w:ascii="Times New Roman" w:hAnsi="Times New Roman" w:eastAsia="仿宋" w:cs="Times New Roman"/>
          <w:sz w:val="32"/>
          <w:szCs w:val="32"/>
        </w:rPr>
        <w:t>、</w:t>
      </w:r>
      <w:r>
        <w:rPr>
          <w:rFonts w:ascii="Times New Roman" w:hAnsi="Times New Roman" w:eastAsia="仿宋" w:cs="Times New Roman"/>
          <w:sz w:val="32"/>
          <w:szCs w:val="32"/>
        </w:rPr>
        <w:t>11.4%</w:t>
      </w:r>
      <w:r>
        <w:rPr>
          <w:rFonts w:hint="eastAsia" w:ascii="Times New Roman" w:hAnsi="Times New Roman" w:eastAsia="仿宋" w:cs="Times New Roman"/>
          <w:sz w:val="32"/>
          <w:szCs w:val="32"/>
        </w:rPr>
        <w:t>、</w:t>
      </w:r>
      <w:r>
        <w:rPr>
          <w:rFonts w:ascii="Times New Roman" w:hAnsi="Times New Roman" w:eastAsia="仿宋" w:cs="Times New Roman"/>
          <w:sz w:val="32"/>
          <w:szCs w:val="32"/>
        </w:rPr>
        <w:t>14.4%</w:t>
      </w:r>
      <w:r>
        <w:rPr>
          <w:rFonts w:hint="eastAsia" w:ascii="Times New Roman" w:hAnsi="Times New Roman" w:eastAsia="仿宋" w:cs="Times New Roman"/>
          <w:sz w:val="32"/>
          <w:szCs w:val="32"/>
        </w:rPr>
        <w:t>。</w:t>
      </w:r>
      <w:r>
        <w:rPr>
          <w:rFonts w:ascii="Times New Roman" w:hAnsi="Times New Roman" w:eastAsia="仿宋" w:cs="Times New Roman"/>
          <w:sz w:val="32"/>
          <w:szCs w:val="32"/>
        </w:rPr>
        <w:t>2021</w:t>
      </w:r>
      <w:r>
        <w:rPr>
          <w:rFonts w:hint="eastAsia" w:ascii="Times New Roman" w:hAnsi="Times New Roman" w:eastAsia="仿宋" w:cs="Times New Roman"/>
          <w:sz w:val="32"/>
          <w:szCs w:val="32"/>
        </w:rPr>
        <w:t>年—</w:t>
      </w:r>
      <w:r>
        <w:rPr>
          <w:rFonts w:ascii="Times New Roman" w:hAnsi="Times New Roman" w:eastAsia="仿宋" w:cs="Times New Roman"/>
          <w:sz w:val="32"/>
          <w:szCs w:val="32"/>
        </w:rPr>
        <w:t>2024</w:t>
      </w:r>
      <w:r>
        <w:rPr>
          <w:rFonts w:hint="eastAsia" w:ascii="Times New Roman" w:hAnsi="Times New Roman" w:eastAsia="仿宋" w:cs="Times New Roman"/>
          <w:sz w:val="32"/>
          <w:szCs w:val="32"/>
        </w:rPr>
        <w:t>年，</w:t>
      </w:r>
      <w:r>
        <w:rPr>
          <w:rFonts w:ascii="Times New Roman" w:hAnsi="Times New Roman" w:eastAsia="仿宋" w:cs="Times New Roman"/>
          <w:sz w:val="32"/>
          <w:szCs w:val="32"/>
        </w:rPr>
        <w:t>PM</w:t>
      </w:r>
      <w:r>
        <w:rPr>
          <w:rFonts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逐年同比改善率分别为</w:t>
      </w:r>
      <w:r>
        <w:rPr>
          <w:rFonts w:ascii="Times New Roman" w:hAnsi="Times New Roman" w:eastAsia="仿宋" w:cs="Times New Roman"/>
          <w:sz w:val="32"/>
          <w:szCs w:val="32"/>
        </w:rPr>
        <w:t>20.7%</w:t>
      </w:r>
      <w:r>
        <w:rPr>
          <w:rFonts w:hint="eastAsia" w:ascii="Times New Roman" w:hAnsi="Times New Roman" w:eastAsia="仿宋" w:cs="Times New Roman"/>
          <w:sz w:val="32"/>
          <w:szCs w:val="32"/>
        </w:rPr>
        <w:t>、</w:t>
      </w:r>
      <w:r>
        <w:rPr>
          <w:rFonts w:ascii="Times New Roman" w:hAnsi="Times New Roman" w:eastAsia="仿宋" w:cs="Times New Roman"/>
          <w:sz w:val="32"/>
          <w:szCs w:val="32"/>
        </w:rPr>
        <w:t>0.0%</w:t>
      </w:r>
      <w:r>
        <w:rPr>
          <w:rFonts w:hint="eastAsia" w:ascii="Times New Roman" w:hAnsi="Times New Roman" w:eastAsia="仿宋" w:cs="Times New Roman"/>
          <w:sz w:val="32"/>
          <w:szCs w:val="32"/>
        </w:rPr>
        <w:t>、</w:t>
      </w:r>
      <w:r>
        <w:rPr>
          <w:rFonts w:ascii="Times New Roman" w:hAnsi="Times New Roman" w:eastAsia="仿宋" w:cs="Times New Roman"/>
          <w:sz w:val="32"/>
          <w:szCs w:val="32"/>
        </w:rPr>
        <w:t>4.3%</w:t>
      </w:r>
      <w:r>
        <w:rPr>
          <w:rFonts w:hint="eastAsia" w:ascii="Times New Roman" w:hAnsi="Times New Roman" w:eastAsia="仿宋" w:cs="Times New Roman"/>
          <w:sz w:val="32"/>
          <w:szCs w:val="32"/>
        </w:rPr>
        <w:t>、</w:t>
      </w:r>
      <w:r>
        <w:rPr>
          <w:rFonts w:ascii="Times New Roman" w:hAnsi="Times New Roman" w:eastAsia="仿宋" w:cs="Times New Roman"/>
          <w:sz w:val="32"/>
          <w:szCs w:val="32"/>
        </w:rPr>
        <w:t>-4.5%</w:t>
      </w:r>
      <w:r>
        <w:rPr>
          <w:rFonts w:hint="eastAsia" w:ascii="Times New Roman" w:hAnsi="Times New Roman" w:eastAsia="仿宋" w:cs="Times New Roman"/>
          <w:sz w:val="32"/>
          <w:szCs w:val="32"/>
        </w:rPr>
        <w:t>；</w:t>
      </w:r>
      <w:r>
        <w:rPr>
          <w:rFonts w:ascii="Times New Roman" w:hAnsi="Times New Roman" w:eastAsia="仿宋" w:cs="Times New Roman"/>
          <w:sz w:val="32"/>
          <w:szCs w:val="32"/>
        </w:rPr>
        <w:t>PM</w:t>
      </w:r>
      <w:r>
        <w:rPr>
          <w:rFonts w:ascii="Times New Roman" w:hAnsi="Times New Roman" w:eastAsia="仿宋" w:cs="Times New Roman"/>
          <w:sz w:val="32"/>
          <w:szCs w:val="32"/>
          <w:vertAlign w:val="subscript"/>
        </w:rPr>
        <w:t>10</w:t>
      </w:r>
      <w:r>
        <w:rPr>
          <w:rFonts w:hint="eastAsia" w:ascii="Times New Roman" w:hAnsi="Times New Roman" w:eastAsia="仿宋" w:cs="Times New Roman"/>
          <w:sz w:val="32"/>
          <w:szCs w:val="32"/>
        </w:rPr>
        <w:t>逐年同比改善率分别为</w:t>
      </w:r>
      <w:r>
        <w:rPr>
          <w:rFonts w:ascii="Times New Roman" w:hAnsi="Times New Roman" w:eastAsia="仿宋" w:cs="Times New Roman"/>
          <w:sz w:val="32"/>
          <w:szCs w:val="32"/>
        </w:rPr>
        <w:t>16.8%</w:t>
      </w:r>
      <w:r>
        <w:rPr>
          <w:rFonts w:hint="eastAsia" w:ascii="Times New Roman" w:hAnsi="Times New Roman" w:eastAsia="仿宋" w:cs="Times New Roman"/>
          <w:sz w:val="32"/>
          <w:szCs w:val="32"/>
        </w:rPr>
        <w:t>、</w:t>
      </w:r>
      <w:r>
        <w:rPr>
          <w:rFonts w:ascii="Times New Roman" w:hAnsi="Times New Roman" w:eastAsia="仿宋" w:cs="Times New Roman"/>
          <w:sz w:val="32"/>
          <w:szCs w:val="32"/>
        </w:rPr>
        <w:t>3.6%</w:t>
      </w:r>
      <w:r>
        <w:rPr>
          <w:rFonts w:hint="eastAsia" w:ascii="Times New Roman" w:hAnsi="Times New Roman" w:eastAsia="仿宋" w:cs="Times New Roman"/>
          <w:sz w:val="32"/>
          <w:szCs w:val="32"/>
        </w:rPr>
        <w:t>、</w:t>
      </w:r>
      <w:r>
        <w:rPr>
          <w:rFonts w:ascii="Times New Roman" w:hAnsi="Times New Roman" w:eastAsia="仿宋" w:cs="Times New Roman"/>
          <w:sz w:val="32"/>
          <w:szCs w:val="32"/>
        </w:rPr>
        <w:t>3.7%</w:t>
      </w:r>
      <w:r>
        <w:rPr>
          <w:rFonts w:hint="eastAsia" w:ascii="Times New Roman" w:hAnsi="Times New Roman" w:eastAsia="仿宋" w:cs="Times New Roman"/>
          <w:sz w:val="32"/>
          <w:szCs w:val="32"/>
        </w:rPr>
        <w:t>、</w:t>
      </w:r>
      <w:r>
        <w:rPr>
          <w:rFonts w:ascii="Times New Roman" w:hAnsi="Times New Roman" w:eastAsia="仿宋" w:cs="Times New Roman"/>
          <w:sz w:val="32"/>
          <w:szCs w:val="32"/>
        </w:rPr>
        <w:t>0.0%</w:t>
      </w:r>
      <w:r>
        <w:rPr>
          <w:rFonts w:hint="eastAsia" w:ascii="Times New Roman" w:hAnsi="Times New Roman" w:eastAsia="仿宋" w:cs="Times New Roman"/>
          <w:sz w:val="32"/>
          <w:szCs w:val="32"/>
        </w:rPr>
        <w:t>；</w:t>
      </w:r>
      <w:r>
        <w:rPr>
          <w:rFonts w:ascii="Times New Roman" w:hAnsi="Times New Roman" w:eastAsia="仿宋" w:cs="Times New Roman"/>
          <w:sz w:val="32"/>
          <w:szCs w:val="32"/>
        </w:rPr>
        <w:t>O</w:t>
      </w:r>
      <w:r>
        <w:rPr>
          <w:rFonts w:ascii="Times New Roman" w:hAnsi="Times New Roman" w:eastAsia="仿宋" w:cs="Times New Roman"/>
          <w:sz w:val="32"/>
          <w:szCs w:val="32"/>
          <w:vertAlign w:val="subscript"/>
        </w:rPr>
        <w:t>3</w:t>
      </w:r>
      <w:r>
        <w:rPr>
          <w:rFonts w:hint="eastAsia" w:ascii="Times New Roman" w:hAnsi="Times New Roman" w:eastAsia="仿宋" w:cs="Times New Roman"/>
          <w:sz w:val="32"/>
          <w:szCs w:val="32"/>
        </w:rPr>
        <w:t>逐年同比改善率分别为</w:t>
      </w:r>
      <w:r>
        <w:rPr>
          <w:rFonts w:ascii="Times New Roman" w:hAnsi="Times New Roman" w:eastAsia="仿宋" w:cs="Times New Roman"/>
          <w:sz w:val="32"/>
          <w:szCs w:val="32"/>
        </w:rPr>
        <w:t>3.9%</w:t>
      </w:r>
      <w:r>
        <w:rPr>
          <w:rFonts w:hint="eastAsia" w:ascii="Times New Roman" w:hAnsi="Times New Roman" w:eastAsia="仿宋" w:cs="Times New Roman"/>
          <w:sz w:val="32"/>
          <w:szCs w:val="32"/>
        </w:rPr>
        <w:t>、</w:t>
      </w:r>
      <w:r>
        <w:rPr>
          <w:rFonts w:ascii="Times New Roman" w:hAnsi="Times New Roman" w:eastAsia="仿宋" w:cs="Times New Roman"/>
          <w:sz w:val="32"/>
          <w:szCs w:val="32"/>
        </w:rPr>
        <w:t>-9.2%</w:t>
      </w:r>
      <w:r>
        <w:rPr>
          <w:rFonts w:hint="eastAsia" w:ascii="Times New Roman" w:hAnsi="Times New Roman" w:eastAsia="仿宋" w:cs="Times New Roman"/>
          <w:sz w:val="32"/>
          <w:szCs w:val="32"/>
        </w:rPr>
        <w:t>、</w:t>
      </w:r>
      <w:r>
        <w:rPr>
          <w:rFonts w:ascii="Times New Roman" w:hAnsi="Times New Roman" w:eastAsia="仿宋" w:cs="Times New Roman"/>
          <w:sz w:val="32"/>
          <w:szCs w:val="32"/>
        </w:rPr>
        <w:t>2.6%</w:t>
      </w:r>
      <w:r>
        <w:rPr>
          <w:rFonts w:hint="eastAsia" w:ascii="Times New Roman" w:hAnsi="Times New Roman" w:eastAsia="仿宋" w:cs="Times New Roman"/>
          <w:sz w:val="32"/>
          <w:szCs w:val="32"/>
        </w:rPr>
        <w:t>、</w:t>
      </w:r>
      <w:r>
        <w:rPr>
          <w:rFonts w:ascii="Times New Roman" w:hAnsi="Times New Roman" w:eastAsia="仿宋" w:cs="Times New Roman"/>
          <w:sz w:val="32"/>
          <w:szCs w:val="32"/>
        </w:rPr>
        <w:t>0.5%</w:t>
      </w:r>
      <w:r>
        <w:rPr>
          <w:rFonts w:hint="eastAsia" w:ascii="Times New Roman" w:hAnsi="Times New Roman" w:eastAsia="仿宋" w:cs="Times New Roman"/>
          <w:sz w:val="32"/>
          <w:szCs w:val="32"/>
        </w:rPr>
        <w:t>。</w:t>
      </w:r>
      <w:r>
        <w:rPr>
          <w:rFonts w:ascii="Times New Roman" w:hAnsi="Times New Roman" w:eastAsia="仿宋" w:cs="Times New Roman"/>
          <w:sz w:val="32"/>
          <w:szCs w:val="32"/>
        </w:rPr>
        <w:t>PM</w:t>
      </w:r>
      <w:r>
        <w:rPr>
          <w:rFonts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污染改善放缓，短期内实现达标有一定难度，</w:t>
      </w:r>
      <w:r>
        <w:rPr>
          <w:rFonts w:ascii="Times New Roman" w:hAnsi="Times New Roman" w:eastAsia="仿宋" w:cs="Times New Roman"/>
          <w:sz w:val="32"/>
          <w:szCs w:val="32"/>
        </w:rPr>
        <w:t>VOCs</w:t>
      </w:r>
      <w:r>
        <w:rPr>
          <w:rFonts w:hint="eastAsia" w:ascii="Times New Roman" w:hAnsi="Times New Roman" w:eastAsia="仿宋" w:cs="Times New Roman"/>
          <w:sz w:val="32"/>
          <w:szCs w:val="32"/>
        </w:rPr>
        <w:t>和</w:t>
      </w:r>
      <w:r>
        <w:rPr>
          <w:rFonts w:ascii="Times New Roman" w:hAnsi="Times New Roman" w:eastAsia="仿宋" w:cs="Times New Roman"/>
          <w:sz w:val="32"/>
          <w:szCs w:val="32"/>
        </w:rPr>
        <w:t>NO</w:t>
      </w:r>
      <w:r>
        <w:rPr>
          <w:rFonts w:ascii="Times New Roman" w:hAnsi="Times New Roman" w:eastAsia="仿宋" w:cs="Times New Roman"/>
          <w:sz w:val="32"/>
          <w:szCs w:val="32"/>
          <w:vertAlign w:val="subscript"/>
        </w:rPr>
        <w:t>X</w:t>
      </w:r>
      <w:r>
        <w:rPr>
          <w:rFonts w:hint="eastAsia" w:ascii="Times New Roman" w:hAnsi="Times New Roman" w:eastAsia="仿宋" w:cs="Times New Roman"/>
          <w:sz w:val="32"/>
          <w:szCs w:val="32"/>
        </w:rPr>
        <w:t>排放导致的臭氧污染问题仍然突出，亟须强化细颗粒物和臭氧协同控制。</w:t>
      </w:r>
    </w:p>
    <w:p w14:paraId="584C8881">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产业结构有待优化，清洁化水平亟待提高。2024年，石家庄市一、二、三产占比为7:28.9:64.1，产业支撑向服务业主导转变，但工业仍是全市经济发展的重要支柱之一，主要集中在制药、钢铁、冶金、石化与化工、电力等领域，产业结构依然偏重。根据</w:t>
      </w:r>
      <w:r>
        <w:rPr>
          <w:rFonts w:hint="eastAsia" w:ascii="Times New Roman" w:hAnsi="Times New Roman" w:eastAsia="仿宋" w:cs="Times New Roman"/>
          <w:sz w:val="32"/>
          <w:szCs w:val="32"/>
          <w:highlight w:val="none"/>
          <w:lang w:val="en-US" w:eastAsia="zh-CN"/>
        </w:rPr>
        <w:t>2</w:t>
      </w:r>
      <w:r>
        <w:rPr>
          <w:rFonts w:hint="eastAsia" w:ascii="Times New Roman" w:hAnsi="Times New Roman" w:eastAsia="仿宋" w:cs="Times New Roman"/>
          <w:sz w:val="32"/>
          <w:szCs w:val="32"/>
          <w:highlight w:val="none"/>
        </w:rPr>
        <w:t>024年第四季度应急减排清单，全市涉气企业11251家，绩效评级企业6758家（按行业计），其中绩效引领性和B级及以上企业共计365家，仅占评级企业总数的5.4%</w:t>
      </w:r>
      <w:r>
        <w:rPr>
          <w:rFonts w:hint="eastAsia" w:ascii="Times New Roman" w:hAnsi="Times New Roman" w:eastAsia="仿宋" w:cs="Times New Roman"/>
          <w:sz w:val="32"/>
          <w:szCs w:val="32"/>
          <w:highlight w:val="none"/>
          <w:lang w:eastAsia="zh-CN"/>
        </w:rPr>
        <w:t>，</w:t>
      </w:r>
      <w:r>
        <w:rPr>
          <w:rFonts w:hint="eastAsia" w:ascii="Times New Roman" w:hAnsi="Times New Roman" w:eastAsia="仿宋" w:cs="Times New Roman"/>
          <w:sz w:val="32"/>
          <w:szCs w:val="32"/>
        </w:rPr>
        <w:t>全市工业企业清洁化水平提升仍有较大潜力。</w:t>
      </w:r>
    </w:p>
    <w:p w14:paraId="0D7557AA">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能源结构偏煤，根本性优化调整难度较大。“十四五”以来，石家庄市大力发展新能源和清洁能源，截至2024年底，可再生能源发电量占总发电量的22%</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能耗强度累计下降24.5%，超额完成省下达的“十四五”目标（16%）</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累计减煤约633万吨，减幅达21%。但能源消费仍以煤炭为主，2024年煤炭消费总量约为2387万吨，其中公用燃煤电厂煤炭消耗量占总消费量的70%以上。煤电作为全市主体电源，发挥着托底保供作用，电煤压减难度大。</w:t>
      </w:r>
    </w:p>
    <w:p w14:paraId="3DB97A93">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交通货运结构以公路为主，</w:t>
      </w:r>
      <w:r>
        <w:rPr>
          <w:rFonts w:hint="eastAsia" w:ascii="Times New Roman" w:hAnsi="Times New Roman" w:eastAsia="仿宋" w:cs="Times New Roman"/>
          <w:sz w:val="32"/>
          <w:szCs w:val="32"/>
          <w:lang w:eastAsia="zh-CN"/>
        </w:rPr>
        <w:t>清洁化运输</w:t>
      </w:r>
      <w:r>
        <w:rPr>
          <w:rFonts w:hint="eastAsia" w:ascii="Times New Roman" w:hAnsi="Times New Roman" w:eastAsia="仿宋" w:cs="Times New Roman"/>
          <w:sz w:val="32"/>
          <w:szCs w:val="32"/>
        </w:rPr>
        <w:t>调整滞后。石家庄市是我国铁路运输主枢纽城市，境内6条铁路干线交会。2024年全市公路货物运输总量为5.7亿吨，居全国地级以上城市前3位。全市机动车保有量持续增长，2024年达到364.5万辆，其中重型柴油货车保有量超11万辆，贡献了全市54.6%的NOx排放。此外，全市公交、环卫、出租等车辆尚未实现全部新能源化。</w:t>
      </w:r>
    </w:p>
    <w:p w14:paraId="0D5C7FE9">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扬尘排放强度大，精细化管控水平需进一步提高。石家庄市贯彻落实强省会战略，建设以首都为核心的京津冀世界级城市群区域中心城市，建设强度大、工程数量多，线性和市政道路工程大面积开挖，铣刨、沥青铺装、道路标线施画等污染源排放较大。2024年，全市建成区降尘量为5.9吨/平方公里·月，高于全省平均降尘量18.0%。全市交通道路降尘量为9.0吨/平方公里·月，高出全省平均降尘量42.9%。因此，全市需进一步提高精细化管控水平，减少施工扬尘和道路扬尘等各类扬尘源对空气质量的影响。</w:t>
      </w:r>
    </w:p>
    <w:p w14:paraId="14431ECD">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工业治理仍为重点，VOCs与NOx治理尚有空间。涉VOCs行业全过程治理有待提升，家具制造、工业涂装、包装印刷等行业原辅材料源头替代仍有较大空间，且部分企业存在末端治理设施与生产系统不匹配、无组织排放收集系统效率低及LDAR检测泄漏修复不及时等问题；工业园区缺乏有效的监测溯源与预警措施，环境管理水平有待提升。NOx重点行业治理尚有空间。燃煤电厂启停炉期间烟温未达到脱硝反应温度，导致燃煤机组氮氧化物高浓度排放；部分企业脱硝设施自动化控制水平较低，导致脱硝滞后和效率低下；氨逃逸在线监控设施安装覆盖企业不足或安装运维不规范，氨逃逸未得到有效及时监管。</w:t>
      </w:r>
    </w:p>
    <w:bookmarkEnd w:id="1"/>
    <w:bookmarkEnd w:id="2"/>
    <w:bookmarkEnd w:id="3"/>
    <w:bookmarkEnd w:id="4"/>
    <w:bookmarkEnd w:id="5"/>
    <w:bookmarkEnd w:id="6"/>
    <w:bookmarkEnd w:id="7"/>
    <w:p w14:paraId="6E015265">
      <w:pPr>
        <w:keepNext w:val="0"/>
        <w:keepLines w:val="0"/>
        <w:pageBreakBefore w:val="0"/>
        <w:kinsoku/>
        <w:wordWrap/>
        <w:overflowPunct/>
        <w:topLinePunct w:val="0"/>
        <w:autoSpaceDN/>
        <w:bidi w:val="0"/>
        <w:spacing w:line="540" w:lineRule="exact"/>
        <w:ind w:left="0" w:firstLine="640" w:firstLineChars="200"/>
        <w:textAlignment w:val="auto"/>
        <w:outlineLvl w:val="0"/>
        <w:rPr>
          <w:rFonts w:hint="eastAsia" w:ascii="Times New Roman" w:hAnsi="Times New Roman" w:eastAsia="黑体" w:cs="黑体"/>
          <w:sz w:val="32"/>
          <w:szCs w:val="32"/>
        </w:rPr>
      </w:pPr>
      <w:r>
        <w:rPr>
          <w:rFonts w:hint="eastAsia" w:ascii="Times New Roman" w:hAnsi="Times New Roman" w:eastAsia="黑体" w:cs="黑体"/>
          <w:sz w:val="32"/>
          <w:szCs w:val="32"/>
        </w:rPr>
        <w:t>二、</w:t>
      </w:r>
      <w:bookmarkEnd w:id="0"/>
      <w:r>
        <w:rPr>
          <w:rFonts w:hint="eastAsia" w:ascii="Times New Roman" w:hAnsi="Times New Roman" w:eastAsia="黑体" w:cs="黑体"/>
          <w:sz w:val="32"/>
          <w:szCs w:val="32"/>
        </w:rPr>
        <w:t>规划总则</w:t>
      </w:r>
    </w:p>
    <w:p w14:paraId="43C2E82C">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bookmarkStart w:id="8" w:name="_Toc25299"/>
      <w:r>
        <w:rPr>
          <w:rFonts w:hint="eastAsia" w:ascii="Times New Roman" w:hAnsi="Times New Roman" w:eastAsia="楷体" w:cs="楷体"/>
          <w:sz w:val="32"/>
          <w:szCs w:val="32"/>
        </w:rPr>
        <w:t>（一）指导思想</w:t>
      </w:r>
      <w:bookmarkEnd w:id="8"/>
    </w:p>
    <w:p w14:paraId="2751C703">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 w:cs="Times New Roman"/>
          <w:sz w:val="32"/>
          <w:szCs w:val="32"/>
        </w:rPr>
        <w:t>以习近平生态文明思想为指导，全面贯彻党的二十大和二十届历次全会精神，深入落实全国生态环境保护大会部署，坚持新发展理念，以改善大气环境质量和保护人群健康为核心，以PM</w:t>
      </w:r>
      <w:r>
        <w:rPr>
          <w:rFonts w:hint="eastAsia"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治理为主线，突出精准治污、科学治污、依法治污，坚持问题导向与目标引领，加快推动产业、能源、交通绿色低碳转型，加强PM</w:t>
      </w:r>
      <w:r>
        <w:rPr>
          <w:rFonts w:hint="eastAsia"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与O</w:t>
      </w:r>
      <w:r>
        <w:rPr>
          <w:rFonts w:hint="eastAsia" w:ascii="Times New Roman" w:hAnsi="Times New Roman" w:eastAsia="仿宋" w:cs="Times New Roman"/>
          <w:sz w:val="32"/>
          <w:szCs w:val="32"/>
          <w:vertAlign w:val="subscript"/>
        </w:rPr>
        <w:t>3</w:t>
      </w:r>
      <w:r>
        <w:rPr>
          <w:rFonts w:hint="eastAsia" w:ascii="Times New Roman" w:hAnsi="Times New Roman" w:eastAsia="仿宋" w:cs="Times New Roman"/>
          <w:sz w:val="32"/>
          <w:szCs w:val="32"/>
        </w:rPr>
        <w:t>协同控制，着力推进多污染物协同减排，推进大气环境治理体系和治理能力现代化，推动环境空气质量持续改善，达到国家环境空气质量</w:t>
      </w:r>
      <w:r>
        <w:rPr>
          <w:rFonts w:hint="eastAsia" w:ascii="Times New Roman" w:hAnsi="Times New Roman" w:eastAsia="仿宋" w:cs="Times New Roman"/>
          <w:sz w:val="32"/>
          <w:szCs w:val="32"/>
          <w:lang w:eastAsia="zh-CN"/>
        </w:rPr>
        <w:t>二级</w:t>
      </w:r>
      <w:r>
        <w:rPr>
          <w:rFonts w:hint="eastAsia" w:ascii="Times New Roman" w:hAnsi="Times New Roman" w:eastAsia="仿宋" w:cs="Times New Roman"/>
          <w:sz w:val="32"/>
          <w:szCs w:val="32"/>
        </w:rPr>
        <w:t>标准，以高水平保护促进高质量发展。</w:t>
      </w:r>
    </w:p>
    <w:p w14:paraId="074C8E91">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bookmarkStart w:id="9" w:name="_Toc13836"/>
      <w:r>
        <w:rPr>
          <w:rFonts w:hint="eastAsia" w:ascii="Times New Roman" w:hAnsi="Times New Roman" w:eastAsia="楷体" w:cs="楷体"/>
          <w:sz w:val="32"/>
          <w:szCs w:val="32"/>
        </w:rPr>
        <w:t>（二）规划原则</w:t>
      </w:r>
      <w:bookmarkEnd w:id="9"/>
    </w:p>
    <w:p w14:paraId="1F06074D">
      <w:pPr>
        <w:keepNext w:val="0"/>
        <w:keepLines w:val="0"/>
        <w:pageBreakBefore w:val="0"/>
        <w:kinsoku/>
        <w:wordWrap/>
        <w:overflowPunct/>
        <w:topLinePunct w:val="0"/>
        <w:autoSpaceDN/>
        <w:bidi w:val="0"/>
        <w:spacing w:line="540" w:lineRule="exact"/>
        <w:ind w:left="0" w:firstLine="643"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b/>
          <w:bCs/>
          <w:sz w:val="32"/>
          <w:szCs w:val="32"/>
        </w:rPr>
        <w:t>优化结构、标本兼治。</w:t>
      </w:r>
      <w:r>
        <w:rPr>
          <w:rFonts w:hint="eastAsia" w:ascii="Times New Roman" w:hAnsi="Times New Roman" w:eastAsia="仿宋" w:cs="Times New Roman"/>
          <w:sz w:val="32"/>
          <w:szCs w:val="32"/>
        </w:rPr>
        <w:t>大力推进产业、能源、交通运输结构优化调整；深入实施工业污染深度治理，大力开展重点行业环保绩效创A；全面推动绿色生产和绿色生活方式形成，以生态环境保护优化经济发展；完善应对机制，精准有效应对污染天气。</w:t>
      </w:r>
    </w:p>
    <w:p w14:paraId="4552D868">
      <w:pPr>
        <w:keepNext w:val="0"/>
        <w:keepLines w:val="0"/>
        <w:pageBreakBefore w:val="0"/>
        <w:kinsoku/>
        <w:wordWrap/>
        <w:overflowPunct/>
        <w:topLinePunct w:val="0"/>
        <w:autoSpaceDN/>
        <w:bidi w:val="0"/>
        <w:spacing w:line="540" w:lineRule="exact"/>
        <w:ind w:left="0" w:firstLine="643"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b/>
          <w:bCs/>
          <w:sz w:val="32"/>
          <w:szCs w:val="32"/>
        </w:rPr>
        <w:t>综合统筹、协同增效。</w:t>
      </w:r>
      <w:r>
        <w:rPr>
          <w:rFonts w:hint="eastAsia" w:ascii="Times New Roman" w:hAnsi="Times New Roman" w:eastAsia="仿宋" w:cs="Times New Roman"/>
          <w:sz w:val="32"/>
          <w:szCs w:val="32"/>
        </w:rPr>
        <w:t>突出综合治理、系统治理、源头治理，强化多污染物协同减排；加强区域协调配合、协同治理，加快提升全市整体大气污染深度治理和精细化管理水平，促进石家庄市大气环境质量长期、持续、全面改善。</w:t>
      </w:r>
    </w:p>
    <w:p w14:paraId="1644F9E8">
      <w:pPr>
        <w:keepNext w:val="0"/>
        <w:keepLines w:val="0"/>
        <w:pageBreakBefore w:val="0"/>
        <w:kinsoku/>
        <w:wordWrap/>
        <w:overflowPunct/>
        <w:topLinePunct w:val="0"/>
        <w:autoSpaceDN/>
        <w:bidi w:val="0"/>
        <w:spacing w:line="540" w:lineRule="exact"/>
        <w:ind w:left="0" w:firstLine="643"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b/>
          <w:bCs/>
          <w:sz w:val="32"/>
          <w:szCs w:val="32"/>
        </w:rPr>
        <w:t>精准科学、依法治污。</w:t>
      </w:r>
      <w:r>
        <w:rPr>
          <w:rFonts w:hint="eastAsia" w:ascii="Times New Roman" w:hAnsi="Times New Roman" w:eastAsia="仿宋" w:cs="Times New Roman"/>
          <w:sz w:val="32"/>
          <w:szCs w:val="32"/>
        </w:rPr>
        <w:t>聚焦秋冬季PM</w:t>
      </w:r>
      <w:r>
        <w:rPr>
          <w:rFonts w:hint="eastAsia"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重污染和夏季臭氧污染，科学分析污染来源成因，确定重点区域、治理对象、措施路径，精准施策、靶向治理；严格依法治理、依法监管，加快构建智能化、信息化、现代化环境治理体系。</w:t>
      </w:r>
    </w:p>
    <w:p w14:paraId="6F33F0E0">
      <w:pPr>
        <w:keepNext w:val="0"/>
        <w:keepLines w:val="0"/>
        <w:pageBreakBefore w:val="0"/>
        <w:kinsoku/>
        <w:wordWrap/>
        <w:overflowPunct/>
        <w:topLinePunct w:val="0"/>
        <w:autoSpaceDN/>
        <w:bidi w:val="0"/>
        <w:spacing w:line="540" w:lineRule="exact"/>
        <w:ind w:left="0" w:firstLine="643" w:firstLineChars="200"/>
        <w:textAlignment w:val="auto"/>
        <w:rPr>
          <w:rFonts w:ascii="Times New Roman" w:hAnsi="Times New Roman" w:eastAsia="仿宋_GB2312" w:cs="Times New Roman"/>
          <w:color w:val="000000"/>
          <w:sz w:val="32"/>
          <w:szCs w:val="32"/>
        </w:rPr>
      </w:pPr>
      <w:r>
        <w:rPr>
          <w:rFonts w:hint="eastAsia" w:ascii="Times New Roman" w:hAnsi="Times New Roman" w:eastAsia="仿宋" w:cs="Times New Roman"/>
          <w:b/>
          <w:bCs/>
          <w:sz w:val="32"/>
          <w:szCs w:val="32"/>
        </w:rPr>
        <w:t>部门协作、全民共治。</w:t>
      </w:r>
      <w:r>
        <w:rPr>
          <w:rFonts w:hint="eastAsia" w:ascii="Times New Roman" w:hAnsi="Times New Roman" w:eastAsia="仿宋" w:cs="Times New Roman"/>
          <w:sz w:val="32"/>
          <w:szCs w:val="32"/>
        </w:rPr>
        <w:t>完善统筹协调机制，明确责任分工、强化部门协作，逐行业精细管理、分领域实施攻坚，形成治污攻坚合力。引导社会公众有序参与环境监督和治理，构建政府、企事业单位、社会公众多元主体共同参与的大气污染防治体系。</w:t>
      </w:r>
    </w:p>
    <w:p w14:paraId="36ACB909">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bookmarkStart w:id="10" w:name="_Toc26275"/>
      <w:r>
        <w:rPr>
          <w:rFonts w:hint="eastAsia" w:ascii="Times New Roman" w:hAnsi="Times New Roman" w:eastAsia="楷体" w:cs="楷体"/>
          <w:sz w:val="32"/>
          <w:szCs w:val="32"/>
        </w:rPr>
        <w:t>（三）</w:t>
      </w:r>
      <w:bookmarkEnd w:id="10"/>
      <w:r>
        <w:rPr>
          <w:rFonts w:hint="eastAsia" w:ascii="Times New Roman" w:hAnsi="Times New Roman" w:eastAsia="楷体" w:cs="楷体"/>
          <w:sz w:val="32"/>
          <w:szCs w:val="32"/>
        </w:rPr>
        <w:t>规划目标</w:t>
      </w:r>
    </w:p>
    <w:p w14:paraId="1B436B42">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ascii="Times New Roman" w:hAnsi="Times New Roman" w:eastAsia="仿宋" w:cs="Times New Roman"/>
          <w:sz w:val="32"/>
          <w:szCs w:val="32"/>
        </w:rPr>
        <w:t>2027</w:t>
      </w:r>
      <w:r>
        <w:rPr>
          <w:rFonts w:hint="eastAsia" w:ascii="Times New Roman" w:hAnsi="Times New Roman" w:eastAsia="仿宋" w:cs="Times New Roman"/>
          <w:sz w:val="32"/>
          <w:szCs w:val="32"/>
        </w:rPr>
        <w:t>年，全市</w:t>
      </w:r>
      <w:r>
        <w:rPr>
          <w:rFonts w:ascii="Times New Roman" w:hAnsi="Times New Roman" w:eastAsia="仿宋" w:cs="Times New Roman"/>
          <w:sz w:val="32"/>
          <w:szCs w:val="32"/>
        </w:rPr>
        <w:t>PM</w:t>
      </w:r>
      <w:r>
        <w:rPr>
          <w:rFonts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年均浓度下降</w:t>
      </w:r>
      <w:bookmarkStart w:id="11" w:name="_Hlk213776158"/>
      <w:r>
        <w:rPr>
          <w:rFonts w:hint="eastAsia" w:ascii="Times New Roman" w:hAnsi="Times New Roman" w:eastAsia="仿宋" w:cs="Times New Roman"/>
          <w:sz w:val="32"/>
          <w:szCs w:val="32"/>
        </w:rPr>
        <w:t>到</w:t>
      </w:r>
      <w:r>
        <w:rPr>
          <w:rFonts w:ascii="Times New Roman" w:hAnsi="Times New Roman" w:eastAsia="仿宋" w:cs="Times New Roman"/>
          <w:sz w:val="32"/>
          <w:szCs w:val="32"/>
        </w:rPr>
        <w:t>40</w:t>
      </w:r>
      <w:bookmarkEnd w:id="11"/>
      <w:r>
        <w:rPr>
          <w:rFonts w:ascii="Times New Roman" w:hAnsi="Times New Roman" w:eastAsia="仿宋" w:cs="Times New Roman"/>
          <w:sz w:val="32"/>
          <w:szCs w:val="32"/>
        </w:rPr>
        <w:t>μg/m</w:t>
      </w:r>
      <w:r>
        <w:rPr>
          <w:rFonts w:ascii="Times New Roman" w:hAnsi="Times New Roman" w:eastAsia="仿宋" w:cs="Times New Roman"/>
          <w:sz w:val="32"/>
          <w:szCs w:val="32"/>
          <w:vertAlign w:val="superscript"/>
        </w:rPr>
        <w:t>3</w:t>
      </w:r>
      <w:r>
        <w:rPr>
          <w:rFonts w:hint="eastAsia" w:ascii="Times New Roman" w:hAnsi="Times New Roman" w:eastAsia="仿宋" w:cs="Times New Roman"/>
          <w:sz w:val="32"/>
          <w:szCs w:val="32"/>
        </w:rPr>
        <w:t>，力争达到</w:t>
      </w:r>
      <w:r>
        <w:rPr>
          <w:rFonts w:ascii="Times New Roman" w:hAnsi="Times New Roman" w:eastAsia="仿宋" w:cs="Times New Roman"/>
          <w:sz w:val="32"/>
          <w:szCs w:val="32"/>
        </w:rPr>
        <w:t>38μg/m</w:t>
      </w:r>
      <w:r>
        <w:rPr>
          <w:rFonts w:ascii="Times New Roman" w:hAnsi="Times New Roman" w:eastAsia="仿宋" w:cs="Times New Roman"/>
          <w:sz w:val="32"/>
          <w:szCs w:val="32"/>
          <w:vertAlign w:val="superscript"/>
        </w:rPr>
        <w:t>3</w:t>
      </w:r>
      <w:r>
        <w:rPr>
          <w:rFonts w:hint="eastAsia" w:ascii="Times New Roman" w:hAnsi="Times New Roman" w:eastAsia="仿宋" w:cs="Times New Roman"/>
          <w:sz w:val="32"/>
          <w:szCs w:val="32"/>
        </w:rPr>
        <w:t>；</w:t>
      </w:r>
      <w:r>
        <w:rPr>
          <w:rFonts w:ascii="Times New Roman" w:hAnsi="Times New Roman" w:eastAsia="仿宋" w:cs="Times New Roman"/>
          <w:sz w:val="32"/>
          <w:szCs w:val="32"/>
        </w:rPr>
        <w:t>2030</w:t>
      </w:r>
      <w:r>
        <w:rPr>
          <w:rFonts w:hint="eastAsia" w:ascii="Times New Roman" w:hAnsi="Times New Roman" w:eastAsia="仿宋" w:cs="Times New Roman"/>
          <w:sz w:val="32"/>
          <w:szCs w:val="32"/>
        </w:rPr>
        <w:t>年，全市</w:t>
      </w:r>
      <w:r>
        <w:rPr>
          <w:rFonts w:ascii="Times New Roman" w:hAnsi="Times New Roman" w:eastAsia="仿宋" w:cs="Times New Roman"/>
          <w:sz w:val="32"/>
          <w:szCs w:val="32"/>
        </w:rPr>
        <w:t>PM</w:t>
      </w:r>
      <w:r>
        <w:rPr>
          <w:rFonts w:ascii="Times New Roman" w:hAnsi="Times New Roman" w:eastAsia="仿宋" w:cs="Times New Roman"/>
          <w:sz w:val="32"/>
          <w:szCs w:val="32"/>
          <w:vertAlign w:val="subscript"/>
        </w:rPr>
        <w:t>2.5</w:t>
      </w:r>
      <w:r>
        <w:rPr>
          <w:rFonts w:hint="eastAsia" w:ascii="Times New Roman" w:hAnsi="Times New Roman" w:eastAsia="仿宋" w:cs="Times New Roman"/>
          <w:sz w:val="32"/>
          <w:szCs w:val="32"/>
        </w:rPr>
        <w:t>年均浓度下降到</w:t>
      </w:r>
      <w:r>
        <w:rPr>
          <w:rFonts w:ascii="Times New Roman" w:hAnsi="Times New Roman" w:eastAsia="仿宋" w:cs="Times New Roman"/>
          <w:sz w:val="32"/>
          <w:szCs w:val="32"/>
        </w:rPr>
        <w:t>35μg/m</w:t>
      </w:r>
      <w:r>
        <w:rPr>
          <w:rFonts w:ascii="Times New Roman" w:hAnsi="Times New Roman" w:eastAsia="仿宋" w:cs="Times New Roman"/>
          <w:sz w:val="32"/>
          <w:szCs w:val="32"/>
          <w:vertAlign w:val="superscript"/>
        </w:rPr>
        <w:t>3</w:t>
      </w:r>
      <w:r>
        <w:rPr>
          <w:rFonts w:hint="eastAsia" w:ascii="Times New Roman" w:hAnsi="Times New Roman" w:eastAsia="仿宋" w:cs="Times New Roman"/>
          <w:sz w:val="32"/>
          <w:szCs w:val="32"/>
        </w:rPr>
        <w:t>，基本消除重污染天气。</w:t>
      </w:r>
    </w:p>
    <w:p w14:paraId="0476866A">
      <w:pPr>
        <w:keepNext w:val="0"/>
        <w:keepLines w:val="0"/>
        <w:pageBreakBefore w:val="0"/>
        <w:kinsoku/>
        <w:wordWrap/>
        <w:overflowPunct/>
        <w:topLinePunct w:val="0"/>
        <w:autoSpaceDN/>
        <w:bidi w:val="0"/>
        <w:spacing w:line="540" w:lineRule="exact"/>
        <w:ind w:left="0" w:firstLine="640" w:firstLineChars="200"/>
        <w:textAlignment w:val="auto"/>
        <w:outlineLvl w:val="0"/>
        <w:rPr>
          <w:rFonts w:hint="eastAsia" w:ascii="Times New Roman" w:hAnsi="Times New Roman" w:eastAsia="黑体" w:cs="黑体"/>
          <w:sz w:val="32"/>
          <w:szCs w:val="32"/>
        </w:rPr>
      </w:pPr>
      <w:bookmarkStart w:id="12" w:name="_Toc27403"/>
      <w:r>
        <w:rPr>
          <w:rFonts w:hint="eastAsia" w:ascii="Times New Roman" w:hAnsi="Times New Roman" w:eastAsia="黑体" w:cs="黑体"/>
          <w:sz w:val="32"/>
          <w:szCs w:val="32"/>
        </w:rPr>
        <w:t>三、重点任务</w:t>
      </w:r>
    </w:p>
    <w:p w14:paraId="520F5644">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bookmarkStart w:id="13" w:name="_Toc20375"/>
      <w:r>
        <w:rPr>
          <w:rFonts w:hint="eastAsia" w:ascii="Times New Roman" w:hAnsi="Times New Roman" w:eastAsia="楷体" w:cs="楷体"/>
          <w:sz w:val="32"/>
          <w:szCs w:val="32"/>
        </w:rPr>
        <w:t>（一）深化产业结构优化调整，促进产业绿色升级转型</w:t>
      </w:r>
      <w:bookmarkEnd w:id="13"/>
    </w:p>
    <w:p w14:paraId="316D4CAA">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1.严格环境准入</w:t>
      </w:r>
    </w:p>
    <w:p w14:paraId="468E2A95">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highlight w:val="none"/>
        </w:rPr>
      </w:pPr>
      <w:r>
        <w:rPr>
          <w:rFonts w:hint="eastAsia" w:ascii="Times New Roman" w:hAnsi="Times New Roman" w:eastAsia="仿宋" w:cs="Times New Roman"/>
          <w:sz w:val="32"/>
          <w:szCs w:val="32"/>
          <w:highlight w:val="none"/>
          <w:lang w:eastAsia="zh-CN"/>
        </w:rPr>
        <w:t>严格</w:t>
      </w:r>
      <w:r>
        <w:rPr>
          <w:rFonts w:hint="eastAsia" w:ascii="Times New Roman" w:hAnsi="Times New Roman" w:eastAsia="仿宋" w:cs="Times New Roman"/>
          <w:sz w:val="32"/>
          <w:szCs w:val="32"/>
          <w:highlight w:val="none"/>
        </w:rPr>
        <w:t>落实生态环境分区管控。强化生态环境分区管控的刚性约束和政策引领作用</w:t>
      </w:r>
      <w:bookmarkStart w:id="28" w:name="_GoBack"/>
      <w:bookmarkEnd w:id="28"/>
      <w:r>
        <w:rPr>
          <w:rFonts w:hint="eastAsia" w:ascii="Times New Roman" w:hAnsi="Times New Roman" w:eastAsia="仿宋" w:cs="Times New Roman"/>
          <w:sz w:val="32"/>
          <w:szCs w:val="32"/>
          <w:highlight w:val="none"/>
        </w:rPr>
        <w:t>，新、改、扩建项目的环境影响评价应满足区域、规划环评要求。桥西区、新华区、裕华区、长安区、鹿泉区、栾城区严格控制生产和使用高 VOCs 含量涂料、油墨、胶粘剂、清洗剂等建设项目，提高低（无）VOCs 含量产品比重。</w:t>
      </w:r>
    </w:p>
    <w:p w14:paraId="5B06E0FF">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楷体" w:cs="楷体"/>
          <w:sz w:val="32"/>
          <w:szCs w:val="32"/>
        </w:rPr>
      </w:pPr>
      <w:r>
        <w:rPr>
          <w:rFonts w:hint="eastAsia" w:ascii="Times New Roman" w:hAnsi="Times New Roman" w:eastAsia="仿宋" w:cs="Times New Roman"/>
          <w:sz w:val="32"/>
          <w:szCs w:val="32"/>
        </w:rPr>
        <w:t>严控“两高”项目准入。全市不再新增钢铁（含铸造用生铁）、焦化、水泥熟料（超出产能进行产能置换除外）、平板玻璃、电解铝、氧化铝（含氢氧化铝）、煤化工产能。严格执行重点行业产能减量或等量置换相关规定。对本地新、改、扩建项目排放的颗粒物、SO</w:t>
      </w:r>
      <w:r>
        <w:rPr>
          <w:rFonts w:hint="eastAsia" w:ascii="Times New Roman" w:hAnsi="Times New Roman" w:eastAsia="仿宋" w:cs="Times New Roman"/>
          <w:sz w:val="32"/>
          <w:szCs w:val="32"/>
          <w:vertAlign w:val="subscript"/>
        </w:rPr>
        <w:t>2</w:t>
      </w:r>
      <w:r>
        <w:rPr>
          <w:rFonts w:hint="eastAsia" w:ascii="Times New Roman" w:hAnsi="Times New Roman" w:eastAsia="仿宋" w:cs="Times New Roman"/>
          <w:sz w:val="32"/>
          <w:szCs w:val="32"/>
        </w:rPr>
        <w:t>、NOx、VOCs实行两倍削减替代。建设项目为高架源的，污染物替代指标应来源于高架源。</w:t>
      </w:r>
    </w:p>
    <w:p w14:paraId="31F27978">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严格控制新增燃煤项目。全市不再核准新建、扩建燃煤项目，确因产业发展和民生需要新建耗煤项目的，应当实行煤炭的等量或者倍量替代。新建煤炭利用项目，原则上达到标杆水平，且环保绩效达到A级或引领性水平。所有改建耗煤项目一律实施最高标准执行替代，排污强度、能效和碳排放水平达到国内先进水平。</w:t>
      </w:r>
    </w:p>
    <w:p w14:paraId="3E2ABA79">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2.调整优化产业结构</w:t>
      </w:r>
    </w:p>
    <w:p w14:paraId="0840918C">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楷体_GB2312" w:cs="Times New Roman"/>
          <w:color w:val="000000"/>
          <w:sz w:val="32"/>
          <w:szCs w:val="32"/>
        </w:rPr>
      </w:pPr>
      <w:r>
        <w:rPr>
          <w:rFonts w:hint="eastAsia" w:ascii="Times New Roman" w:hAnsi="Times New Roman" w:eastAsia="仿宋" w:cs="Times New Roman"/>
          <w:sz w:val="32"/>
          <w:szCs w:val="32"/>
        </w:rPr>
        <w:t>加快培育有竞争力的绿色低碳企业，做大做强一批龙头骨干企业，扶持一批专精特优中小企业。以生物医药、新一代电子信息为引领，带动装备制造、现代食品、商贸物流产业全面升级。有序推进产业结构调整，推进水泥、炭素、铸造、砖瓦、陶瓷</w:t>
      </w:r>
      <w:r>
        <w:rPr>
          <w:rFonts w:hint="eastAsia" w:ascii="Times New Roman" w:hAnsi="Times New Roman" w:eastAsia="仿宋" w:cs="Times New Roman"/>
          <w:sz w:val="32"/>
          <w:szCs w:val="32"/>
          <w:lang w:eastAsia="zh-CN"/>
        </w:rPr>
        <w:t>、石灰</w:t>
      </w:r>
      <w:r>
        <w:rPr>
          <w:rFonts w:hint="eastAsia" w:ascii="Times New Roman" w:hAnsi="Times New Roman" w:eastAsia="仿宋" w:cs="Times New Roman"/>
          <w:sz w:val="32"/>
          <w:szCs w:val="32"/>
        </w:rPr>
        <w:t>等行业扶优汰劣、整合提升。2027年完成水泥、铸造、陶瓷、砖瓦</w:t>
      </w:r>
      <w:r>
        <w:rPr>
          <w:rFonts w:hint="eastAsia" w:ascii="Times New Roman" w:hAnsi="Times New Roman" w:eastAsia="仿宋" w:cs="Times New Roman"/>
          <w:sz w:val="32"/>
          <w:szCs w:val="32"/>
          <w:lang w:eastAsia="zh-CN"/>
        </w:rPr>
        <w:t>、石灰</w:t>
      </w:r>
      <w:r>
        <w:rPr>
          <w:rFonts w:hint="eastAsia" w:ascii="Times New Roman" w:hAnsi="Times New Roman" w:eastAsia="仿宋" w:cs="Times New Roman"/>
          <w:sz w:val="32"/>
          <w:szCs w:val="32"/>
        </w:rPr>
        <w:t>等行业产业提质升级，2030年完成有色、炭素、钙镁等行业产业提质升级。</w:t>
      </w:r>
    </w:p>
    <w:p w14:paraId="301C5651">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强化产业退城入园。优化园区布局，提升园区规划环评效力，积极协调可以承接搬迁企业的产业集聚区和工业园区，</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rPr>
        <w:t>2030年，全市工业企业实现按主导功能入园。开展零碳园区试点建设，推动零碳园区应用场景落地。聚焦钢铁、建材、石化化工、食品医药、电子信息、轻工等重点行业，遴选绿色低碳发展水平相对较高、处于省内同行业前列的工业企业重点进行零碳工厂培育</w:t>
      </w:r>
      <w:r>
        <w:rPr>
          <w:rFonts w:hint="eastAsia" w:ascii="Times New Roman" w:hAnsi="Times New Roman" w:eastAsia="仿宋" w:cs="Times New Roman"/>
          <w:sz w:val="32"/>
          <w:szCs w:val="32"/>
          <w:lang w:eastAsia="zh-CN"/>
        </w:rPr>
        <w:t>。</w:t>
      </w:r>
    </w:p>
    <w:p w14:paraId="4A282C94">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3.加快退出落后和过剩产能</w:t>
      </w:r>
    </w:p>
    <w:p w14:paraId="02430ABA">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持续推进落后产能淘汰工作。列入《产业结构调整指导目录（2024年本）》“淘汰类”落后生产工艺装备和产品，按照规定期限进行淘汰，鼓励引导重点行业“限制类”生产工艺和装备逐步退出。到2027年，整合退出产能在1亿标砖/年以下的烧结砖生产线，保留企业达到环保绩效A级</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以煤为燃料的独立石灰窑企业完成淘汰或清洁能源替换，保留企业环保绩效达到A级。规模以上涉气工业企业开展“升A晋B”行动，到2027年力争60%以上企业达到B级及以上水平，</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rPr>
        <w:t>2030年</w:t>
      </w:r>
      <w:r>
        <w:rPr>
          <w:rFonts w:hint="eastAsia" w:ascii="Times New Roman" w:hAnsi="Times New Roman" w:eastAsia="仿宋" w:cs="Times New Roman"/>
          <w:sz w:val="32"/>
          <w:szCs w:val="32"/>
          <w:lang w:eastAsia="zh-CN"/>
        </w:rPr>
        <w:t>力争</w:t>
      </w:r>
      <w:r>
        <w:rPr>
          <w:rFonts w:hint="eastAsia" w:ascii="Times New Roman" w:hAnsi="Times New Roman" w:eastAsia="仿宋" w:cs="Times New Roman"/>
          <w:sz w:val="32"/>
          <w:szCs w:val="32"/>
        </w:rPr>
        <w:t>全部达到。</w:t>
      </w:r>
    </w:p>
    <w:p w14:paraId="60FF36B1">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4.推动传统产业集群绿色升级</w:t>
      </w:r>
    </w:p>
    <w:p w14:paraId="39E21C30">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对防水建材、铸造、纤维素醚等重点行业产业集群进行综合治理，按照疏堵结合、分类实施的原则，采取“关停取缔一批、扶持壮大一批、入园发展一批”的措施，着力解决集群产业的企业布局、治污设施规范运行问题。加大绿色制造培育示范力度，培育扶持树立标杆企业，引领集群绿色转型升级。</w:t>
      </w:r>
    </w:p>
    <w:p w14:paraId="32603FE5">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r>
        <w:rPr>
          <w:rFonts w:hint="eastAsia" w:ascii="Times New Roman" w:hAnsi="Times New Roman" w:eastAsia="楷体" w:cs="楷体"/>
          <w:sz w:val="32"/>
          <w:szCs w:val="32"/>
        </w:rPr>
        <w:t>（二）深化能源结构优化调整，加速能源清洁低碳发展</w:t>
      </w:r>
      <w:bookmarkEnd w:id="12"/>
    </w:p>
    <w:p w14:paraId="31800198">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bookmarkStart w:id="14" w:name="_Toc7289"/>
      <w:r>
        <w:rPr>
          <w:rFonts w:hint="eastAsia" w:ascii="Times New Roman" w:hAnsi="Times New Roman" w:eastAsia="仿宋" w:cs="仿宋"/>
          <w:b/>
          <w:bCs/>
          <w:sz w:val="32"/>
          <w:szCs w:val="32"/>
        </w:rPr>
        <w:t>5.持续实施煤炭消费总量控制</w:t>
      </w:r>
    </w:p>
    <w:bookmarkEnd w:id="14"/>
    <w:p w14:paraId="16C9F00D">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在保障能源安全供应的前提下，持续实施煤炭消费总量控制，重点压减非电用煤和分散低效用煤，全市煤炭消费量稳步下降。新、改、扩建涉煤项目依法实行煤炭等量或倍量替代，替代措施落实后方可投产，不得将石油焦、焦炭、兰炭等高污染燃料作为煤炭减量替代措施，煤矸石、原料用煤不纳入煤炭消费总量考核。严控新增燃煤机组规模，同时达到环保绩效A级水平，单位供电煤耗达到煤炭清洁高效利用重点领域标杆水平限值。原则上不再新增自备燃煤机组</w:t>
      </w:r>
      <w:bookmarkStart w:id="15" w:name="OLE_LINK1"/>
      <w:r>
        <w:rPr>
          <w:rFonts w:hint="eastAsia" w:ascii="Times New Roman" w:hAnsi="Times New Roman" w:eastAsia="仿宋" w:cs="Times New Roman"/>
          <w:sz w:val="32"/>
          <w:szCs w:val="32"/>
        </w:rPr>
        <w:t>。</w:t>
      </w:r>
      <w:bookmarkStart w:id="16" w:name="OLE_LINK2"/>
      <w:r>
        <w:rPr>
          <w:rFonts w:hint="eastAsia" w:ascii="Times New Roman" w:hAnsi="Times New Roman" w:eastAsia="仿宋" w:cs="Times New Roman"/>
          <w:sz w:val="32"/>
          <w:szCs w:val="32"/>
        </w:rPr>
        <w:t>关停整合已经落实接续热源且具备关停条件的30万千瓦及以下燃煤机组</w:t>
      </w:r>
      <w:bookmarkEnd w:id="16"/>
      <w:r>
        <w:rPr>
          <w:rFonts w:hint="eastAsia" w:ascii="Times New Roman" w:hAnsi="Times New Roman" w:eastAsia="仿宋" w:cs="Times New Roman"/>
          <w:sz w:val="32"/>
          <w:szCs w:val="32"/>
        </w:rPr>
        <w:t>（背压除外）。</w:t>
      </w:r>
      <w:bookmarkEnd w:id="15"/>
      <w:r>
        <w:rPr>
          <w:rFonts w:hint="eastAsia" w:ascii="Times New Roman" w:hAnsi="Times New Roman" w:eastAsia="仿宋" w:cs="Times New Roman"/>
          <w:sz w:val="32"/>
          <w:szCs w:val="32"/>
        </w:rPr>
        <w:t>加快推动实施定热入石长输供热项目，为新乐市、正定县及石家庄市主城区东北部区域供热。</w:t>
      </w:r>
    </w:p>
    <w:p w14:paraId="5C0ACF4E">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6.持续降低火电企业能源消耗</w:t>
      </w:r>
    </w:p>
    <w:p w14:paraId="25BFC019">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构建新型电力系统，推进火电企业实施节能降耗改造和供热改造，进一步提升煤电能效。到2027年，力争全市平均供电煤耗降至290克标准煤/千瓦时，到2030年，力争降至280克标准煤/千瓦时。在确保供电供热安全的前提下，西柏坡电厂1#-4#机组、上安电厂1#-4#机组服役期满后，结合新项目建设情况做好替代，需转为应急备用电源的，按照国家发改委有关要求进行处置。</w:t>
      </w:r>
    </w:p>
    <w:p w14:paraId="483953FA">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7.积极开展锅炉关停整合</w:t>
      </w:r>
    </w:p>
    <w:p w14:paraId="5A576FF1">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原则上不再新建除集中供暖外的燃煤锅炉。在保障民生供暖、供电基础上，充分发挥30万千瓦及以上热电联产电厂的供热能力，对其供热半径30公里范围内的燃煤锅炉和落后燃煤小热电机（含自备电厂）进行关停或整合。到2027年，全面淘汰具备淘汰条件的65蒸吨/小时及以下工业燃煤锅炉和城市主城区供暖燃煤锅炉，同步做好供暖保障；推进城市远距离输热，加快城区燃气锅炉替代；淘汰燃油锅炉；加大生物质锅炉排放监管力度，禁止掺烧煤炭、生活垃圾，对2蒸吨/小时及以下生物质锅炉进行淘汰。</w:t>
      </w:r>
    </w:p>
    <w:p w14:paraId="676E4D63">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8.加快推动工业炉窑清洁能源替代</w:t>
      </w:r>
    </w:p>
    <w:p w14:paraId="0D9BAAD5">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原则上不再新建燃用高污染燃料的工业炉窑。以煤、重油等为燃料的工业窑炉改为使用电厂热力、工业余热或清洁能源。燃料类煤气发生炉实行清洁能源替代，或因地制宜采取园区（集群）集中供气、分散使用等方式，全面淘汰固定床间歇式煤气发生炉。</w:t>
      </w:r>
    </w:p>
    <w:p w14:paraId="27F55505">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9.大力发展新能源和清洁能源</w:t>
      </w:r>
    </w:p>
    <w:p w14:paraId="09CB57AB">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bookmarkStart w:id="17" w:name="OLE_LINK6"/>
      <w:r>
        <w:rPr>
          <w:rFonts w:hint="eastAsia" w:ascii="Times New Roman" w:hAnsi="Times New Roman" w:eastAsia="仿宋" w:cs="Times New Roman"/>
          <w:sz w:val="32"/>
          <w:szCs w:val="32"/>
        </w:rPr>
        <w:t>在产业园区、公共机构、建筑、交通基础设施空地推广使用分布式光伏发电系统，适度发展风电，逐步构建以新能源为主体的新型电力系统。到2027年，可再生能源总装机达到1200万千瓦以上，占比达到57%以上，2030年，可再生能源总装机达到1300万千瓦以上，占比达到58%以上，电能占终端能源消费比重达到25%左右。加强可再生能源项目建设，加快灵寿抽水蓄能电站建设，推进“千乡万村驭风行动”试点项目建设，统筹推进能源管网建设，大力争取新增入石等外受电通道，积极争取西部气源供应，加快鹿泉—井陉天然气管道项目建设。结合电力发展和新能源规划目标，充分衔接调峰需求情况，积极发展新型储能。</w:t>
      </w:r>
      <w:bookmarkEnd w:id="17"/>
    </w:p>
    <w:p w14:paraId="58EEED19">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10.持续巩固清洁取暖成果</w:t>
      </w:r>
    </w:p>
    <w:p w14:paraId="610AB7D7">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加强天然气、电等能源保供，做好清洁取暖设备运行、维护，完善资金补贴长效机制。完成种养殖业及农副产品加工业燃煤设施清洁能源替代。强化散煤管控，防止散煤复烧。综合推广采用空气源热泵、地源热泵、热风机等，对有清洁取暖改造意愿并具备实施条件的山区县用户实施清洁取暖改造，对已完成清洁取暖改造的地区，相关县（市、区）政府依法及时划定为高污染燃料禁燃区。</w:t>
      </w:r>
    </w:p>
    <w:p w14:paraId="733B9230">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bookmarkStart w:id="18" w:name="_Toc9087"/>
      <w:r>
        <w:rPr>
          <w:rFonts w:hint="eastAsia" w:ascii="Times New Roman" w:hAnsi="Times New Roman" w:eastAsia="楷体" w:cs="楷体"/>
          <w:sz w:val="32"/>
          <w:szCs w:val="32"/>
        </w:rPr>
        <w:t>（三）深化运输结构优化调整，大力发展绿色运输体系</w:t>
      </w:r>
    </w:p>
    <w:p w14:paraId="4F642888">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bookmarkStart w:id="19" w:name="_Toc4686"/>
      <w:r>
        <w:rPr>
          <w:rFonts w:hint="eastAsia" w:ascii="Times New Roman" w:hAnsi="Times New Roman" w:eastAsia="仿宋" w:cs="仿宋"/>
          <w:b/>
          <w:bCs/>
          <w:sz w:val="32"/>
          <w:szCs w:val="32"/>
        </w:rPr>
        <w:t>11.优化货物运输结构</w:t>
      </w:r>
    </w:p>
    <w:p w14:paraId="5073D53A">
      <w:pPr>
        <w:keepNext w:val="0"/>
        <w:keepLines w:val="0"/>
        <w:pageBreakBefore w:val="0"/>
        <w:kinsoku/>
        <w:wordWrap/>
        <w:overflowPunct/>
        <w:topLinePunct w:val="0"/>
        <w:autoSpaceDN/>
        <w:bidi w:val="0"/>
        <w:spacing w:line="540" w:lineRule="exact"/>
        <w:ind w:left="0" w:firstLine="640" w:firstLineChars="200"/>
        <w:textAlignment w:val="auto"/>
        <w:rPr>
          <w:rFonts w:ascii="Times New Roman" w:hAnsi="Times New Roman" w:eastAsia="仿宋" w:cs="Times New Roman"/>
          <w:sz w:val="32"/>
          <w:szCs w:val="32"/>
        </w:rPr>
      </w:pPr>
      <w:bookmarkStart w:id="20" w:name="OLE_LINK5"/>
      <w:r>
        <w:rPr>
          <w:rFonts w:hint="eastAsia" w:ascii="Times New Roman" w:hAnsi="Times New Roman" w:eastAsia="仿宋" w:cs="Times New Roman"/>
          <w:sz w:val="32"/>
          <w:szCs w:val="32"/>
        </w:rPr>
        <w:t>提升清洁运输比例。</w:t>
      </w:r>
      <w:bookmarkEnd w:id="20"/>
      <w:r>
        <w:rPr>
          <w:rFonts w:hint="eastAsia" w:ascii="Times New Roman" w:hAnsi="Times New Roman" w:eastAsia="仿宋" w:cs="Times New Roman"/>
          <w:sz w:val="32"/>
          <w:szCs w:val="32"/>
        </w:rPr>
        <w:t>完善物流园区、大型工矿企业铁路专用线网络，鼓励发展大宗货物“铁路干线+新能源重卡接驳”联运组织模式。到2027年，物流园区大宗货物清洁运输比例达到50%以上，2030年达到60%以上。到2027年，年运量150万吨以上接入铁路专用线的大型工矿企业采用铁路、封闭式皮带廊道、新能源货车、清洁能源货车等清洁低碳运输方式运量占比达到95%以上，2030年力争全面实现清洁低碳运输。加快铁路扩能改造、设备升级以及配套设施设备建设，2027年全市铁路货运总量较2024年增加5%以上，2030年增加8%以上。</w:t>
      </w:r>
    </w:p>
    <w:p w14:paraId="06C7FA86">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12.提升机动车清洁化水平</w:t>
      </w:r>
    </w:p>
    <w:p w14:paraId="0412ED62">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快推动公共领域用车新能源替代。到2027年，全市新增及更新的公交车、出租车（含网约车）中新能源或清洁能源汽车占比达100%；新增及更新环卫车辆新能源汽车占比不低于85%，其中，生活垃圾运输车全部采用新能源汽车；邮政、快递用车新增及更新新能源汽车比例不低于85%；大力提倡推广城市物流配送车配置使用新能源汽车。到2030年，公共领域新增及更新车辆中新能源汽车占比达到90%以上。</w:t>
      </w:r>
    </w:p>
    <w:p w14:paraId="5171747E">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推进货运车辆新能源替代。在重点行业企业、工业园区、物流园区等开展货运零排放区试点。鼓励全市短途运输新增及更新重型货车为新能源汽车，全市新能源重型货车比例逐步提高。</w:t>
      </w:r>
    </w:p>
    <w:p w14:paraId="088EF6B2">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13.强化柴油货车监管力度</w:t>
      </w:r>
    </w:p>
    <w:p w14:paraId="6F9AB3DF">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建立柴油货车常态化检查检测长效机制，加大柴油和尿素质量抽检力度，持续打击柴油货车破坏车载排放诊断系统（OBD），擅自拆除、闲置、改装污染控制装置，以及尾气超标排放等违法行为。加大路查路检力度，严格</w:t>
      </w:r>
      <w:bookmarkStart w:id="21" w:name="OLE_LINK3"/>
      <w:r>
        <w:rPr>
          <w:rFonts w:hint="eastAsia" w:ascii="Times New Roman" w:hAnsi="Times New Roman" w:eastAsia="仿宋" w:cs="Times New Roman"/>
          <w:sz w:val="32"/>
          <w:szCs w:val="32"/>
        </w:rPr>
        <w:t>重点用车企业</w:t>
      </w:r>
      <w:bookmarkEnd w:id="21"/>
      <w:r>
        <w:rPr>
          <w:rFonts w:hint="eastAsia" w:ascii="Times New Roman" w:hAnsi="Times New Roman" w:eastAsia="仿宋" w:cs="Times New Roman"/>
          <w:sz w:val="32"/>
          <w:szCs w:val="32"/>
        </w:rPr>
        <w:t>管理，加强重点用车企业柴油货车尾气排放、车用燃油和尿素质量及使用情况抽检。</w:t>
      </w:r>
    </w:p>
    <w:p w14:paraId="1CF36E78">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严格落实市政府《关于市区道路通行管理的通告》要求，从路权管理方面倒逼老旧车辆淘汰，制定高排放老旧车辆年度淘汰计划和鼓励性政策，做好淘汰车辆注销登记，持续推动高排放老旧车辆淘汰，2027年力争淘汰更新全部国四排放标准的营运柴油货车，2030年鼓励淘汰更新国五排放标准的营运柴油货车。</w:t>
      </w:r>
    </w:p>
    <w:p w14:paraId="41E1C032">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14.推进非道路移动机械清洁发展</w:t>
      </w:r>
    </w:p>
    <w:p w14:paraId="0C970666">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重点行业企业、工业园区、产业集群、物流园区、施工工地、矿山等新增或更新的内部车辆和非道路移动机械原则上采用新能源</w:t>
      </w:r>
      <w:r>
        <w:rPr>
          <w:rFonts w:hint="eastAsia" w:ascii="Times New Roman" w:hAnsi="Times New Roman" w:eastAsia="仿宋" w:cs="Times New Roman"/>
          <w:sz w:val="32"/>
          <w:szCs w:val="32"/>
          <w:lang w:eastAsia="zh-CN"/>
        </w:rPr>
        <w:t>，无对应新能源产品的，应满足国四及以上排放标准</w:t>
      </w:r>
      <w:r>
        <w:rPr>
          <w:rFonts w:hint="eastAsia" w:ascii="Times New Roman" w:hAnsi="Times New Roman" w:eastAsia="仿宋" w:cs="Times New Roman"/>
          <w:sz w:val="32"/>
          <w:szCs w:val="32"/>
        </w:rPr>
        <w:t>。机场新增作业车辆和非道路移动机械应电尽电。到2027年，全市建成区使用国四或新能源非道路移动机械，煤炭（开采、洗选等）、钢铁、火电、水泥（含粉磨站）、有色等重点行业内部作业车辆和机械更新为新能源</w:t>
      </w:r>
      <w:r>
        <w:rPr>
          <w:rFonts w:hint="eastAsia" w:ascii="Times New Roman" w:hAnsi="Times New Roman" w:eastAsia="仿宋" w:cs="Times New Roman"/>
          <w:sz w:val="32"/>
          <w:szCs w:val="32"/>
          <w:lang w:eastAsia="zh-CN"/>
        </w:rPr>
        <w:t>，无对应新能源产品的，应满足国四及以上排放标准</w:t>
      </w:r>
      <w:r>
        <w:rPr>
          <w:rFonts w:hint="eastAsia" w:ascii="Times New Roman" w:hAnsi="Times New Roman" w:eastAsia="仿宋" w:cs="Times New Roman"/>
          <w:sz w:val="32"/>
          <w:szCs w:val="32"/>
        </w:rPr>
        <w:t>。到2030年，全市工矿企业内部作业车辆和机械更新为新能源</w:t>
      </w:r>
      <w:r>
        <w:rPr>
          <w:rFonts w:hint="eastAsia" w:ascii="Times New Roman" w:hAnsi="Times New Roman" w:eastAsia="仿宋" w:cs="Times New Roman"/>
          <w:sz w:val="32"/>
          <w:szCs w:val="32"/>
          <w:lang w:eastAsia="zh-CN"/>
        </w:rPr>
        <w:t>，无对应新能源产品的，应满足国四及以上排放标准</w:t>
      </w:r>
      <w:r>
        <w:rPr>
          <w:rFonts w:hint="eastAsia" w:ascii="Times New Roman" w:hAnsi="Times New Roman" w:eastAsia="仿宋" w:cs="Times New Roman"/>
          <w:sz w:val="32"/>
          <w:szCs w:val="32"/>
        </w:rPr>
        <w:t>。持续推进工程机械和农业机械清洁化替代。</w:t>
      </w:r>
    </w:p>
    <w:p w14:paraId="18DD2E6E">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15.强化油品储运销环节监管</w:t>
      </w:r>
    </w:p>
    <w:p w14:paraId="784AEE5A">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全面清理整顿自建油罐、流动加油车和黑加油站点，加大生产和销售环节油品质量监督抽查频次，坚决打击将非标油品作为发动机燃料销售等行为。严格落实河北省油品储、运、销大气污染物排放标准要求，加强对加油站油气回收装置建设运行情况的监督管理，确保油气回收设施正常运行。</w:t>
      </w:r>
    </w:p>
    <w:bookmarkEnd w:id="19"/>
    <w:p w14:paraId="6DA6DBF8">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bookmarkStart w:id="22" w:name="_Toc17485"/>
      <w:r>
        <w:rPr>
          <w:rFonts w:hint="eastAsia" w:ascii="Times New Roman" w:hAnsi="Times New Roman" w:eastAsia="楷体" w:cs="楷体"/>
          <w:sz w:val="32"/>
          <w:szCs w:val="32"/>
        </w:rPr>
        <w:t>（四）持续推进扬尘污染</w:t>
      </w:r>
      <w:bookmarkEnd w:id="22"/>
      <w:r>
        <w:rPr>
          <w:rFonts w:hint="eastAsia" w:ascii="Times New Roman" w:hAnsi="Times New Roman" w:eastAsia="楷体" w:cs="楷体"/>
          <w:sz w:val="32"/>
          <w:szCs w:val="32"/>
        </w:rPr>
        <w:t>整治，强化面源污染精准管控</w:t>
      </w:r>
    </w:p>
    <w:p w14:paraId="35519AE0">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bookmarkStart w:id="23" w:name="_Toc32257"/>
      <w:bookmarkStart w:id="24" w:name="_Toc114435505"/>
      <w:r>
        <w:rPr>
          <w:rFonts w:hint="eastAsia" w:ascii="Times New Roman" w:hAnsi="Times New Roman" w:eastAsia="仿宋" w:cs="仿宋"/>
          <w:b/>
          <w:bCs/>
          <w:sz w:val="32"/>
          <w:szCs w:val="32"/>
        </w:rPr>
        <w:t>16.强化施工扬尘污染防治</w:t>
      </w:r>
    </w:p>
    <w:p w14:paraId="16AF5EDE">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施工工地积极推广应用装配式道路，基坑气膜全密闭施工配高压旋转喷淋降尘，楼体钢板网全封闭等绿色施工技术，以及施工过程所有机械设备、运输车辆实现全电（新能源）作业，到</w:t>
      </w:r>
      <w:r>
        <w:rPr>
          <w:rFonts w:hint="eastAsia" w:ascii="Times New Roman" w:hAnsi="Times New Roman" w:eastAsia="仿宋" w:cs="Times New Roman"/>
          <w:sz w:val="32"/>
          <w:szCs w:val="32"/>
          <w:lang w:val="en-US" w:eastAsia="zh-CN"/>
        </w:rPr>
        <w:t>2027</w:t>
      </w:r>
      <w:r>
        <w:rPr>
          <w:rFonts w:hint="eastAsia" w:ascii="Times New Roman" w:hAnsi="Times New Roman" w:eastAsia="仿宋" w:cs="Times New Roman"/>
          <w:sz w:val="32"/>
          <w:szCs w:val="32"/>
        </w:rPr>
        <w:t>年，长安区、桥西区、裕华区、新华区、高新区、栾城区、藁城区、井陉矿区、鹿泉区内</w:t>
      </w:r>
      <w:r>
        <w:rPr>
          <w:rFonts w:hint="eastAsia" w:ascii="Times New Roman" w:hAnsi="Times New Roman" w:eastAsia="仿宋" w:cs="Times New Roman"/>
          <w:sz w:val="32"/>
          <w:szCs w:val="32"/>
          <w:lang w:val="en-US" w:eastAsia="zh-CN"/>
        </w:rPr>
        <w:t>80%</w:t>
      </w:r>
      <w:r>
        <w:rPr>
          <w:rFonts w:hint="eastAsia" w:ascii="Times New Roman" w:hAnsi="Times New Roman" w:eastAsia="仿宋" w:cs="Times New Roman"/>
          <w:sz w:val="32"/>
          <w:szCs w:val="32"/>
        </w:rPr>
        <w:t>施工工地实现绿色无尘全电作业</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lang w:val="en-US" w:eastAsia="zh-CN"/>
        </w:rPr>
        <w:t>20230年力争全部实现</w:t>
      </w:r>
      <w:r>
        <w:rPr>
          <w:rFonts w:hint="eastAsia" w:ascii="Times New Roman" w:hAnsi="Times New Roman" w:eastAsia="仿宋" w:cs="Times New Roman"/>
          <w:sz w:val="32"/>
          <w:szCs w:val="32"/>
        </w:rPr>
        <w:t>。</w:t>
      </w:r>
    </w:p>
    <w:p w14:paraId="60D715CE">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17.强化道路扬尘综合治理</w:t>
      </w:r>
    </w:p>
    <w:p w14:paraId="366C71A7">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加强道路扬尘综合整治。按照《河北省城市精细化管理标准》有关要求，加快推进道路“五位一体、深度保洁”的作业模式。到20</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年，各县（市、区）主次干道、城乡接合部基本实现机械化清扫，不适宜机械化清扫的背街小巷等路面，实施“一扫两保”工作制和人工清扫保洁的作业方式</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全市城乡平交路口</w:t>
      </w:r>
      <w:r>
        <w:rPr>
          <w:rFonts w:hint="eastAsia" w:ascii="Times New Roman" w:hAnsi="Times New Roman" w:eastAsia="仿宋" w:cs="Times New Roman"/>
          <w:sz w:val="32"/>
          <w:szCs w:val="32"/>
          <w:lang w:eastAsia="zh-CN"/>
        </w:rPr>
        <w:t>基本</w:t>
      </w:r>
      <w:r>
        <w:rPr>
          <w:rFonts w:hint="eastAsia" w:ascii="Times New Roman" w:hAnsi="Times New Roman" w:eastAsia="仿宋" w:cs="Times New Roman"/>
          <w:sz w:val="32"/>
          <w:szCs w:val="32"/>
        </w:rPr>
        <w:t>完成硬化并保洁到位</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二环内四横八纵道路和出入市口路段路面尘土量不超过5g/m</w:t>
      </w:r>
      <w:r>
        <w:rPr>
          <w:rFonts w:hint="eastAsia" w:ascii="Times New Roman" w:hAnsi="Times New Roman" w:eastAsia="仿宋" w:cs="Times New Roman"/>
          <w:sz w:val="32"/>
          <w:szCs w:val="32"/>
          <w:vertAlign w:val="superscript"/>
        </w:rPr>
        <w:t>2</w:t>
      </w:r>
      <w:r>
        <w:rPr>
          <w:rFonts w:hint="eastAsia" w:ascii="Times New Roman" w:hAnsi="Times New Roman" w:eastAsia="仿宋" w:cs="Times New Roman"/>
          <w:sz w:val="32"/>
          <w:szCs w:val="32"/>
        </w:rPr>
        <w:t>、其他道路不超过10g/m</w:t>
      </w:r>
      <w:r>
        <w:rPr>
          <w:rFonts w:hint="eastAsia" w:ascii="Times New Roman" w:hAnsi="Times New Roman" w:eastAsia="仿宋" w:cs="Times New Roman"/>
          <w:sz w:val="32"/>
          <w:szCs w:val="32"/>
          <w:vertAlign w:val="superscript"/>
        </w:rPr>
        <w:t>2</w:t>
      </w:r>
      <w:r>
        <w:rPr>
          <w:rFonts w:hint="eastAsia" w:ascii="Times New Roman" w:hAnsi="Times New Roman" w:eastAsia="仿宋" w:cs="Times New Roman"/>
          <w:sz w:val="32"/>
          <w:szCs w:val="32"/>
          <w:vertAlign w:val="baseline"/>
          <w:lang w:eastAsia="zh-CN"/>
        </w:rPr>
        <w:t>，在此基础上，到</w:t>
      </w:r>
      <w:r>
        <w:rPr>
          <w:rFonts w:hint="eastAsia" w:ascii="Times New Roman" w:hAnsi="Times New Roman" w:eastAsia="仿宋" w:cs="Times New Roman"/>
          <w:sz w:val="32"/>
          <w:szCs w:val="32"/>
          <w:vertAlign w:val="baseline"/>
          <w:lang w:val="en-US" w:eastAsia="zh-CN"/>
        </w:rPr>
        <w:t>2030年稳定下降</w:t>
      </w:r>
      <w:r>
        <w:rPr>
          <w:rFonts w:hint="eastAsia" w:ascii="Times New Roman" w:hAnsi="Times New Roman" w:eastAsia="仿宋" w:cs="Times New Roman"/>
          <w:sz w:val="32"/>
          <w:szCs w:val="32"/>
        </w:rPr>
        <w:t>。常态化开展道路积尘走航监测，</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lang w:val="en-US" w:eastAsia="zh-CN"/>
        </w:rPr>
        <w:t>2027年，</w:t>
      </w:r>
      <w:r>
        <w:rPr>
          <w:rFonts w:hint="eastAsia" w:ascii="Times New Roman" w:hAnsi="Times New Roman" w:eastAsia="仿宋" w:cs="Times New Roman"/>
          <w:sz w:val="32"/>
          <w:szCs w:val="32"/>
        </w:rPr>
        <w:t>城市道路积尘负荷不高于0.3g/m</w:t>
      </w:r>
      <w:r>
        <w:rPr>
          <w:rFonts w:hint="eastAsia" w:ascii="Times New Roman" w:hAnsi="Times New Roman" w:eastAsia="仿宋" w:cs="Times New Roman"/>
          <w:sz w:val="32"/>
          <w:szCs w:val="32"/>
          <w:vertAlign w:val="superscript"/>
        </w:rPr>
        <w:t>2</w:t>
      </w:r>
      <w:r>
        <w:rPr>
          <w:rFonts w:hint="eastAsia" w:ascii="Times New Roman" w:hAnsi="Times New Roman" w:eastAsia="仿宋" w:cs="Times New Roman"/>
          <w:sz w:val="32"/>
          <w:szCs w:val="32"/>
        </w:rPr>
        <w:t>，交通干线道路积尘负荷不高于0.6g/m</w:t>
      </w:r>
      <w:r>
        <w:rPr>
          <w:rFonts w:hint="eastAsia" w:ascii="Times New Roman" w:hAnsi="Times New Roman" w:eastAsia="仿宋" w:cs="Times New Roman"/>
          <w:sz w:val="32"/>
          <w:szCs w:val="32"/>
          <w:vertAlign w:val="superscript"/>
        </w:rPr>
        <w:t>2</w:t>
      </w:r>
      <w:r>
        <w:rPr>
          <w:rFonts w:hint="eastAsia" w:ascii="Times New Roman" w:hAnsi="Times New Roman" w:eastAsia="仿宋" w:cs="Times New Roman"/>
          <w:sz w:val="32"/>
          <w:szCs w:val="32"/>
          <w:vertAlign w:val="baseline"/>
          <w:lang w:eastAsia="zh-CN"/>
        </w:rPr>
        <w:t>，在此基础上，到</w:t>
      </w:r>
      <w:r>
        <w:rPr>
          <w:rFonts w:hint="eastAsia" w:ascii="Times New Roman" w:hAnsi="Times New Roman" w:eastAsia="仿宋" w:cs="Times New Roman"/>
          <w:sz w:val="32"/>
          <w:szCs w:val="32"/>
          <w:vertAlign w:val="baseline"/>
          <w:lang w:val="en-US" w:eastAsia="zh-CN"/>
        </w:rPr>
        <w:t>2030年稳定下降</w:t>
      </w:r>
      <w:r>
        <w:rPr>
          <w:rFonts w:hint="eastAsia" w:ascii="Times New Roman" w:hAnsi="Times New Roman" w:eastAsia="仿宋" w:cs="Times New Roman"/>
          <w:sz w:val="32"/>
          <w:szCs w:val="32"/>
        </w:rPr>
        <w:t>。</w:t>
      </w:r>
    </w:p>
    <w:p w14:paraId="7950EA22">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18.加强堆场扬尘治理</w:t>
      </w:r>
    </w:p>
    <w:p w14:paraId="30330BB8">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加大对钢铁、水泥、铸造、耐火材料、砖瓦窑、陶瓷、钙镁、石灰、商砼等涉粉尘排放行业企业及集群物料堆场的监督检查力度，加强工业企业堆场无组织排放管控和提升改造，实现“五到位、一密闭”。到2027年，工业企业堆场基本完成抑尘设施建设和物料输送系统封闭改造，料棚或物料堆场安装视频监控，实现全覆盖、全时段、无盲区监控，并与城市大气污染防治指挥平台联网。</w:t>
      </w:r>
    </w:p>
    <w:p w14:paraId="315564F1">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19.推进矿山综合整治</w:t>
      </w:r>
    </w:p>
    <w:p w14:paraId="19B7D249">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矿山开采总量控制，禁止无证开采，严格矿产资源调查和评估，严格控制矿产开采许可证的发放，对于开采范围超过一定规模的矿区，必须经过严格的审批和评估程序。依法关闭限期整改仍不达标的露天矿山。</w:t>
      </w:r>
    </w:p>
    <w:p w14:paraId="2036121E">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不断提升采矿企业工艺装备、污染防治、综合利用、安全生产水平。制定砂石骨料行业提升改造方案，实施清洁化、智能化、绿色化改造。</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rPr>
        <w:t>2030年，矿山治污设施安装在线监控系统，持证在产两年以上的90%大型矿山和80%中型矿山，达到绿色矿山标准要求。积极推进绩效引领性矿山创建。</w:t>
      </w:r>
    </w:p>
    <w:p w14:paraId="5561DBC5">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20.强化餐饮油烟和恶臭异味治理</w:t>
      </w:r>
    </w:p>
    <w:p w14:paraId="2638EA5C">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加强城区餐饮服务单位油烟排放监督管理，全市涉及油烟排放的餐饮服务单位安装油烟净化装置并达标排放，中型规模及以上餐饮单位安装油烟在线监控。到2027年，完成鹿泉区、高新区餐饮设施集中清洗中心提升改造工程。紧盯恶臭异味问题，对群众投诉多、恶臭异味大的企业，开展针对性专项治理。城市和各县（市、区）建成区全面禁止占道露天烧烤。</w:t>
      </w:r>
    </w:p>
    <w:p w14:paraId="7083A46F">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21.加强秸秆综合利用与烟花爆竹禁燃禁放</w:t>
      </w:r>
    </w:p>
    <w:p w14:paraId="05482E70">
      <w:pPr>
        <w:keepNext w:val="0"/>
        <w:keepLines w:val="0"/>
        <w:pageBreakBefore w:val="0"/>
        <w:kinsoku/>
        <w:wordWrap/>
        <w:overflowPunct/>
        <w:topLinePunct w:val="0"/>
        <w:autoSpaceDN/>
        <w:bidi w:val="0"/>
        <w:snapToGrid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全面推动秸秆综合利用，全市秸秆综合利用率稳定达到97%以上。</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rPr>
        <w:t>2030年，全市秸秆基本得到全面有效利用。严禁农林废弃物田间焚烧。主要涉农区域安装视频监控和红外报警系统，实行秸秆禁烧网格化监测。严格落实</w:t>
      </w:r>
      <w:r>
        <w:rPr>
          <w:rFonts w:hint="eastAsia" w:ascii="Times New Roman" w:hAnsi="Times New Roman" w:cs="Times New Roman"/>
          <w:sz w:val="32"/>
          <w:szCs w:val="32"/>
          <w:lang w:eastAsia="zh-CN"/>
        </w:rPr>
        <w:t>全市</w:t>
      </w:r>
      <w:r>
        <w:rPr>
          <w:rFonts w:hint="eastAsia" w:ascii="Times New Roman" w:hAnsi="Times New Roman" w:eastAsia="仿宋" w:cs="Times New Roman"/>
          <w:sz w:val="32"/>
          <w:szCs w:val="32"/>
        </w:rPr>
        <w:t>关于烟花爆竹</w:t>
      </w:r>
      <w:r>
        <w:rPr>
          <w:rFonts w:hint="eastAsia" w:ascii="Times New Roman" w:hAnsi="Times New Roman" w:cs="Times New Roman"/>
          <w:sz w:val="32"/>
          <w:szCs w:val="32"/>
          <w:lang w:eastAsia="zh-CN"/>
        </w:rPr>
        <w:t>禁燃禁放的有关</w:t>
      </w:r>
      <w:r>
        <w:rPr>
          <w:rFonts w:hint="eastAsia" w:ascii="Times New Roman" w:hAnsi="Times New Roman" w:eastAsia="仿宋" w:cs="Times New Roman"/>
          <w:sz w:val="32"/>
          <w:szCs w:val="32"/>
        </w:rPr>
        <w:t>要求，严禁非法生产、销售、储存、运输烟花爆竹。</w:t>
      </w:r>
    </w:p>
    <w:p w14:paraId="3D2A38C2">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22.强化农业和畜禽养殖业氨排放控制</w:t>
      </w:r>
    </w:p>
    <w:p w14:paraId="17D03B8D">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改进施肥方式，提升化肥利用率。2027年主要农作物化肥利用率达到43%以上，2030年达到45%以上。藁城、新乐、行唐等畜禽养殖大县（市、区）编制年度畜禽养殖污染防治方案，推进粪污资源化利用全覆盖，不断提高畜禽粪污综合利用水平。持续推进大型规模化畜禽养殖场大气氨排放收集与治理，大气氨排放总量稳步下降。</w:t>
      </w:r>
    </w:p>
    <w:bookmarkEnd w:id="23"/>
    <w:bookmarkEnd w:id="24"/>
    <w:p w14:paraId="2A89583B">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r>
        <w:rPr>
          <w:rFonts w:hint="eastAsia" w:ascii="Times New Roman" w:hAnsi="Times New Roman" w:eastAsia="楷体" w:cs="楷体"/>
          <w:sz w:val="32"/>
          <w:szCs w:val="32"/>
        </w:rPr>
        <w:t>（五）深化重点行业深度治理，持续强化多污染物减排</w:t>
      </w:r>
      <w:bookmarkEnd w:id="18"/>
    </w:p>
    <w:p w14:paraId="720A9843">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bookmarkStart w:id="25" w:name="_Toc9830"/>
      <w:r>
        <w:rPr>
          <w:rFonts w:hint="eastAsia" w:ascii="Times New Roman" w:hAnsi="Times New Roman" w:eastAsia="仿宋" w:cs="仿宋"/>
          <w:b/>
          <w:bCs/>
          <w:sz w:val="32"/>
          <w:szCs w:val="32"/>
        </w:rPr>
        <w:t>23.深化重点行业深度治理</w:t>
      </w:r>
    </w:p>
    <w:p w14:paraId="2838AAC4">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钢铁行业。推进敬业钢铁烧结机CO治理提升工作</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lang w:val="en-US" w:eastAsia="zh-CN"/>
        </w:rPr>
        <w:t>2027年，</w:t>
      </w:r>
      <w:r>
        <w:rPr>
          <w:rFonts w:hint="eastAsia" w:ascii="Times New Roman" w:hAnsi="Times New Roman" w:eastAsia="仿宋" w:cs="Times New Roman"/>
          <w:sz w:val="32"/>
          <w:szCs w:val="32"/>
          <w:lang w:eastAsia="zh-CN"/>
        </w:rPr>
        <w:t>达到行业先进水平</w:t>
      </w:r>
      <w:r>
        <w:rPr>
          <w:rFonts w:hint="eastAsia" w:ascii="Times New Roman" w:hAnsi="Times New Roman" w:eastAsia="仿宋" w:cs="Times New Roman"/>
          <w:sz w:val="32"/>
          <w:szCs w:val="32"/>
        </w:rPr>
        <w:t>。强化钢铁企业脱硝设施自动化和喷氨精准化控制提升。推广使用均流式电除尘等新示范技术开展除尘设施提升。对焦炭仓、转运站、除尘器进行提标改造以及无组织治理。</w:t>
      </w:r>
    </w:p>
    <w:p w14:paraId="7082EA0B">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燃煤电厂。推进企业使用低硫低灰分高热值煤。到2027年，全市公用燃煤电厂完成并网全负荷脱硝改造、全流程超低排放改造、脱硫脱硝增容升级和精准喷氨控制优化提升。2028年在燃煤电厂企业开展CPM治理试点工作。</w:t>
      </w:r>
    </w:p>
    <w:p w14:paraId="76514711">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生物质（含垃圾）发电厂。通过烟气脱硝除尘系统优化升级、脱硝装置扩容升级和精准喷氨能力优化，全面提升多污染物协同减排，</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30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4家企业</w:t>
      </w:r>
      <w:r>
        <w:rPr>
          <w:rFonts w:hint="eastAsia" w:ascii="Times New Roman" w:hAnsi="Times New Roman" w:eastAsia="仿宋" w:cs="Times New Roman"/>
          <w:sz w:val="32"/>
          <w:szCs w:val="32"/>
          <w:lang w:eastAsia="zh-CN"/>
        </w:rPr>
        <w:t>完成</w:t>
      </w:r>
      <w:r>
        <w:rPr>
          <w:rFonts w:hint="eastAsia" w:ascii="Times New Roman" w:hAnsi="Times New Roman" w:eastAsia="仿宋" w:cs="Times New Roman"/>
          <w:sz w:val="32"/>
          <w:szCs w:val="32"/>
        </w:rPr>
        <w:t>升级改造。</w:t>
      </w:r>
    </w:p>
    <w:p w14:paraId="710E57F4">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陶瓷行业。深入开展建筑陶瓷行业创A行动，到2027年，4家陶瓷企业达到A级水平，到2030年，力争在产企业全部达到A级水平。</w:t>
      </w:r>
    </w:p>
    <w:p w14:paraId="69BD0F3F">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水泥行业。规范水泥行业产能管理，推动实际产能与备案产能统一，2026年确保水泥熟料生产线实际日产量不得超过备案日产能的110%，实际年产量不得超过备案年产能。推进水泥企业全流程超低排放改造，2026年完成超低排放公示。</w:t>
      </w:r>
    </w:p>
    <w:p w14:paraId="7AF769B1">
      <w:pPr>
        <w:keepNext w:val="0"/>
        <w:keepLines w:val="0"/>
        <w:pageBreakBefore w:val="0"/>
        <w:kinsoku/>
        <w:wordWrap/>
        <w:overflowPunct/>
        <w:topLinePunct w:val="0"/>
        <w:autoSpaceDE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人造板行业。推进人造板企业深度治理，强化脱硝设施扩容升级和精准喷氨控制优化提升。优先选择干法或半干法技术进行烟气脱硫。对热压、施胶、干燥等工序VOCs采取密闭收集，并在排放口加装FID在线监测设备，同时加强车间外VOCs无组织排放监测。</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rPr>
        <w:t>2030年</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4家企业</w:t>
      </w:r>
      <w:r>
        <w:rPr>
          <w:rFonts w:hint="eastAsia" w:ascii="Times New Roman" w:hAnsi="Times New Roman" w:eastAsia="仿宋" w:cs="Times New Roman"/>
          <w:sz w:val="32"/>
          <w:szCs w:val="32"/>
          <w:lang w:eastAsia="zh-CN"/>
        </w:rPr>
        <w:t>完成</w:t>
      </w:r>
      <w:r>
        <w:rPr>
          <w:rFonts w:hint="eastAsia" w:ascii="Times New Roman" w:hAnsi="Times New Roman" w:eastAsia="仿宋" w:cs="Times New Roman"/>
          <w:sz w:val="32"/>
          <w:szCs w:val="32"/>
        </w:rPr>
        <w:t>深度治理。</w:t>
      </w:r>
    </w:p>
    <w:p w14:paraId="118C9783">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24.深化工业炉窑综合治理</w:t>
      </w:r>
    </w:p>
    <w:p w14:paraId="599D457E">
      <w:pPr>
        <w:keepNext w:val="0"/>
        <w:keepLines w:val="0"/>
        <w:pageBreakBefore w:val="0"/>
        <w:kinsoku/>
        <w:wordWrap/>
        <w:overflowPunct/>
        <w:topLinePunct w:val="0"/>
        <w:autoSpaceDN/>
        <w:bidi w:val="0"/>
        <w:adjustRightInd w:val="0"/>
        <w:snapToGrid w:val="0"/>
        <w:spacing w:line="540" w:lineRule="exact"/>
        <w:ind w:left="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炭素行业。持续开展“升A晋B”行动，采用SNCR法脱硝的企业应利用自动控制手段精确控制尿素/氨水喷入量，煅烧炉、焙烧炉烟气脱硝采用单级低氮燃烧、单级SNCR或单级臭氧氧化技术的企业完成氮氧化物治理设施升级改造。</w:t>
      </w:r>
      <w:r>
        <w:rPr>
          <w:rFonts w:hint="eastAsia" w:ascii="Times New Roman" w:hAnsi="Times New Roman" w:eastAsia="仿宋" w:cs="Times New Roman"/>
          <w:sz w:val="32"/>
          <w:szCs w:val="32"/>
          <w:lang w:eastAsia="zh-CN"/>
        </w:rPr>
        <w:t>到</w:t>
      </w:r>
      <w:r>
        <w:rPr>
          <w:rFonts w:hint="eastAsia" w:ascii="Times New Roman" w:hAnsi="Times New Roman" w:eastAsia="仿宋" w:cs="Times New Roman"/>
          <w:sz w:val="32"/>
          <w:szCs w:val="32"/>
        </w:rPr>
        <w:t>2027年</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家企业</w:t>
      </w:r>
      <w:r>
        <w:rPr>
          <w:rFonts w:hint="eastAsia" w:ascii="Times New Roman" w:hAnsi="Times New Roman" w:eastAsia="仿宋" w:cs="Times New Roman"/>
          <w:sz w:val="32"/>
          <w:szCs w:val="32"/>
          <w:lang w:eastAsia="zh-CN"/>
        </w:rPr>
        <w:t>达到</w:t>
      </w:r>
      <w:r>
        <w:rPr>
          <w:rFonts w:hint="eastAsia" w:ascii="Times New Roman" w:hAnsi="Times New Roman" w:eastAsia="仿宋" w:cs="Times New Roman"/>
          <w:sz w:val="32"/>
          <w:szCs w:val="32"/>
          <w:lang w:val="en-US" w:eastAsia="zh-CN"/>
        </w:rPr>
        <w:t>A级水平</w:t>
      </w:r>
      <w:r>
        <w:rPr>
          <w:rFonts w:hint="eastAsia" w:ascii="Times New Roman" w:hAnsi="Times New Roman" w:eastAsia="仿宋" w:cs="Times New Roman"/>
          <w:sz w:val="32"/>
          <w:szCs w:val="32"/>
        </w:rPr>
        <w:t>。</w:t>
      </w:r>
    </w:p>
    <w:p w14:paraId="017FE8DD">
      <w:pPr>
        <w:keepNext w:val="0"/>
        <w:keepLines w:val="0"/>
        <w:pageBreakBefore w:val="0"/>
        <w:widowControl/>
        <w:kinsoku/>
        <w:wordWrap/>
        <w:overflowPunct/>
        <w:topLinePunct w:val="0"/>
        <w:autoSpaceDN/>
        <w:bidi w:val="0"/>
        <w:adjustRightInd w:val="0"/>
        <w:snapToGrid w:val="0"/>
        <w:spacing w:line="540" w:lineRule="exact"/>
        <w:ind w:left="0" w:firstLine="640" w:firstLineChars="200"/>
        <w:textAlignment w:val="auto"/>
        <w:rPr>
          <w:rFonts w:ascii="Times New Roman" w:hAnsi="Times New Roman" w:eastAsia="楷体_GB2312" w:cs="Times New Roman"/>
          <w:color w:val="000000"/>
          <w:sz w:val="32"/>
          <w:szCs w:val="32"/>
        </w:rPr>
      </w:pPr>
      <w:r>
        <w:rPr>
          <w:rFonts w:hint="eastAsia" w:ascii="Times New Roman" w:hAnsi="Times New Roman" w:eastAsia="仿宋" w:cs="Times New Roman"/>
          <w:sz w:val="32"/>
          <w:szCs w:val="32"/>
        </w:rPr>
        <w:t>铸造行业。到2027年，以铸造用生铁企业（石家庄市宏森熔炼铸造有限公司）为重点推进创A，开展精准喷氨控制优化提升和全流程超低排放改造，带动全市铸造“升A晋B”，促进铸造行业高质量发展。</w:t>
      </w:r>
    </w:p>
    <w:p w14:paraId="231523F4">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25.实施工业锅炉提标改造</w:t>
      </w:r>
    </w:p>
    <w:p w14:paraId="04D0AF91">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燃煤锅炉。强化燃煤锅炉超低监测评估，取缔直接向烟道内喷洒脱硫脱硝剂等敷衍式治理工艺，对无法稳定达标排放的脱硫脱硝一体化、简易氨法脱硫脱硝、氧化湿法脱硝等低效治理升级改造，强化锅炉脱硝设施增容升级，优化精准喷氨控制，全面提升氮氧化物排放控制。到2027年</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8家</w:t>
      </w:r>
      <w:r>
        <w:rPr>
          <w:rFonts w:hint="eastAsia" w:ascii="Times New Roman" w:hAnsi="Times New Roman" w:eastAsia="仿宋" w:cs="Times New Roman"/>
          <w:sz w:val="32"/>
          <w:szCs w:val="32"/>
          <w:lang w:eastAsia="zh-CN"/>
        </w:rPr>
        <w:t>企业</w:t>
      </w:r>
      <w:r>
        <w:rPr>
          <w:rFonts w:hint="eastAsia" w:ascii="Times New Roman" w:hAnsi="Times New Roman" w:eastAsia="仿宋" w:cs="Times New Roman"/>
          <w:sz w:val="32"/>
          <w:szCs w:val="32"/>
        </w:rPr>
        <w:t>完成升级改造。</w:t>
      </w:r>
    </w:p>
    <w:p w14:paraId="12500A9D">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燃气锅炉。对颗粒物、二氧化硫和氮氧化物浓度分别不能稳定控制在5mg/m</w:t>
      </w:r>
      <w:r>
        <w:rPr>
          <w:rFonts w:hint="eastAsia" w:ascii="Times New Roman" w:hAnsi="Times New Roman" w:eastAsia="仿宋" w:cs="Times New Roman"/>
          <w:sz w:val="32"/>
          <w:szCs w:val="32"/>
          <w:vertAlign w:val="superscript"/>
        </w:rPr>
        <w:t>3</w:t>
      </w:r>
      <w:r>
        <w:rPr>
          <w:rFonts w:hint="eastAsia" w:ascii="Times New Roman" w:hAnsi="Times New Roman" w:eastAsia="仿宋" w:cs="Times New Roman"/>
          <w:sz w:val="32"/>
          <w:szCs w:val="32"/>
        </w:rPr>
        <w:t>、10mg/m</w:t>
      </w:r>
      <w:r>
        <w:rPr>
          <w:rFonts w:hint="eastAsia" w:ascii="Times New Roman" w:hAnsi="Times New Roman" w:eastAsia="仿宋" w:cs="Times New Roman"/>
          <w:sz w:val="32"/>
          <w:szCs w:val="32"/>
          <w:vertAlign w:val="superscript"/>
        </w:rPr>
        <w:t>3</w:t>
      </w:r>
      <w:r>
        <w:rPr>
          <w:rFonts w:hint="eastAsia" w:ascii="Times New Roman" w:hAnsi="Times New Roman" w:eastAsia="仿宋" w:cs="Times New Roman"/>
          <w:sz w:val="32"/>
          <w:szCs w:val="32"/>
        </w:rPr>
        <w:t>、30mg/m</w:t>
      </w:r>
      <w:r>
        <w:rPr>
          <w:rFonts w:hint="eastAsia" w:ascii="Times New Roman" w:hAnsi="Times New Roman" w:eastAsia="仿宋" w:cs="Times New Roman"/>
          <w:sz w:val="32"/>
          <w:szCs w:val="32"/>
          <w:vertAlign w:val="superscript"/>
        </w:rPr>
        <w:t>3</w:t>
      </w:r>
      <w:r>
        <w:rPr>
          <w:rFonts w:hint="eastAsia" w:ascii="Times New Roman" w:hAnsi="Times New Roman" w:eastAsia="仿宋" w:cs="Times New Roman"/>
          <w:sz w:val="32"/>
          <w:szCs w:val="32"/>
        </w:rPr>
        <w:t>及以下的升级改造。具备改造条件的茶浴燃气锅炉改为电锅炉，对确无法替代的，实施脱硝深度治理。</w:t>
      </w:r>
    </w:p>
    <w:p w14:paraId="23B3EC3F">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26.推进工业VOCs综合整治</w:t>
      </w:r>
    </w:p>
    <w:p w14:paraId="159B0032">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大力推进低（无）VOCs原辅材料源头替代。到2027年，汽车、工程机械、家具、汽修、地坪等涂装全面使用低（无）VOCs含量涂料，胶黏剂、油墨等低（无）VOCs含量原辅材料替代比例提升到80%以上</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到2030年，胶黏剂、油墨等使用低（无）VOCs含量原辅材料比例提升到90%以上。按照《河北省低挥发性有机物原辅材料源头替代实施方案》要求，树立一批低VOCs原辅料替代标杆企业，在夏季臭氧管控期间给予政策支持，保障企业正常生产。</w:t>
      </w:r>
    </w:p>
    <w:p w14:paraId="05589872">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推进建设适宜高效的治污设施。按照国家及河北省新实施的标准加快推进有机化工、制药等重点行业治理设施升级改造</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按照“应收尽收、分质收集”原则，严禁生产工艺产生的高浓度废气和无组织收集的低浓度废气混合稀释排放。以橡胶、塑料制品、电子产业、炭素等行业为试点，推进工业企业VOCs低碳资源化治理技术应用示范。</w:t>
      </w:r>
    </w:p>
    <w:p w14:paraId="05CF6011">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严控工业无组织排放。按照《挥发性有机物无组织排放控制标准》要求，加强设备与管线组件泄漏控制，载有气态、液态VOCs物料设备与管线组件密封点定期开展泄漏检测与修复（LDAR）工作，建立常态化的监测和修复机制</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强化对LDAR工作定期抽查检查，严厉打击检测数据弄虚作假行为。开展挥发性有机液体储罐综合整治，推进低泄漏呼吸阀更换。</w:t>
      </w:r>
    </w:p>
    <w:p w14:paraId="0956B7C5">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强化工业园区VOCs综合治理。鼓励支持建设涉有机溶剂集中回收中心、集中涂装中心等VOCs“绿岛”项目，加快推进正定县家具喷涂中心、无极县常于活性炭脱附中心建设与投运</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推动石家庄市VOCs典型示范园区建设，强化涉VOCs排放重点工业园区的环境空气质量监测和污染源监测监控。</w:t>
      </w:r>
    </w:p>
    <w:p w14:paraId="08BC30A3">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全面开展制药、有机化工、表面涂装、包装印刷等涉VOCs重点行业企业环保绩效等级提升、重点企业废气深度治理。从源头替代、过程管控、末端治理全流程升级改造，实现行业VOCs排放</w:t>
      </w:r>
      <w:r>
        <w:rPr>
          <w:rFonts w:hint="eastAsia" w:ascii="Times New Roman" w:hAnsi="Times New Roman" w:eastAsia="仿宋" w:cs="Times New Roman"/>
          <w:sz w:val="32"/>
          <w:szCs w:val="32"/>
          <w:lang w:eastAsia="zh-CN"/>
        </w:rPr>
        <w:t>强度稳定下降</w:t>
      </w:r>
      <w:r>
        <w:rPr>
          <w:rFonts w:hint="eastAsia" w:ascii="Times New Roman" w:hAnsi="Times New Roman" w:eastAsia="仿宋" w:cs="Times New Roman"/>
          <w:sz w:val="32"/>
          <w:szCs w:val="32"/>
        </w:rPr>
        <w:t>。</w:t>
      </w:r>
    </w:p>
    <w:p w14:paraId="36A2A17A">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27.加强生活源VOCs排放管控</w:t>
      </w:r>
    </w:p>
    <w:p w14:paraId="0138A5AE">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开展汽修行业专项整治。鼓励汽修企业实施绿色汽修设施设备及工艺的升级改造。持续推动规模化的区域性钣喷中心建设。以市内四区汽车喷涂中心为依托，引导覆盖范围内4S店及大型汽修厂进入喷涂中心作业。</w:t>
      </w:r>
    </w:p>
    <w:p w14:paraId="26F67C5B">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加强建筑装饰行业无组织管控。严格控制装饰材料市场准入，严禁销售VOCs含量超标的涂料和胶粘剂</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在建筑墙体涂刷、护栏喷涂等市政工程中，全面推广使用低VOCs含量涂料和胶粘剂。</w:t>
      </w:r>
    </w:p>
    <w:p w14:paraId="590D847A">
      <w:pPr>
        <w:keepNext w:val="0"/>
        <w:keepLines w:val="0"/>
        <w:pageBreakBefore w:val="0"/>
        <w:widowControl/>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强化沥青产用全过程大气污染物控制。从源头削减、过程控制、末端治理实现全流程减排及异味控制，源头环节推广低挥发性沥青改性技术与清洁原料；过程环节在生产阶段优化加工工艺、运输阶段强化密封监测、施工阶段采用低温摊铺技术；末端环节研发复合净化技术，并构建智能运维管理系统，实现污染物全流程精准控制。</w:t>
      </w:r>
    </w:p>
    <w:bookmarkEnd w:id="25"/>
    <w:p w14:paraId="76A018DB">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bookmarkStart w:id="26" w:name="_Toc1740"/>
      <w:r>
        <w:rPr>
          <w:rFonts w:hint="eastAsia" w:ascii="Times New Roman" w:hAnsi="Times New Roman" w:eastAsia="楷体" w:cs="楷体"/>
          <w:sz w:val="32"/>
          <w:szCs w:val="32"/>
        </w:rPr>
        <w:t>（六）加强重污染天气应对，推动大气污染防治科学化</w:t>
      </w:r>
    </w:p>
    <w:p w14:paraId="76E66FE8">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28.完善重污染天气应对机制</w:t>
      </w:r>
    </w:p>
    <w:p w14:paraId="01601C48">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加强重污染天气应对能力建设，提升72小时精准预测预报能力。强化污染精准溯源与成因分析，为重点区域、重点行业、重点时段精准管控提供决策依据。进一步加强涉气工业企业应急减排清单审核力度，确保涉气工业企业应纳尽纳，减排措施科学精准。不断完善重污染天气绩效分级管理机制，强化重点行业企业绩效核查与评估。</w:t>
      </w:r>
    </w:p>
    <w:p w14:paraId="5F29B984">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29.实施季节性污染排放调控</w:t>
      </w:r>
    </w:p>
    <w:p w14:paraId="5EBEE21B">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在臭氧污染高发月份（5-9月），动态调整季节性生产调控措施。对重点涉VOCs企业开展全面排查，指导督促企业落实整改，限期未完成的依法实施停产整治。合理安排市政工程施工计划，规范各类涉VOCs作业时段要求，合理科学安排工期，避开晴朗高温天气。</w:t>
      </w:r>
    </w:p>
    <w:p w14:paraId="5BF5135A">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30.加强区域联防联控</w:t>
      </w:r>
    </w:p>
    <w:p w14:paraId="63F452F6">
      <w:pPr>
        <w:keepNext w:val="0"/>
        <w:keepLines w:val="0"/>
        <w:pageBreakBefore w:val="0"/>
        <w:kinsoku/>
        <w:wordWrap/>
        <w:overflowPunct/>
        <w:topLinePunct w:val="0"/>
        <w:autoSpaceDN/>
        <w:bidi w:val="0"/>
        <w:adjustRightInd w:val="0"/>
        <w:snapToGrid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加强与保定市、邢台市、邯郸市、衡水市、定州市、辛集市、阳泉市等沟通协调，共同构建环境空气质量监测网，在优先控制本地源的基础上，推动区域大气污染联防联控。按照国家、省相关文件要求，建立联合执法、跨区域执法和交叉执法体系，加大区域环境执法力度，加强应急联动合作。</w:t>
      </w:r>
    </w:p>
    <w:p w14:paraId="2F1F9D75">
      <w:pPr>
        <w:keepNext w:val="0"/>
        <w:keepLines w:val="0"/>
        <w:pageBreakBefore w:val="0"/>
        <w:kinsoku/>
        <w:wordWrap/>
        <w:overflowPunct/>
        <w:topLinePunct w:val="0"/>
        <w:autoSpaceDN/>
        <w:bidi w:val="0"/>
        <w:spacing w:line="540" w:lineRule="exact"/>
        <w:ind w:left="0" w:firstLine="640" w:firstLineChars="200"/>
        <w:textAlignment w:val="auto"/>
        <w:outlineLvl w:val="1"/>
        <w:rPr>
          <w:rFonts w:ascii="Times New Roman" w:hAnsi="Times New Roman" w:eastAsia="楷体" w:cs="楷体"/>
          <w:sz w:val="32"/>
          <w:szCs w:val="32"/>
        </w:rPr>
      </w:pPr>
      <w:r>
        <w:rPr>
          <w:rFonts w:hint="eastAsia" w:ascii="Times New Roman" w:hAnsi="Times New Roman" w:eastAsia="楷体" w:cs="楷体"/>
          <w:sz w:val="32"/>
          <w:szCs w:val="32"/>
        </w:rPr>
        <w:t>（七）持续加强支撑能力建设，提升现代化治理水平</w:t>
      </w:r>
    </w:p>
    <w:p w14:paraId="6AE84F2B">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31.提升环境污染监测监控能力</w:t>
      </w:r>
    </w:p>
    <w:p w14:paraId="6D321144">
      <w:pPr>
        <w:keepNext w:val="0"/>
        <w:keepLines w:val="0"/>
        <w:pageBreakBefore w:val="0"/>
        <w:kinsoku/>
        <w:wordWrap/>
        <w:overflowPunct/>
        <w:topLinePunct w:val="0"/>
        <w:autoSpaceDN/>
        <w:bidi w:val="0"/>
        <w:adjustRightInd w:val="0"/>
        <w:snapToGrid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持续完善“天地空”一体化监测网络，满足溯源、分析、评价、考核等大气环境管理需要。充分应用人工智能、区块链、物联网等新技术，推动监测数据采集、传输、处理、分析及应用全链条流程化、智能化。推进AI赋能的立体感知与数智化监管试点建设，实现“精准预警、精准溯源、精准管控、精准评估”。开展新污染物专项环境调查监测，在重点地区、典型工业园区开展调查监测试点。</w:t>
      </w:r>
    </w:p>
    <w:p w14:paraId="34CD463B">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32.加强执法监管能力</w:t>
      </w:r>
    </w:p>
    <w:p w14:paraId="420C07E5">
      <w:pPr>
        <w:keepNext w:val="0"/>
        <w:keepLines w:val="0"/>
        <w:pageBreakBefore w:val="0"/>
        <w:kinsoku/>
        <w:wordWrap/>
        <w:overflowPunct/>
        <w:topLinePunct w:val="0"/>
        <w:autoSpaceDN/>
        <w:bidi w:val="0"/>
        <w:adjustRightInd w:val="0"/>
        <w:snapToGrid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提升各级生态环境部门现场执法监测能力，加快配备便携式装备。应用异常视频识别、异常数据筛查、电子围栏、无人机巡检等技术和手段，提升非现场监管能力。完善执法教育培训体系，全市执法人员定期参加岗位培训，提升业务工作能力和岗位职责履行能力。</w:t>
      </w:r>
    </w:p>
    <w:p w14:paraId="6297BA73">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33.提升污染源自动监控能力</w:t>
      </w:r>
    </w:p>
    <w:p w14:paraId="71D8BAF2">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完善重点涉气工业企业全覆盖的监控体系，依法确定重点排污单位范围，扩大排污口在线监测企业覆盖面，VOCs重点排污单位依法安装自动监测设备并联网。耦合运用红外掩日通量测量仪、天顶差分吸收光谱仪等尖端技术，针对重点区域和工业园区定期开展排放通量监测，深化减排措施落实效果跟踪评估。开展畜禽养殖氨排放监测试点，逐步构建农业氨排放监测网络。</w:t>
      </w:r>
    </w:p>
    <w:p w14:paraId="2288C8B5">
      <w:pPr>
        <w:keepNext w:val="0"/>
        <w:keepLines w:val="0"/>
        <w:pageBreakBefore w:val="0"/>
        <w:kinsoku/>
        <w:wordWrap/>
        <w:overflowPunct/>
        <w:topLinePunct w:val="0"/>
        <w:autoSpaceDN/>
        <w:bidi w:val="0"/>
        <w:spacing w:line="540" w:lineRule="exact"/>
        <w:ind w:left="0" w:firstLine="643" w:firstLineChars="200"/>
        <w:textAlignment w:val="auto"/>
        <w:outlineLvl w:val="2"/>
        <w:rPr>
          <w:rFonts w:hint="eastAsia" w:ascii="Times New Roman" w:hAnsi="Times New Roman" w:eastAsia="仿宋" w:cs="仿宋"/>
          <w:b/>
          <w:bCs/>
          <w:sz w:val="32"/>
          <w:szCs w:val="32"/>
        </w:rPr>
      </w:pPr>
      <w:r>
        <w:rPr>
          <w:rFonts w:hint="eastAsia" w:ascii="Times New Roman" w:hAnsi="Times New Roman" w:eastAsia="仿宋" w:cs="仿宋"/>
          <w:b/>
          <w:bCs/>
          <w:sz w:val="32"/>
          <w:szCs w:val="32"/>
        </w:rPr>
        <w:t>34.增强科技支撑能力</w:t>
      </w:r>
    </w:p>
    <w:p w14:paraId="748885B7">
      <w:pPr>
        <w:keepNext w:val="0"/>
        <w:keepLines w:val="0"/>
        <w:pageBreakBefore w:val="0"/>
        <w:kinsoku/>
        <w:wordWrap/>
        <w:overflowPunct/>
        <w:topLinePunct w:val="0"/>
        <w:autoSpaceDN/>
        <w:bidi w:val="0"/>
        <w:spacing w:line="540" w:lineRule="exact"/>
        <w:ind w:left="0" w:firstLine="640" w:firstLineChars="200"/>
        <w:textAlignment w:val="auto"/>
        <w:rPr>
          <w:rFonts w:hint="eastAsia" w:ascii="Times New Roman" w:hAnsi="Times New Roman" w:eastAsia="楷体" w:cs="楷体"/>
          <w:color w:val="000000" w:themeColor="text1"/>
          <w:sz w:val="32"/>
          <w:szCs w:val="28"/>
          <w14:textFill>
            <w14:solidFill>
              <w14:schemeClr w14:val="tx1"/>
            </w14:solidFill>
          </w14:textFill>
        </w:rPr>
      </w:pPr>
      <w:r>
        <w:rPr>
          <w:rFonts w:hint="eastAsia" w:ascii="Times New Roman" w:hAnsi="Times New Roman" w:eastAsia="仿宋" w:cs="Times New Roman"/>
          <w:sz w:val="32"/>
          <w:szCs w:val="32"/>
        </w:rPr>
        <w:t>深入开展大气污染成因诊断和来源解析，针对重点行业开展VOCs特征污染物分析及光化学二次生成潜势分析，提升精准、科学、依法治污水平。完善大气环境管理综合决策支持平台，提升排放源管理与评估能力。推动京津冀环境综合治理国家科技重大专项落地。建立跨学科、跨部门、跨行业的深度合作和创新体系，积极引导政府部门、科研机构、社会团体开展重点污染源生产工艺及污染治理等关键技术研发和应用示范。</w:t>
      </w:r>
    </w:p>
    <w:p w14:paraId="347EC600">
      <w:pPr>
        <w:keepNext w:val="0"/>
        <w:keepLines w:val="0"/>
        <w:pageBreakBefore w:val="0"/>
        <w:kinsoku/>
        <w:wordWrap/>
        <w:overflowPunct/>
        <w:topLinePunct w:val="0"/>
        <w:autoSpaceDN/>
        <w:bidi w:val="0"/>
        <w:spacing w:line="540" w:lineRule="exact"/>
        <w:ind w:lef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四、保障措施</w:t>
      </w:r>
      <w:bookmarkEnd w:id="26"/>
    </w:p>
    <w:p w14:paraId="7E7EC60A">
      <w:pPr>
        <w:keepNext w:val="0"/>
        <w:keepLines w:val="0"/>
        <w:pageBreakBefore w:val="0"/>
        <w:kinsoku/>
        <w:wordWrap/>
        <w:overflowPunct/>
        <w:topLinePunct w:val="0"/>
        <w:autoSpaceDN/>
        <w:bidi w:val="0"/>
        <w:spacing w:line="540" w:lineRule="exact"/>
        <w:ind w:left="0" w:firstLine="640" w:firstLineChars="200"/>
        <w:textAlignment w:val="auto"/>
        <w:outlineLvl w:val="1"/>
        <w:rPr>
          <w:rFonts w:eastAsia="楷体" w:cs="楷体"/>
          <w:sz w:val="32"/>
          <w:szCs w:val="32"/>
        </w:rPr>
      </w:pPr>
      <w:bookmarkStart w:id="27" w:name="_Toc14359"/>
      <w:r>
        <w:rPr>
          <w:rFonts w:hint="eastAsia" w:eastAsia="楷体" w:cs="楷体"/>
          <w:sz w:val="32"/>
          <w:szCs w:val="32"/>
        </w:rPr>
        <w:t>（一）加强组织领导</w:t>
      </w:r>
      <w:bookmarkEnd w:id="27"/>
    </w:p>
    <w:p w14:paraId="608057E1">
      <w:pPr>
        <w:keepNext w:val="0"/>
        <w:keepLines w:val="0"/>
        <w:pageBreakBefore w:val="0"/>
        <w:kinsoku/>
        <w:wordWrap/>
        <w:overflowPunct/>
        <w:topLinePunct w:val="0"/>
        <w:autoSpaceDN/>
        <w:bidi w:val="0"/>
        <w:spacing w:line="540" w:lineRule="exact"/>
        <w:ind w:left="0" w:firstLine="640" w:firstLineChars="200"/>
        <w:textAlignment w:val="auto"/>
        <w:rPr>
          <w:rFonts w:eastAsia="仿宋" w:cs="Times New Roman"/>
          <w:sz w:val="32"/>
          <w:szCs w:val="32"/>
        </w:rPr>
      </w:pPr>
      <w:r>
        <w:rPr>
          <w:rFonts w:hint="eastAsia" w:eastAsia="仿宋" w:cs="Times New Roman"/>
          <w:sz w:val="32"/>
          <w:szCs w:val="32"/>
        </w:rPr>
        <w:t>各级人民政府对本行政区域内大气环境质量负责，加强统筹协调，推动各项目标任务按期落实。各部门根据重点任务和责任分工，扎实推进各项工作，建立互利互助的协同治理体系。各级人民政府组织开展规划目标任务年度评估，总结阶段工作成效，推动大气污染防治工作的科学有效开展。</w:t>
      </w:r>
    </w:p>
    <w:p w14:paraId="36B84275">
      <w:pPr>
        <w:keepNext w:val="0"/>
        <w:keepLines w:val="0"/>
        <w:pageBreakBefore w:val="0"/>
        <w:kinsoku/>
        <w:wordWrap/>
        <w:overflowPunct/>
        <w:topLinePunct w:val="0"/>
        <w:autoSpaceDN/>
        <w:bidi w:val="0"/>
        <w:spacing w:line="540" w:lineRule="exact"/>
        <w:ind w:left="0" w:firstLine="640" w:firstLineChars="200"/>
        <w:textAlignment w:val="auto"/>
        <w:outlineLvl w:val="1"/>
        <w:rPr>
          <w:rFonts w:eastAsia="楷体" w:cs="楷体"/>
          <w:sz w:val="32"/>
          <w:szCs w:val="32"/>
        </w:rPr>
      </w:pPr>
      <w:r>
        <w:rPr>
          <w:rFonts w:hint="eastAsia" w:eastAsia="楷体" w:cs="楷体"/>
          <w:sz w:val="32"/>
          <w:szCs w:val="32"/>
        </w:rPr>
        <w:t>（二）强化资金保障</w:t>
      </w:r>
    </w:p>
    <w:p w14:paraId="55DA55AC">
      <w:pPr>
        <w:keepNext w:val="0"/>
        <w:keepLines w:val="0"/>
        <w:pageBreakBefore w:val="0"/>
        <w:kinsoku/>
        <w:wordWrap/>
        <w:overflowPunct/>
        <w:topLinePunct w:val="0"/>
        <w:autoSpaceDN/>
        <w:bidi w:val="0"/>
        <w:spacing w:line="540" w:lineRule="exact"/>
        <w:ind w:left="0" w:firstLine="640" w:firstLineChars="200"/>
        <w:textAlignment w:val="auto"/>
        <w:rPr>
          <w:rFonts w:eastAsia="仿宋" w:cs="Times New Roman"/>
          <w:sz w:val="32"/>
          <w:szCs w:val="32"/>
        </w:rPr>
      </w:pPr>
      <w:r>
        <w:rPr>
          <w:rFonts w:hint="eastAsia" w:eastAsia="仿宋" w:cs="Times New Roman"/>
          <w:sz w:val="32"/>
          <w:szCs w:val="32"/>
        </w:rPr>
        <w:t>强化企业治污主体责任，建立“政府引导、市场运作、社会参与”的多元化投资机制。积极争取中央、省级大气污染防治资金，加快推进结构转型、重点行业和领域减排工程，全力推动美丽蓝天建设。强化企业治污主体责任，建立“财政引导，企业为主”的治理资金筹措机制，积极为企业争取财政补助。鼓励银行业金融机构积极拓展绿色金融业务，助力企业提升污染治理水平。</w:t>
      </w:r>
    </w:p>
    <w:p w14:paraId="34159927">
      <w:pPr>
        <w:keepNext w:val="0"/>
        <w:keepLines w:val="0"/>
        <w:pageBreakBefore w:val="0"/>
        <w:kinsoku/>
        <w:wordWrap/>
        <w:overflowPunct/>
        <w:topLinePunct w:val="0"/>
        <w:autoSpaceDN/>
        <w:bidi w:val="0"/>
        <w:spacing w:line="540" w:lineRule="exact"/>
        <w:ind w:left="0" w:firstLine="640" w:firstLineChars="200"/>
        <w:textAlignment w:val="auto"/>
        <w:outlineLvl w:val="1"/>
        <w:rPr>
          <w:rFonts w:eastAsia="楷体" w:cs="楷体"/>
          <w:sz w:val="32"/>
          <w:szCs w:val="32"/>
        </w:rPr>
      </w:pPr>
      <w:r>
        <w:rPr>
          <w:rFonts w:hint="eastAsia" w:eastAsia="楷体" w:cs="楷体"/>
          <w:sz w:val="32"/>
          <w:szCs w:val="32"/>
        </w:rPr>
        <w:t>（三）加强人才建设</w:t>
      </w:r>
    </w:p>
    <w:p w14:paraId="3BA135B3">
      <w:pPr>
        <w:keepNext w:val="0"/>
        <w:keepLines w:val="0"/>
        <w:pageBreakBefore w:val="0"/>
        <w:kinsoku/>
        <w:wordWrap/>
        <w:overflowPunct/>
        <w:topLinePunct w:val="0"/>
        <w:autoSpaceDN/>
        <w:bidi w:val="0"/>
        <w:spacing w:line="540" w:lineRule="exact"/>
        <w:ind w:left="0" w:firstLine="640" w:firstLineChars="200"/>
        <w:textAlignment w:val="auto"/>
        <w:rPr>
          <w:rFonts w:eastAsia="仿宋" w:cs="Times New Roman"/>
          <w:sz w:val="32"/>
          <w:szCs w:val="32"/>
        </w:rPr>
      </w:pPr>
      <w:r>
        <w:rPr>
          <w:rFonts w:hint="eastAsia" w:eastAsia="仿宋" w:cs="Times New Roman"/>
          <w:sz w:val="32"/>
          <w:szCs w:val="32"/>
        </w:rPr>
        <w:t>稳步推进基层环保人才队伍建设，切实增强管理力量。努力创新基层环保人才培训模式，紧紧围绕重点、难点工作和急需业务领域，提升基层环保人才实际操作和解决问题能力。积极推行人才柔性流动机制，聘请相关领域高层次专家解决业务难题，培养带动基层环保专业技术人才队伍。</w:t>
      </w:r>
    </w:p>
    <w:p w14:paraId="3295E746">
      <w:pPr>
        <w:keepNext w:val="0"/>
        <w:keepLines w:val="0"/>
        <w:pageBreakBefore w:val="0"/>
        <w:kinsoku/>
        <w:wordWrap/>
        <w:overflowPunct/>
        <w:topLinePunct w:val="0"/>
        <w:autoSpaceDN/>
        <w:bidi w:val="0"/>
        <w:spacing w:line="540" w:lineRule="exact"/>
        <w:ind w:left="0" w:firstLine="640" w:firstLineChars="200"/>
        <w:textAlignment w:val="auto"/>
        <w:outlineLvl w:val="1"/>
        <w:rPr>
          <w:rFonts w:eastAsia="楷体" w:cs="楷体"/>
          <w:sz w:val="32"/>
          <w:szCs w:val="32"/>
        </w:rPr>
      </w:pPr>
      <w:r>
        <w:rPr>
          <w:rFonts w:hint="eastAsia" w:eastAsia="楷体" w:cs="楷体"/>
          <w:sz w:val="32"/>
          <w:szCs w:val="32"/>
        </w:rPr>
        <w:t>（四）动员社会参与</w:t>
      </w:r>
    </w:p>
    <w:p w14:paraId="486AC49A">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left="0" w:firstLine="640" w:firstLineChars="200"/>
        <w:textAlignment w:val="auto"/>
        <w:rPr>
          <w:rFonts w:ascii="宋体" w:hAnsi="宋体" w:eastAsia="宋体"/>
          <w:sz w:val="30"/>
          <w:szCs w:val="30"/>
        </w:rPr>
      </w:pPr>
      <w:r>
        <w:rPr>
          <w:rFonts w:hint="eastAsia" w:eastAsia="仿宋" w:cs="Times New Roman"/>
          <w:sz w:val="32"/>
          <w:szCs w:val="32"/>
        </w:rPr>
        <w:t>强化舆论宣传引导，综合运用传统媒体和新媒体，宣传污染治理成效，普及大气污染防治科学知识。鼓励企业深入践行绿色生产，推进治污减排。鼓励公众积极提供环境违法行为线索，曝光典型环境违法问题。大力推动公众参与大气环境保护，倡导志愿服务行动，共同改善空气质量</w:t>
      </w:r>
      <w:r>
        <w:rPr>
          <w:rFonts w:hint="eastAsia" w:cs="Times New Roman"/>
          <w:sz w:val="32"/>
          <w:szCs w:val="32"/>
          <w:lang w:eastAsia="zh-CN"/>
        </w:rPr>
        <w:t>。</w:t>
      </w:r>
    </w:p>
    <w:sectPr>
      <w:footerReference r:id="rId5" w:type="default"/>
      <w:pgSz w:w="11906" w:h="16838"/>
      <w:pgMar w:top="2098" w:right="1474" w:bottom="1984" w:left="1587" w:header="851" w:footer="283" w:gutter="0"/>
      <w:pgBorders>
        <w:top w:val="none" w:sz="0" w:space="0"/>
        <w:left w:val="none" w:sz="0" w:space="0"/>
        <w:bottom w:val="none" w:sz="0" w:space="0"/>
        <w:right w:val="none" w:sz="0" w:space="0"/>
      </w:pgBorders>
      <w:pgNumType w:fmt="numberInDash" w:start="1"/>
      <w:cols w:space="425" w:num="1"/>
      <w:docGrid w:type="line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C49516">
    <w:pPr>
      <w:pStyle w:val="11"/>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-279400</wp:posOffset>
              </wp:positionV>
              <wp:extent cx="1828800" cy="516255"/>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51625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77B38A">
                          <w:pPr>
                            <w:pStyle w:val="11"/>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- 14 -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22pt;height:40.65pt;width:144pt;mso-position-horizontal-relative:margin;mso-wrap-style:none;z-index:251659264;mso-width-relative:page;mso-height-relative:page;" filled="f" stroked="f" coordsize="21600,21600" o:gfxdata="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7bmhNoAAAAKAQAADwAAAAAAAAABACAAAAAiAAAAZHJzL2Rvd25y&#10;ZXYueG1sUEsBAhQAFAAAAAgAh07iQGUCheg1AgAAYAQAAA4AAAAAAAAAAQAgAAAAKQEAAGRycy9l&#10;Mm9Eb2MueG1sUEsFBgAAAAAGAAYAWQEAANAFAAAAAA==&#10;">
              <v:fill on="f" focussize="0,0"/>
              <v:stroke on="f" weight="0.5pt"/>
              <v:imagedata o:title=""/>
              <o:lock v:ext="edit" aspectratio="f"/>
              <v:textbox inset="0mm,0mm,0mm,0mm">
                <w:txbxContent>
                  <w:p w14:paraId="2977B38A">
                    <w:pPr>
                      <w:pStyle w:val="11"/>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- 14 -</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jb3VudCI6MTIsImhkaWQiOiIxZDhiMmE1Mjg3NGE5NDAyYjQzNTg4ZTcxYTBlNmQ3NyIsInVzZXJDb3VudCI6Mn0="/>
  </w:docVars>
  <w:rsids>
    <w:rsidRoot w:val="0D162B09"/>
    <w:rsid w:val="00006E19"/>
    <w:rsid w:val="00032834"/>
    <w:rsid w:val="001446B0"/>
    <w:rsid w:val="001C3CF4"/>
    <w:rsid w:val="0020765C"/>
    <w:rsid w:val="0023547A"/>
    <w:rsid w:val="002432C8"/>
    <w:rsid w:val="00325765"/>
    <w:rsid w:val="00470D99"/>
    <w:rsid w:val="004C76BD"/>
    <w:rsid w:val="004F4A1D"/>
    <w:rsid w:val="007361EC"/>
    <w:rsid w:val="007663C0"/>
    <w:rsid w:val="00840548"/>
    <w:rsid w:val="00874AF6"/>
    <w:rsid w:val="008938E9"/>
    <w:rsid w:val="009514EC"/>
    <w:rsid w:val="009562EA"/>
    <w:rsid w:val="009748D9"/>
    <w:rsid w:val="00995079"/>
    <w:rsid w:val="00A013E1"/>
    <w:rsid w:val="00AB5831"/>
    <w:rsid w:val="00C405ED"/>
    <w:rsid w:val="00CC10E5"/>
    <w:rsid w:val="00F904A1"/>
    <w:rsid w:val="031361E6"/>
    <w:rsid w:val="06071298"/>
    <w:rsid w:val="065E2E82"/>
    <w:rsid w:val="07CC1379"/>
    <w:rsid w:val="082E6BA6"/>
    <w:rsid w:val="08805332"/>
    <w:rsid w:val="0CA85B9C"/>
    <w:rsid w:val="0D162B09"/>
    <w:rsid w:val="0EC37367"/>
    <w:rsid w:val="0F2A3054"/>
    <w:rsid w:val="17F458CF"/>
    <w:rsid w:val="196D617D"/>
    <w:rsid w:val="1C25283A"/>
    <w:rsid w:val="21313715"/>
    <w:rsid w:val="2AA54D7B"/>
    <w:rsid w:val="2D3508D2"/>
    <w:rsid w:val="2E784366"/>
    <w:rsid w:val="32092860"/>
    <w:rsid w:val="35935DF5"/>
    <w:rsid w:val="373158C6"/>
    <w:rsid w:val="3C145AEB"/>
    <w:rsid w:val="3C6B45FB"/>
    <w:rsid w:val="43C26D14"/>
    <w:rsid w:val="485D0ADD"/>
    <w:rsid w:val="4B9F0243"/>
    <w:rsid w:val="50332161"/>
    <w:rsid w:val="53D6037D"/>
    <w:rsid w:val="55630B3E"/>
    <w:rsid w:val="581C03F5"/>
    <w:rsid w:val="597B589C"/>
    <w:rsid w:val="5BDB7377"/>
    <w:rsid w:val="5D557CB0"/>
    <w:rsid w:val="5E012091"/>
    <w:rsid w:val="5E643C45"/>
    <w:rsid w:val="5F8D06FF"/>
    <w:rsid w:val="606C3D6D"/>
    <w:rsid w:val="60AA1417"/>
    <w:rsid w:val="60C70490"/>
    <w:rsid w:val="62176EB0"/>
    <w:rsid w:val="631A2644"/>
    <w:rsid w:val="6D5FB266"/>
    <w:rsid w:val="73776DA6"/>
    <w:rsid w:val="76AE7870"/>
    <w:rsid w:val="76E2020D"/>
    <w:rsid w:val="7C5B2A78"/>
    <w:rsid w:val="7C671726"/>
    <w:rsid w:val="AFBCA20D"/>
    <w:rsid w:val="BE7B7315"/>
    <w:rsid w:val="DEFDA0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Calibri" w:hAnsi="Calibri" w:eastAsia="仿宋" w:cs="Times New Roman"/>
      <w:kern w:val="2"/>
      <w:sz w:val="28"/>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240" w:lineRule="auto"/>
      <w:jc w:val="left"/>
      <w:outlineLvl w:val="0"/>
    </w:pPr>
    <w:rPr>
      <w:rFonts w:eastAsia="黑体" w:asciiTheme="minorAscii" w:hAnsiTheme="minorAscii"/>
      <w:kern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99"/>
    <w:pPr>
      <w:ind w:firstLine="420"/>
    </w:pPr>
    <w:rPr>
      <w:rFonts w:cs="Times New Roman"/>
    </w:rPr>
  </w:style>
  <w:style w:type="paragraph" w:styleId="5">
    <w:name w:val="index 5"/>
    <w:basedOn w:val="1"/>
    <w:next w:val="1"/>
    <w:qFormat/>
    <w:uiPriority w:val="0"/>
    <w:pPr>
      <w:ind w:left="800" w:leftChars="800"/>
    </w:pPr>
  </w:style>
  <w:style w:type="paragraph" w:styleId="6">
    <w:name w:val="Body Text"/>
    <w:basedOn w:val="1"/>
    <w:next w:val="7"/>
    <w:qFormat/>
    <w:uiPriority w:val="0"/>
    <w:pPr>
      <w:spacing w:after="120" w:afterLines="0" w:afterAutospacing="0"/>
    </w:pPr>
  </w:style>
  <w:style w:type="paragraph" w:customStyle="1" w:styleId="7">
    <w:name w:val="正文部分 Char Char Char"/>
    <w:basedOn w:val="6"/>
    <w:next w:val="8"/>
    <w:qFormat/>
    <w:uiPriority w:val="0"/>
    <w:pPr>
      <w:spacing w:line="460" w:lineRule="exact"/>
      <w:textAlignment w:val="baseline"/>
    </w:pPr>
    <w:rPr>
      <w:rFonts w:hAnsi="Calibri"/>
      <w:sz w:val="24"/>
    </w:rPr>
  </w:style>
  <w:style w:type="paragraph" w:customStyle="1" w:styleId="8">
    <w:name w:val="章标题"/>
    <w:basedOn w:val="9"/>
    <w:qFormat/>
    <w:uiPriority w:val="0"/>
    <w:pPr>
      <w:spacing w:line="360" w:lineRule="auto"/>
    </w:pPr>
  </w:style>
  <w:style w:type="paragraph" w:styleId="9">
    <w:name w:val="Title"/>
    <w:basedOn w:val="1"/>
    <w:next w:val="1"/>
    <w:qFormat/>
    <w:uiPriority w:val="10"/>
    <w:pPr>
      <w:spacing w:after="80"/>
      <w:contextualSpacing/>
      <w:jc w:val="center"/>
    </w:pPr>
    <w:rPr>
      <w:rFonts w:ascii="等线 Light" w:hAnsi="等线 Light" w:eastAsia="等线 Light" w:cs="宋体"/>
      <w:spacing w:val="-10"/>
      <w:kern w:val="28"/>
      <w:sz w:val="56"/>
      <w:szCs w:val="56"/>
    </w:rPr>
  </w:style>
  <w:style w:type="paragraph" w:styleId="10">
    <w:name w:val="Body Text Indent"/>
    <w:basedOn w:val="1"/>
    <w:qFormat/>
    <w:uiPriority w:val="0"/>
    <w:pPr>
      <w:spacing w:after="120"/>
      <w:ind w:left="420" w:leftChars="200"/>
    </w:pPr>
    <w:rPr>
      <w:rFonts w:ascii="Times New Roman" w:hAnsi="Times New Roman" w:eastAsia="宋体" w:cs="Times New Roman"/>
    </w:rPr>
  </w:style>
  <w:style w:type="paragraph" w:styleId="11">
    <w:name w:val="footer"/>
    <w:basedOn w:val="1"/>
    <w:link w:val="23"/>
    <w:unhideWhenUsed/>
    <w:qFormat/>
    <w:uiPriority w:val="99"/>
    <w:pPr>
      <w:tabs>
        <w:tab w:val="center" w:pos="4153"/>
        <w:tab w:val="right" w:pos="8306"/>
      </w:tabs>
      <w:snapToGrid w:val="0"/>
      <w:spacing w:line="240" w:lineRule="auto"/>
      <w:jc w:val="left"/>
    </w:pPr>
    <w:rPr>
      <w:rFonts w:asciiTheme="minorHAnsi" w:hAnsiTheme="minorHAnsi" w:eastAsiaTheme="minorEastAsia" w:cstheme="minorBidi"/>
      <w:sz w:val="18"/>
      <w:szCs w:val="18"/>
    </w:rPr>
  </w:style>
  <w:style w:type="paragraph" w:styleId="12">
    <w:name w:val="header"/>
    <w:basedOn w:val="1"/>
    <w:next w:val="13"/>
    <w:link w:val="22"/>
    <w:unhideWhenUsed/>
    <w:qFormat/>
    <w:uiPriority w:val="99"/>
    <w:pPr>
      <w:pBdr>
        <w:bottom w:val="single" w:color="auto" w:sz="6" w:space="1"/>
      </w:pBdr>
      <w:tabs>
        <w:tab w:val="center" w:pos="4153"/>
        <w:tab w:val="right" w:pos="8306"/>
      </w:tabs>
      <w:snapToGrid w:val="0"/>
      <w:spacing w:line="240" w:lineRule="auto"/>
      <w:jc w:val="center"/>
    </w:pPr>
    <w:rPr>
      <w:rFonts w:asciiTheme="minorHAnsi" w:hAnsiTheme="minorHAnsi" w:eastAsiaTheme="minorEastAsia" w:cstheme="minorBidi"/>
      <w:sz w:val="18"/>
      <w:szCs w:val="18"/>
    </w:rPr>
  </w:style>
  <w:style w:type="paragraph" w:customStyle="1" w:styleId="13">
    <w:name w:val="样式5"/>
    <w:basedOn w:val="14"/>
    <w:qFormat/>
    <w:uiPriority w:val="0"/>
    <w:pPr>
      <w:keepNext/>
      <w:keepLines/>
      <w:widowControl w:val="0"/>
      <w:snapToGrid w:val="0"/>
      <w:spacing w:line="300" w:lineRule="auto"/>
      <w:jc w:val="both"/>
    </w:pPr>
    <w:rPr>
      <w:rFonts w:ascii="Times New Roman" w:hAnsi="Times New Roman" w:eastAsia="楷体_GB2312" w:cs="Times New Roman"/>
      <w:sz w:val="21"/>
      <w:szCs w:val="32"/>
      <w:shd w:val="clear" w:color="auto" w:fill="FFFFFF"/>
    </w:rPr>
  </w:style>
  <w:style w:type="paragraph" w:customStyle="1" w:styleId="14">
    <w:name w:val="正文1"/>
    <w:basedOn w:val="1"/>
    <w:qFormat/>
    <w:uiPriority w:val="0"/>
    <w:pPr>
      <w:adjustRightInd w:val="0"/>
      <w:snapToGrid w:val="0"/>
      <w:spacing w:line="480" w:lineRule="exact"/>
      <w:ind w:firstLine="200" w:firstLineChars="200"/>
    </w:pPr>
    <w:rPr>
      <w:rFonts w:ascii="Times New Roman" w:hAnsi="Times New Roman" w:eastAsia="宋体" w:cs="Times New Roman"/>
      <w:kern w:val="2"/>
      <w:sz w:val="24"/>
      <w:szCs w:val="20"/>
    </w:rPr>
  </w:style>
  <w:style w:type="paragraph" w:styleId="1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6">
    <w:name w:val="Body Text First Indent 2"/>
    <w:basedOn w:val="10"/>
    <w:qFormat/>
    <w:uiPriority w:val="0"/>
    <w:pPr>
      <w:widowControl w:val="0"/>
      <w:spacing w:line="360" w:lineRule="auto"/>
      <w:ind w:firstLine="420" w:firstLineChars="200"/>
      <w:jc w:val="both"/>
      <w:textAlignment w:val="baseline"/>
    </w:pPr>
    <w:rPr>
      <w:rFonts w:hint="eastAsia" w:ascii="Times New Roman" w:hAnsi="Times New Roman" w:eastAsia="宋体" w:cs="Times New Roman"/>
      <w:kern w:val="2"/>
      <w:sz w:val="24"/>
      <w:szCs w:val="24"/>
      <w:lang w:val="en-US" w:eastAsia="zh-CN" w:bidi="ar-SA"/>
    </w:rPr>
  </w:style>
  <w:style w:type="table" w:styleId="18">
    <w:name w:val="Table Grid"/>
    <w:basedOn w:val="17"/>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0">
    <w:name w:val="Default"/>
    <w:next w:val="5"/>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21">
    <w:name w:val="Normal Indent1"/>
    <w:basedOn w:val="1"/>
    <w:qFormat/>
    <w:uiPriority w:val="0"/>
    <w:pPr>
      <w:ind w:firstLine="420" w:firstLineChars="200"/>
    </w:pPr>
  </w:style>
  <w:style w:type="character" w:customStyle="1" w:styleId="22">
    <w:name w:val="页眉 Char"/>
    <w:basedOn w:val="19"/>
    <w:link w:val="12"/>
    <w:qFormat/>
    <w:uiPriority w:val="99"/>
    <w:rPr>
      <w:sz w:val="18"/>
      <w:szCs w:val="18"/>
    </w:rPr>
  </w:style>
  <w:style w:type="character" w:customStyle="1" w:styleId="23">
    <w:name w:val="页脚 Char"/>
    <w:basedOn w:val="19"/>
    <w:link w:val="11"/>
    <w:qFormat/>
    <w:uiPriority w:val="99"/>
    <w:rPr>
      <w:sz w:val="18"/>
      <w:szCs w:val="18"/>
    </w:rPr>
  </w:style>
  <w:style w:type="paragraph" w:customStyle="1" w:styleId="24">
    <w:name w:val="段落正文"/>
    <w:basedOn w:val="1"/>
    <w:qFormat/>
    <w:uiPriority w:val="0"/>
  </w:style>
  <w:style w:type="character" w:customStyle="1" w:styleId="25">
    <w:name w:val="font31"/>
    <w:basedOn w:val="19"/>
    <w:qFormat/>
    <w:uiPriority w:val="0"/>
    <w:rPr>
      <w:rFonts w:ascii="黑体" w:hAnsi="宋体" w:eastAsia="黑体" w:cs="黑体"/>
      <w:color w:val="000000"/>
      <w:sz w:val="24"/>
      <w:szCs w:val="24"/>
      <w:u w:val="none"/>
    </w:rPr>
  </w:style>
  <w:style w:type="character" w:customStyle="1" w:styleId="26">
    <w:name w:val="font21"/>
    <w:basedOn w:val="19"/>
    <w:qFormat/>
    <w:uiPriority w:val="0"/>
    <w:rPr>
      <w:rFonts w:hint="default" w:ascii="Times New Roman" w:hAnsi="Times New Roman" w:cs="Times New Roman"/>
      <w:color w:val="000000"/>
      <w:sz w:val="24"/>
      <w:szCs w:val="24"/>
      <w:u w:val="none"/>
    </w:rPr>
  </w:style>
  <w:style w:type="character" w:customStyle="1" w:styleId="27">
    <w:name w:val="font41"/>
    <w:basedOn w:val="19"/>
    <w:qFormat/>
    <w:uiPriority w:val="0"/>
    <w:rPr>
      <w:rFonts w:ascii="仿宋_GB2312" w:eastAsia="仿宋_GB2312" w:cs="仿宋_GB2312"/>
      <w:color w:val="000000"/>
      <w:sz w:val="24"/>
      <w:szCs w:val="24"/>
      <w:u w:val="none"/>
    </w:rPr>
  </w:style>
  <w:style w:type="paragraph" w:styleId="28">
    <w:name w:val="List Paragraph"/>
    <w:basedOn w:val="1"/>
    <w:unhideWhenUsed/>
    <w:qFormat/>
    <w:uiPriority w:val="34"/>
    <w:pPr>
      <w:ind w:firstLine="420"/>
    </w:pPr>
    <w:rPr>
      <w:rFonts w:asciiTheme="minorHAnsi" w:hAnsiTheme="minorHAnsi" w:eastAsiaTheme="minorEastAsi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F:\home\uoc\C:\Users\Administrator\AppData\Roaming\Kingsoft\office6\templates\download\60d08ff3-0d68-4590-87d9-60696d2503ff\&#32418;&#22836;&#25991;&#20214;&#35268;&#33539;&#36890;&#29992;&#25991;&#26723;.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红头文件规范通用文档.docx</Template>
  <Pages>22</Pages>
  <Words>11318</Words>
  <Characters>12145</Characters>
  <Lines>4</Lines>
  <Paragraphs>1</Paragraphs>
  <TotalTime>26</TotalTime>
  <ScaleCrop>false</ScaleCrop>
  <LinksUpToDate>false</LinksUpToDate>
  <CharactersWithSpaces>12149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2023-05-13T15:49:00Z</dcterms:created>
  <dc:creator>冉明</dc:creator>
  <cp:lastModifiedBy>郝京京</cp:lastModifiedBy>
  <cp:lastPrinted>2023-10-16T03:41:00Z</cp:lastPrinted>
  <dcterms:modified xsi:type="dcterms:W3CDTF">2025-11-17T08:10:49Z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75DE149037BF4EF684920C1FDA5AE796_13</vt:lpwstr>
  </property>
  <property fmtid="{D5CDD505-2E9C-101B-9397-08002B2CF9AE}" pid="4" name="KSOTemplateUUID">
    <vt:lpwstr>v1.0_mb_q1zJrctw9QhlemohXyFAwA==</vt:lpwstr>
  </property>
  <property fmtid="{D5CDD505-2E9C-101B-9397-08002B2CF9AE}" pid="5" name="KSOTemplateDocerSaveRecord">
    <vt:lpwstr>eyJoZGlkIjoiMTU5NTE5MDY3ZjEzNDFhZTY2ZDFiNGU4NzRhYjQ0ZTYiLCJ1c2VySWQiOiIyMzQ0OTY3NzAifQ==</vt:lpwstr>
  </property>
</Properties>
</file>