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65657E">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石家庄市环境信息中心</w:t>
      </w:r>
    </w:p>
    <w:p w14:paraId="0DFD5BB4">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关于城镇污水处理厂在线监测设备</w:t>
      </w:r>
    </w:p>
    <w:p w14:paraId="1B9D12D3">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仿宋" w:hAnsi="仿宋" w:eastAsia="仿宋" w:cs="仿宋"/>
          <w:bCs/>
          <w:sz w:val="44"/>
          <w:szCs w:val="44"/>
        </w:rPr>
      </w:pPr>
      <w:r>
        <w:rPr>
          <w:rFonts w:hint="eastAsia" w:ascii="方正小标宋简体" w:hAnsi="方正小标宋_GBK" w:eastAsia="方正小标宋简体" w:cs="方正小标宋_GBK"/>
          <w:bCs/>
          <w:sz w:val="44"/>
          <w:szCs w:val="44"/>
          <w:lang w:val="en-US" w:eastAsia="zh-CN"/>
        </w:rPr>
        <w:t>参数管控系统项目的询价信息公告</w:t>
      </w:r>
    </w:p>
    <w:p w14:paraId="776C942C">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14:paraId="1E222AA0">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w:t>
      </w:r>
      <w:r>
        <w:rPr>
          <w:rFonts w:hint="eastAsia" w:ascii="仿宋_GB2312" w:hAnsi="仿宋_GB2312" w:eastAsia="仿宋_GB2312" w:cs="仿宋_GB2312"/>
          <w:bCs/>
          <w:sz w:val="32"/>
          <w:szCs w:val="32"/>
          <w:lang w:eastAsia="zh-CN"/>
        </w:rPr>
        <w:t>政府采购相关规定及</w:t>
      </w:r>
      <w:r>
        <w:rPr>
          <w:rFonts w:hint="eastAsia" w:ascii="仿宋_GB2312" w:hAnsi="仿宋_GB2312" w:eastAsia="仿宋_GB2312" w:cs="仿宋_GB2312"/>
          <w:bCs/>
          <w:sz w:val="32"/>
          <w:szCs w:val="32"/>
        </w:rPr>
        <w:t>市财政局要求，现开展石家庄市环境信息中心城镇污水处理厂在线监测设备参数管控系统项目（预算金额：</w:t>
      </w:r>
      <w:r>
        <w:rPr>
          <w:rFonts w:hint="eastAsia" w:ascii="仿宋_GB2312" w:hAnsi="仿宋_GB2312" w:eastAsia="仿宋_GB2312" w:cs="仿宋_GB2312"/>
          <w:bCs/>
          <w:sz w:val="32"/>
          <w:szCs w:val="32"/>
          <w:lang w:val="en-US" w:eastAsia="zh-CN"/>
        </w:rPr>
        <w:t>102</w:t>
      </w:r>
      <w:r>
        <w:rPr>
          <w:rFonts w:hint="eastAsia" w:ascii="仿宋_GB2312" w:hAnsi="仿宋_GB2312" w:eastAsia="仿宋_GB2312" w:cs="仿宋_GB2312"/>
          <w:bCs/>
          <w:sz w:val="32"/>
          <w:szCs w:val="32"/>
        </w:rPr>
        <w:t>万元）询价工作，请有意参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的社会主体单位和组织自行下载有关附件，并按要求做好准备工作。</w:t>
      </w:r>
    </w:p>
    <w:p w14:paraId="38E5C049">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
          <w:bCs w:val="0"/>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b/>
          <w:bCs w:val="0"/>
          <w:color w:val="auto"/>
          <w:sz w:val="32"/>
          <w:szCs w:val="32"/>
        </w:rPr>
        <w:t>询价会时间：</w:t>
      </w:r>
      <w:r>
        <w:rPr>
          <w:rFonts w:hint="eastAsia" w:ascii="仿宋_GB2312" w:hAnsi="仿宋_GB2312" w:eastAsia="仿宋_GB2312" w:cs="仿宋_GB2312"/>
          <w:b/>
          <w:bCs w:val="0"/>
          <w:color w:val="000000" w:themeColor="text1"/>
          <w:sz w:val="32"/>
          <w:szCs w:val="32"/>
          <w:highlight w:val="none"/>
          <w:u w:val="single"/>
          <w14:textFill>
            <w14:solidFill>
              <w14:schemeClr w14:val="tx1"/>
            </w14:solidFill>
          </w14:textFill>
        </w:rPr>
        <w:t>20</w:t>
      </w:r>
      <w:r>
        <w:rPr>
          <w:rFonts w:hint="eastAsia" w:ascii="仿宋_GB2312" w:hAnsi="仿宋_GB2312" w:eastAsia="仿宋_GB2312" w:cs="仿宋_GB2312"/>
          <w:b/>
          <w:bCs w:val="0"/>
          <w:color w:val="000000" w:themeColor="text1"/>
          <w:sz w:val="32"/>
          <w:szCs w:val="32"/>
          <w:highlight w:val="none"/>
          <w:u w:val="single"/>
          <w:lang w:val="en-US" w:eastAsia="zh-CN"/>
          <w14:textFill>
            <w14:solidFill>
              <w14:schemeClr w14:val="tx1"/>
            </w14:solidFill>
          </w14:textFill>
        </w:rPr>
        <w:t>25</w:t>
      </w:r>
      <w:r>
        <w:rPr>
          <w:rFonts w:hint="eastAsia" w:ascii="仿宋_GB2312" w:hAnsi="仿宋_GB2312" w:eastAsia="仿宋_GB2312" w:cs="仿宋_GB2312"/>
          <w:b/>
          <w:bCs w:val="0"/>
          <w:color w:val="000000" w:themeColor="text1"/>
          <w:sz w:val="32"/>
          <w:szCs w:val="32"/>
          <w:highlight w:val="none"/>
          <w:u w:val="single"/>
          <w14:textFill>
            <w14:solidFill>
              <w14:schemeClr w14:val="tx1"/>
            </w14:solidFill>
          </w14:textFill>
        </w:rPr>
        <w:t>年</w:t>
      </w:r>
      <w:r>
        <w:rPr>
          <w:rFonts w:hint="eastAsia" w:ascii="仿宋_GB2312" w:hAnsi="仿宋_GB2312" w:eastAsia="仿宋_GB2312" w:cs="仿宋_GB2312"/>
          <w:b/>
          <w:bCs w:val="0"/>
          <w:color w:val="000000" w:themeColor="text1"/>
          <w:sz w:val="32"/>
          <w:szCs w:val="32"/>
          <w:highlight w:val="none"/>
          <w:u w:val="single"/>
          <w:lang w:val="en-US" w:eastAsia="zh-CN"/>
          <w14:textFill>
            <w14:solidFill>
              <w14:schemeClr w14:val="tx1"/>
            </w14:solidFill>
          </w14:textFill>
        </w:rPr>
        <w:t>11</w:t>
      </w:r>
      <w:r>
        <w:rPr>
          <w:rFonts w:hint="eastAsia" w:ascii="仿宋_GB2312" w:hAnsi="仿宋_GB2312" w:eastAsia="仿宋_GB2312" w:cs="仿宋_GB2312"/>
          <w:b/>
          <w:bCs w:val="0"/>
          <w:color w:val="000000" w:themeColor="text1"/>
          <w:sz w:val="32"/>
          <w:szCs w:val="32"/>
          <w:highlight w:val="none"/>
          <w:u w:val="single"/>
          <w14:textFill>
            <w14:solidFill>
              <w14:schemeClr w14:val="tx1"/>
            </w14:solidFill>
          </w14:textFill>
        </w:rPr>
        <w:t>月</w:t>
      </w:r>
      <w:r>
        <w:rPr>
          <w:rFonts w:hint="eastAsia" w:ascii="仿宋_GB2312" w:hAnsi="仿宋_GB2312" w:eastAsia="仿宋_GB2312" w:cs="仿宋_GB2312"/>
          <w:b/>
          <w:bCs w:val="0"/>
          <w:color w:val="000000" w:themeColor="text1"/>
          <w:sz w:val="32"/>
          <w:szCs w:val="32"/>
          <w:highlight w:val="none"/>
          <w:u w:val="single"/>
          <w:lang w:val="en-US" w:eastAsia="zh-CN"/>
          <w14:textFill>
            <w14:solidFill>
              <w14:schemeClr w14:val="tx1"/>
            </w14:solidFill>
          </w14:textFill>
        </w:rPr>
        <w:t>14</w:t>
      </w:r>
      <w:r>
        <w:rPr>
          <w:rFonts w:hint="eastAsia" w:ascii="仿宋_GB2312" w:hAnsi="仿宋_GB2312" w:eastAsia="仿宋_GB2312" w:cs="仿宋_GB2312"/>
          <w:b/>
          <w:bCs w:val="0"/>
          <w:color w:val="000000" w:themeColor="text1"/>
          <w:sz w:val="32"/>
          <w:szCs w:val="32"/>
          <w:highlight w:val="none"/>
          <w:u w:val="single"/>
          <w14:textFill>
            <w14:solidFill>
              <w14:schemeClr w14:val="tx1"/>
            </w14:solidFill>
          </w14:textFill>
        </w:rPr>
        <w:t>日（星期</w:t>
      </w:r>
      <w:r>
        <w:rPr>
          <w:rFonts w:hint="eastAsia" w:ascii="仿宋_GB2312" w:hAnsi="仿宋_GB2312" w:eastAsia="仿宋_GB2312" w:cs="仿宋_GB2312"/>
          <w:b/>
          <w:bCs w:val="0"/>
          <w:color w:val="000000" w:themeColor="text1"/>
          <w:sz w:val="32"/>
          <w:szCs w:val="32"/>
          <w:highlight w:val="none"/>
          <w:u w:val="single"/>
          <w:lang w:eastAsia="zh-CN"/>
          <w14:textFill>
            <w14:solidFill>
              <w14:schemeClr w14:val="tx1"/>
            </w14:solidFill>
          </w14:textFill>
        </w:rPr>
        <w:t>五</w:t>
      </w:r>
      <w:r>
        <w:rPr>
          <w:rFonts w:hint="eastAsia" w:ascii="仿宋_GB2312" w:hAnsi="仿宋_GB2312" w:eastAsia="仿宋_GB2312" w:cs="仿宋_GB2312"/>
          <w:b/>
          <w:bCs w:val="0"/>
          <w:color w:val="000000" w:themeColor="text1"/>
          <w:sz w:val="32"/>
          <w:szCs w:val="32"/>
          <w:highlight w:val="none"/>
          <w:u w:val="single"/>
          <w14:textFill>
            <w14:solidFill>
              <w14:schemeClr w14:val="tx1"/>
            </w14:solidFill>
          </w14:textFill>
        </w:rPr>
        <w:t>）</w:t>
      </w:r>
      <w:r>
        <w:rPr>
          <w:rFonts w:hint="eastAsia" w:ascii="仿宋_GB2312" w:hAnsi="仿宋_GB2312" w:eastAsia="仿宋_GB2312" w:cs="仿宋_GB2312"/>
          <w:b/>
          <w:bCs w:val="0"/>
          <w:color w:val="000000" w:themeColor="text1"/>
          <w:sz w:val="32"/>
          <w:szCs w:val="32"/>
          <w:highlight w:val="none"/>
          <w:u w:val="single"/>
          <w:lang w:eastAsia="zh-CN"/>
          <w14:textFill>
            <w14:solidFill>
              <w14:schemeClr w14:val="tx1"/>
            </w14:solidFill>
          </w14:textFill>
        </w:rPr>
        <w:t>上午</w:t>
      </w:r>
      <w:r>
        <w:rPr>
          <w:rFonts w:hint="eastAsia" w:ascii="仿宋_GB2312" w:hAnsi="仿宋_GB2312" w:eastAsia="仿宋_GB2312" w:cs="仿宋_GB2312"/>
          <w:b/>
          <w:bCs w:val="0"/>
          <w:color w:val="000000" w:themeColor="text1"/>
          <w:sz w:val="32"/>
          <w:szCs w:val="32"/>
          <w:highlight w:val="none"/>
          <w:u w:val="single"/>
          <w:lang w:val="en-US" w:eastAsia="zh-CN"/>
          <w14:textFill>
            <w14:solidFill>
              <w14:schemeClr w14:val="tx1"/>
            </w14:solidFill>
          </w14:textFill>
        </w:rPr>
        <w:t>10</w:t>
      </w:r>
      <w:r>
        <w:rPr>
          <w:rFonts w:hint="eastAsia" w:ascii="仿宋_GB2312" w:hAnsi="仿宋_GB2312" w:eastAsia="仿宋_GB2312" w:cs="仿宋_GB2312"/>
          <w:b/>
          <w:bCs w:val="0"/>
          <w:color w:val="000000" w:themeColor="text1"/>
          <w:sz w:val="32"/>
          <w:szCs w:val="32"/>
          <w:highlight w:val="none"/>
          <w:u w:val="single"/>
          <w14:textFill>
            <w14:solidFill>
              <w14:schemeClr w14:val="tx1"/>
            </w14:solidFill>
          </w14:textFill>
        </w:rPr>
        <w:t>：</w:t>
      </w:r>
      <w:r>
        <w:rPr>
          <w:rFonts w:hint="eastAsia" w:ascii="仿宋_GB2312" w:hAnsi="仿宋_GB2312" w:eastAsia="仿宋_GB2312" w:cs="仿宋_GB2312"/>
          <w:b/>
          <w:bCs w:val="0"/>
          <w:color w:val="000000" w:themeColor="text1"/>
          <w:sz w:val="32"/>
          <w:szCs w:val="32"/>
          <w:highlight w:val="none"/>
          <w:u w:val="single"/>
          <w:lang w:val="en-US" w:eastAsia="zh-CN"/>
          <w14:textFill>
            <w14:solidFill>
              <w14:schemeClr w14:val="tx1"/>
            </w14:solidFill>
          </w14:textFill>
        </w:rPr>
        <w:t>30</w:t>
      </w:r>
      <w:r>
        <w:rPr>
          <w:rFonts w:hint="eastAsia" w:ascii="仿宋_GB2312" w:hAnsi="仿宋_GB2312" w:eastAsia="仿宋_GB2312" w:cs="仿宋_GB2312"/>
          <w:b/>
          <w:bCs w:val="0"/>
          <w:color w:val="000000" w:themeColor="text1"/>
          <w:sz w:val="32"/>
          <w:szCs w:val="32"/>
          <w:u w:val="none"/>
          <w14:textFill>
            <w14:solidFill>
              <w14:schemeClr w14:val="tx1"/>
            </w14:solidFill>
          </w14:textFill>
        </w:rPr>
        <w:t>；</w:t>
      </w:r>
      <w:r>
        <w:rPr>
          <w:rFonts w:hint="eastAsia" w:ascii="仿宋_GB2312" w:hAnsi="仿宋_GB2312" w:eastAsia="仿宋_GB2312" w:cs="仿宋_GB2312"/>
          <w:b/>
          <w:bCs w:val="0"/>
          <w:color w:val="000000" w:themeColor="text1"/>
          <w:sz w:val="32"/>
          <w:szCs w:val="32"/>
          <w14:textFill>
            <w14:solidFill>
              <w14:schemeClr w14:val="tx1"/>
            </w14:solidFill>
          </w14:textFill>
        </w:rPr>
        <w:t>地点：</w:t>
      </w:r>
      <w:r>
        <w:rPr>
          <w:rFonts w:hint="eastAsia" w:ascii="仿宋_GB2312" w:hAnsi="仿宋_GB2312" w:eastAsia="仿宋_GB2312" w:cs="仿宋_GB2312"/>
          <w:b/>
          <w:bCs w:val="0"/>
          <w:color w:val="000000" w:themeColor="text1"/>
          <w:sz w:val="32"/>
          <w:szCs w:val="32"/>
          <w:lang w:eastAsia="zh-CN"/>
          <w14:textFill>
            <w14:solidFill>
              <w14:schemeClr w14:val="tx1"/>
            </w14:solidFill>
          </w14:textFill>
        </w:rPr>
        <w:t>石家庄市体育南大街</w:t>
      </w:r>
      <w:r>
        <w:rPr>
          <w:rFonts w:hint="eastAsia" w:ascii="仿宋_GB2312" w:hAnsi="仿宋_GB2312" w:eastAsia="仿宋_GB2312" w:cs="仿宋_GB2312"/>
          <w:b/>
          <w:bCs w:val="0"/>
          <w:color w:val="000000" w:themeColor="text1"/>
          <w:sz w:val="32"/>
          <w:szCs w:val="32"/>
          <w:lang w:val="en-US" w:eastAsia="zh-CN"/>
          <w14:textFill>
            <w14:solidFill>
              <w14:schemeClr w14:val="tx1"/>
            </w14:solidFill>
          </w14:textFill>
        </w:rPr>
        <w:t>383-1号</w:t>
      </w:r>
      <w:r>
        <w:rPr>
          <w:rFonts w:hint="eastAsia" w:ascii="仿宋_GB2312" w:hAnsi="仿宋_GB2312" w:eastAsia="仿宋_GB2312" w:cs="仿宋_GB2312"/>
          <w:b/>
          <w:bCs w:val="0"/>
          <w:color w:val="000000" w:themeColor="text1"/>
          <w:sz w:val="32"/>
          <w:szCs w:val="32"/>
          <w:lang w:eastAsia="zh-CN"/>
          <w14:textFill>
            <w14:solidFill>
              <w14:schemeClr w14:val="tx1"/>
            </w14:solidFill>
          </w14:textFill>
        </w:rPr>
        <w:t>世纪佳泰大厦</w:t>
      </w:r>
      <w:r>
        <w:rPr>
          <w:rFonts w:hint="eastAsia" w:ascii="仿宋_GB2312" w:hAnsi="仿宋_GB2312" w:eastAsia="仿宋_GB2312" w:cs="仿宋_GB2312"/>
          <w:b/>
          <w:bCs w:val="0"/>
          <w:color w:val="000000" w:themeColor="text1"/>
          <w:sz w:val="32"/>
          <w:szCs w:val="32"/>
          <w:lang w:val="en-US" w:eastAsia="zh-CN"/>
          <w14:textFill>
            <w14:solidFill>
              <w14:schemeClr w14:val="tx1"/>
            </w14:solidFill>
          </w14:textFill>
        </w:rPr>
        <w:t>C座8楼817会议室</w:t>
      </w:r>
      <w:r>
        <w:rPr>
          <w:rFonts w:hint="eastAsia" w:ascii="仿宋_GB2312" w:hAnsi="仿宋_GB2312" w:eastAsia="仿宋_GB2312" w:cs="仿宋_GB2312"/>
          <w:b/>
          <w:bCs w:val="0"/>
          <w:color w:val="000000" w:themeColor="text1"/>
          <w:sz w:val="32"/>
          <w:szCs w:val="32"/>
          <w14:textFill>
            <w14:solidFill>
              <w14:schemeClr w14:val="tx1"/>
            </w14:solidFill>
          </w14:textFill>
        </w:rPr>
        <w:t>。</w:t>
      </w:r>
    </w:p>
    <w:p w14:paraId="346A4C54">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default"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联系人：庞  欣，联系电话：</w:t>
      </w:r>
      <w:r>
        <w:rPr>
          <w:rFonts w:hint="eastAsia" w:ascii="仿宋_GB2312" w:hAnsi="仿宋_GB2312" w:eastAsia="仿宋_GB2312" w:cs="仿宋_GB2312"/>
          <w:bCs/>
          <w:sz w:val="32"/>
          <w:szCs w:val="32"/>
          <w:lang w:val="en-US" w:eastAsia="zh-CN"/>
        </w:rPr>
        <w:t>66500311</w:t>
      </w:r>
    </w:p>
    <w:p w14:paraId="4581F13C">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val="en-US" w:eastAsia="zh-CN"/>
        </w:rPr>
        <w:t xml:space="preserve">        师晓威，联系电话：85880697</w:t>
      </w:r>
    </w:p>
    <w:p w14:paraId="252647BD">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14:paraId="73E47146">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14:paraId="582A5323">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rPr>
          <w:rFonts w:hint="eastAsia" w:ascii="仿宋_GB2312" w:hAnsi="仿宋_GB2312" w:eastAsia="仿宋_GB2312" w:cs="仿宋_GB2312"/>
          <w:bCs/>
          <w:sz w:val="32"/>
          <w:szCs w:val="32"/>
        </w:rPr>
      </w:pPr>
    </w:p>
    <w:p w14:paraId="11C13C51">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14:paraId="55646961">
      <w:pPr>
        <w:keepNext w:val="0"/>
        <w:keepLines w:val="0"/>
        <w:pageBreakBefore w:val="0"/>
        <w:widowControl w:val="0"/>
        <w:kinsoku/>
        <w:wordWrap/>
        <w:overflowPunct/>
        <w:topLinePunct w:val="0"/>
        <w:autoSpaceDE/>
        <w:autoSpaceDN/>
        <w:bidi w:val="0"/>
        <w:adjustRightInd/>
        <w:snapToGrid/>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14:paraId="4E964AC3">
      <w:pPr>
        <w:keepNext w:val="0"/>
        <w:keepLines w:val="0"/>
        <w:pageBreakBefore w:val="0"/>
        <w:widowControl w:val="0"/>
        <w:kinsoku/>
        <w:wordWrap/>
        <w:overflowPunct/>
        <w:topLinePunct w:val="0"/>
        <w:autoSpaceDE/>
        <w:autoSpaceDN/>
        <w:bidi w:val="0"/>
        <w:adjustRightInd/>
        <w:snapToGrid/>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14:paraId="4B39456D">
      <w:pPr>
        <w:pStyle w:val="4"/>
        <w:keepNext w:val="0"/>
        <w:keepLines w:val="0"/>
        <w:pageBreakBefore w:val="0"/>
        <w:widowControl w:val="0"/>
        <w:kinsoku/>
        <w:wordWrap/>
        <w:overflowPunct/>
        <w:topLinePunct w:val="0"/>
        <w:autoSpaceDE/>
        <w:autoSpaceDN/>
        <w:bidi w:val="0"/>
        <w:adjustRightInd/>
        <w:snapToGrid/>
        <w:spacing w:after="0" w:line="560" w:lineRule="exact"/>
        <w:ind w:firstLine="4160" w:firstLineChars="13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石家庄市环境信息中心</w:t>
      </w:r>
    </w:p>
    <w:p w14:paraId="4EB5803D">
      <w:pPr>
        <w:pStyle w:val="4"/>
        <w:keepNext w:val="0"/>
        <w:keepLines w:val="0"/>
        <w:pageBreakBefore w:val="0"/>
        <w:widowControl w:val="0"/>
        <w:kinsoku/>
        <w:wordWrap/>
        <w:overflowPunct/>
        <w:topLinePunct w:val="0"/>
        <w:autoSpaceDE/>
        <w:autoSpaceDN/>
        <w:bidi w:val="0"/>
        <w:adjustRightInd/>
        <w:snapToGrid/>
        <w:spacing w:after="0" w:line="560" w:lineRule="exact"/>
        <w:ind w:firstLine="4480" w:firstLineChars="1400"/>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2025年11月10</w:t>
      </w:r>
      <w:bookmarkStart w:id="2" w:name="_GoBack"/>
      <w:bookmarkEnd w:id="2"/>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日</w:t>
      </w:r>
      <w:r>
        <w:rPr>
          <w:rFonts w:hint="eastAsia" w:ascii="仿宋_GB2312" w:hAnsi="仿宋_GB2312" w:eastAsia="仿宋_GB2312" w:cs="仿宋_GB2312"/>
          <w:bCs/>
          <w:color w:val="auto"/>
          <w:sz w:val="32"/>
          <w:szCs w:val="32"/>
          <w:lang w:val="en-US" w:eastAsia="zh-CN"/>
        </w:rPr>
        <w:t xml:space="preserve">     </w:t>
      </w:r>
    </w:p>
    <w:p w14:paraId="79A43673">
      <w:pPr>
        <w:keepNext w:val="0"/>
        <w:keepLines w:val="0"/>
        <w:pageBreakBefore w:val="0"/>
        <w:kinsoku/>
        <w:wordWrap/>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14:paraId="03B4C1C7">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sz w:val="32"/>
          <w:szCs w:val="32"/>
        </w:rPr>
      </w:pPr>
      <w:r>
        <w:rPr>
          <w:rFonts w:hint="eastAsia" w:ascii="黑体" w:hAnsi="黑体" w:eastAsia="黑体" w:cs="黑体"/>
          <w:bCs/>
          <w:sz w:val="32"/>
          <w:szCs w:val="32"/>
        </w:rPr>
        <w:t>附件1</w:t>
      </w:r>
    </w:p>
    <w:p w14:paraId="566ABC4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14:paraId="02A7638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石家庄市环境信息中心</w:t>
      </w:r>
    </w:p>
    <w:p w14:paraId="3FD007E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城镇污水处理厂在线监测设备</w:t>
      </w:r>
    </w:p>
    <w:p w14:paraId="16F3C6B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参数管控系统项目询价要求及流程</w:t>
      </w:r>
    </w:p>
    <w:p w14:paraId="5CF7F3FE">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14:paraId="052B1A12">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14:paraId="2009B637">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14:paraId="18D61CF8">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14:paraId="2A5AE670">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14:paraId="5A601E4A">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14:paraId="75A7FB16">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14:paraId="70EA0368">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14:paraId="615610B9">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pPr>
      <w:r>
        <w:rPr>
          <w:rFonts w:hint="eastAsia" w:ascii="黑体" w:hAnsi="黑体" w:eastAsia="黑体" w:cs="黑体"/>
          <w:bCs/>
          <w:sz w:val="32"/>
          <w:szCs w:val="32"/>
        </w:rPr>
        <w:t>附件2</w:t>
      </w:r>
    </w:p>
    <w:p w14:paraId="3F149618">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right="0" w:rightChars="0"/>
        <w:jc w:val="center"/>
        <w:textAlignment w:val="auto"/>
        <w:rPr>
          <w:rFonts w:hint="eastAsia" w:ascii="宋体" w:hAnsi="宋体" w:eastAsia="宋体"/>
          <w:b/>
          <w:color w:val="000000"/>
          <w:sz w:val="44"/>
          <w:szCs w:val="36"/>
          <w:lang w:eastAsia="zh-CN"/>
        </w:rPr>
      </w:pPr>
    </w:p>
    <w:p w14:paraId="70D9A46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石家庄市环境信息中心</w:t>
      </w:r>
    </w:p>
    <w:p w14:paraId="11C59D8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城镇污水处理厂在线监测设备</w:t>
      </w:r>
    </w:p>
    <w:p w14:paraId="569225A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参数管控系统项目工作方案</w:t>
      </w:r>
    </w:p>
    <w:p w14:paraId="38950660">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napToGrid/>
        <w:spacing w:line="560" w:lineRule="exact"/>
        <w:ind w:right="0" w:rightChars="0" w:firstLine="1920" w:firstLineChars="600"/>
        <w:textAlignment w:val="auto"/>
        <w:rPr>
          <w:rFonts w:ascii="仿宋" w:hAnsi="仿宋" w:eastAsia="仿宋" w:cs="仿宋"/>
          <w:sz w:val="32"/>
          <w:szCs w:val="32"/>
        </w:rPr>
      </w:pPr>
    </w:p>
    <w:p w14:paraId="689F4746">
      <w:pPr>
        <w:pageBreakBefore w:val="0"/>
        <w:widowControl/>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仿宋_GB2312" w:hAnsi="宋体" w:eastAsia="仿宋_GB2312"/>
          <w:sz w:val="32"/>
          <w:szCs w:val="32"/>
        </w:rPr>
      </w:pPr>
      <w:r>
        <w:rPr>
          <w:rFonts w:hint="eastAsia" w:ascii="仿宋_GB2312" w:hAnsi="宋体" w:eastAsia="仿宋_GB2312"/>
          <w:sz w:val="32"/>
          <w:szCs w:val="32"/>
        </w:rPr>
        <w:t>为认真贯彻落实河北省水污染防治工作领导小组办公室印发《河北省水生态环境保护规划》（冀水领办〔2023〕32号）</w:t>
      </w:r>
      <w:r>
        <w:rPr>
          <w:rFonts w:hint="eastAsia" w:ascii="仿宋_GB2312" w:hAnsi="宋体" w:eastAsia="仿宋_GB2312"/>
          <w:sz w:val="32"/>
          <w:szCs w:val="32"/>
          <w:lang w:eastAsia="zh-CN"/>
        </w:rPr>
        <w:t>、</w:t>
      </w:r>
      <w:r>
        <w:rPr>
          <w:rFonts w:hint="eastAsia" w:ascii="仿宋_GB2312" w:hAnsi="宋体" w:eastAsia="仿宋_GB2312"/>
          <w:sz w:val="32"/>
          <w:szCs w:val="32"/>
        </w:rPr>
        <w:t>中共河北省生态环境厅党组印发《关于非现场监管执法改革的意见》、</w:t>
      </w:r>
      <w:r>
        <w:rPr>
          <w:rFonts w:hint="eastAsia" w:ascii="仿宋_GB2312" w:hAnsi="宋体" w:eastAsia="仿宋_GB2312"/>
          <w:sz w:val="32"/>
          <w:szCs w:val="32"/>
          <w:lang w:val="en-US" w:eastAsia="zh-CN"/>
        </w:rPr>
        <w:t>河北省生态环境厅办公室</w:t>
      </w:r>
      <w:r>
        <w:rPr>
          <w:rFonts w:hint="eastAsia" w:ascii="仿宋_GB2312" w:hAnsi="宋体" w:eastAsia="仿宋_GB2312"/>
          <w:sz w:val="32"/>
          <w:szCs w:val="32"/>
          <w:lang w:eastAsia="zh-CN"/>
        </w:rPr>
        <w:t>《</w:t>
      </w:r>
      <w:r>
        <w:rPr>
          <w:rFonts w:hint="eastAsia" w:ascii="仿宋_GB2312" w:hAnsi="宋体" w:eastAsia="仿宋_GB2312"/>
          <w:sz w:val="32"/>
          <w:szCs w:val="32"/>
        </w:rPr>
        <w:t>关于健全污染源自动监控体系有关工作的通知</w:t>
      </w:r>
      <w:r>
        <w:rPr>
          <w:rFonts w:hint="eastAsia" w:ascii="仿宋_GB2312" w:hAnsi="宋体" w:eastAsia="仿宋_GB2312"/>
          <w:sz w:val="32"/>
          <w:szCs w:val="32"/>
          <w:lang w:eastAsia="zh-CN"/>
        </w:rPr>
        <w:t>》</w:t>
      </w:r>
      <w:r>
        <w:rPr>
          <w:rFonts w:hint="eastAsia" w:ascii="仿宋_GB2312" w:hAnsi="宋体" w:eastAsia="仿宋_GB2312"/>
          <w:sz w:val="32"/>
          <w:szCs w:val="32"/>
          <w:lang w:val="en-US" w:eastAsia="zh-CN"/>
        </w:rPr>
        <w:t>(2020-609)</w:t>
      </w:r>
      <w:r>
        <w:rPr>
          <w:rFonts w:hint="eastAsia" w:ascii="仿宋_GB2312" w:hAnsi="宋体" w:eastAsia="仿宋_GB2312"/>
          <w:sz w:val="32"/>
          <w:szCs w:val="32"/>
          <w:lang w:eastAsia="zh-CN"/>
        </w:rPr>
        <w:t>、</w:t>
      </w:r>
      <w:r>
        <w:rPr>
          <w:rFonts w:hint="eastAsia" w:ascii="仿宋_GB2312" w:hAnsi="宋体" w:eastAsia="仿宋_GB2312"/>
          <w:sz w:val="32"/>
          <w:szCs w:val="32"/>
          <w:lang w:val="en-US" w:eastAsia="zh-CN"/>
        </w:rPr>
        <w:t>河北省生态环境厅办公室《</w:t>
      </w:r>
      <w:r>
        <w:rPr>
          <w:rFonts w:hint="eastAsia" w:ascii="仿宋_GB2312" w:hAnsi="宋体" w:eastAsia="仿宋_GB2312"/>
          <w:sz w:val="32"/>
          <w:szCs w:val="32"/>
          <w:lang w:eastAsia="zh-CN"/>
        </w:rPr>
        <w:t>关于进一步完善污染源自动监控工作制度的通知》（冀环办字函[2021]274号）</w:t>
      </w:r>
      <w:r>
        <w:rPr>
          <w:rFonts w:hint="eastAsia" w:ascii="仿宋_GB2312" w:hAnsi="宋体" w:eastAsia="仿宋_GB2312"/>
          <w:sz w:val="32"/>
          <w:szCs w:val="32"/>
        </w:rPr>
        <w:t>的有关要求，我单位拟开展城镇污水处理厂在线监测设备参数管控系统项目采购工作，此项工作的开展旨在增加城镇污水处理厂现场端监控手段，通过对石家庄30家城镇污水处理厂排口安装运维在线监测设备参数管控系统，实现对在站房内及排</w:t>
      </w:r>
      <w:r>
        <w:rPr>
          <w:rFonts w:hint="eastAsia" w:ascii="仿宋_GB2312" w:hAnsi="宋体" w:eastAsia="仿宋_GB2312"/>
          <w:sz w:val="32"/>
          <w:szCs w:val="32"/>
          <w:lang w:eastAsia="zh-CN"/>
        </w:rPr>
        <w:t>放口</w:t>
      </w:r>
      <w:r>
        <w:rPr>
          <w:rFonts w:hint="eastAsia" w:ascii="仿宋_GB2312" w:hAnsi="宋体" w:eastAsia="仿宋_GB2312"/>
          <w:sz w:val="32"/>
          <w:szCs w:val="32"/>
        </w:rPr>
        <w:t>所</w:t>
      </w:r>
      <w:r>
        <w:rPr>
          <w:rFonts w:hint="eastAsia" w:ascii="仿宋_GB2312" w:hAnsi="宋体" w:eastAsia="仿宋_GB2312"/>
          <w:sz w:val="32"/>
          <w:szCs w:val="32"/>
          <w:lang w:eastAsia="zh-CN"/>
        </w:rPr>
        <w:t>涉及</w:t>
      </w:r>
      <w:r>
        <w:rPr>
          <w:rFonts w:hint="eastAsia" w:ascii="仿宋_GB2312" w:hAnsi="宋体" w:eastAsia="仿宋_GB2312"/>
          <w:sz w:val="32"/>
          <w:szCs w:val="32"/>
        </w:rPr>
        <w:t>人员</w:t>
      </w:r>
      <w:r>
        <w:rPr>
          <w:rFonts w:hint="eastAsia" w:ascii="仿宋_GB2312" w:hAnsi="宋体" w:eastAsia="仿宋_GB2312"/>
          <w:sz w:val="32"/>
          <w:szCs w:val="32"/>
          <w:lang w:eastAsia="zh-CN"/>
        </w:rPr>
        <w:t>的</w:t>
      </w:r>
      <w:r>
        <w:rPr>
          <w:rFonts w:hint="eastAsia" w:ascii="仿宋_GB2312" w:hAnsi="宋体" w:eastAsia="仿宋_GB2312"/>
          <w:sz w:val="32"/>
          <w:szCs w:val="32"/>
        </w:rPr>
        <w:t>操作做到全程留痕记录，</w:t>
      </w:r>
      <w:r>
        <w:rPr>
          <w:rFonts w:hint="eastAsia" w:ascii="仿宋_GB2312" w:hAnsi="仿宋" w:eastAsia="仿宋_GB2312" w:cs="Times New Roman"/>
          <w:b w:val="0"/>
          <w:color w:val="auto"/>
          <w:kern w:val="2"/>
          <w:sz w:val="32"/>
          <w:szCs w:val="32"/>
          <w:highlight w:val="none"/>
          <w:lang w:val="en-US" w:eastAsia="zh-CN" w:bidi="ar-SA"/>
        </w:rPr>
        <w:t>避免在线监测数据失真，</w:t>
      </w:r>
      <w:r>
        <w:rPr>
          <w:rFonts w:hint="eastAsia" w:ascii="仿宋_GB2312" w:hAnsi="宋体" w:eastAsia="仿宋_GB2312"/>
          <w:sz w:val="32"/>
          <w:szCs w:val="32"/>
        </w:rPr>
        <w:t>保证监测数据的</w:t>
      </w:r>
      <w:r>
        <w:rPr>
          <w:rFonts w:hint="eastAsia" w:ascii="仿宋_GB2312" w:hAnsi="宋体" w:eastAsia="仿宋_GB2312"/>
          <w:sz w:val="32"/>
          <w:szCs w:val="32"/>
          <w:lang w:eastAsia="zh-CN"/>
        </w:rPr>
        <w:t>正常传输</w:t>
      </w:r>
      <w:r>
        <w:rPr>
          <w:rFonts w:hint="eastAsia" w:ascii="仿宋_GB2312" w:hAnsi="宋体" w:eastAsia="仿宋_GB2312"/>
          <w:sz w:val="32"/>
          <w:szCs w:val="32"/>
        </w:rPr>
        <w:t>。为顺利完成该项目工作，特制定本工作方案。</w:t>
      </w:r>
    </w:p>
    <w:p w14:paraId="05ECDEB4">
      <w:pPr>
        <w:pageBreakBefore w:val="0"/>
        <w:widowControl/>
        <w:kinsoku/>
        <w:wordWrap/>
        <w:overflowPunct/>
        <w:topLinePunct w:val="0"/>
        <w:autoSpaceDE/>
        <w:autoSpaceDN/>
        <w:bidi w:val="0"/>
        <w:adjustRightInd/>
        <w:snapToGrid/>
        <w:spacing w:line="560" w:lineRule="exact"/>
        <w:ind w:firstLine="640" w:firstLineChars="200"/>
        <w:jc w:val="left"/>
        <w:textAlignment w:val="auto"/>
        <w:outlineLvl w:val="1"/>
        <w:rPr>
          <w:rFonts w:ascii="黑体" w:hAnsi="黑体" w:eastAsia="黑体" w:cs="宋体"/>
          <w:kern w:val="0"/>
          <w:sz w:val="32"/>
          <w:szCs w:val="32"/>
          <w:highlight w:val="none"/>
        </w:rPr>
      </w:pPr>
      <w:r>
        <w:rPr>
          <w:rFonts w:hint="eastAsia" w:ascii="黑体" w:hAnsi="黑体" w:eastAsia="黑体" w:cs="宋体"/>
          <w:kern w:val="0"/>
          <w:sz w:val="32"/>
          <w:szCs w:val="32"/>
          <w:highlight w:val="none"/>
        </w:rPr>
        <w:t>一、项目实施背景、依据、来由、现状等</w:t>
      </w:r>
    </w:p>
    <w:p w14:paraId="4FEA505F">
      <w:pPr>
        <w:pStyle w:val="45"/>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640" w:firstLineChars="200"/>
        <w:rPr>
          <w:rFonts w:hint="eastAsia" w:ascii="仿宋" w:hAnsi="仿宋" w:eastAsia="仿宋" w:cs="仿宋"/>
          <w:sz w:val="32"/>
          <w:szCs w:val="32"/>
          <w:highlight w:val="none"/>
          <w:lang w:eastAsia="zh-CN"/>
        </w:rPr>
      </w:pPr>
      <w:r>
        <w:rPr>
          <w:rFonts w:hint="eastAsia" w:ascii="仿宋" w:hAnsi="仿宋" w:eastAsia="仿宋" w:cs="仿宋"/>
          <w:b w:val="0"/>
          <w:color w:val="auto"/>
          <w:sz w:val="32"/>
          <w:szCs w:val="32"/>
          <w:lang w:val="en-US" w:eastAsia="zh-CN" w:bidi="ar-SA"/>
        </w:rPr>
        <w:t>2021年通过在30家城镇污水处理厂安装在线监测设备参数管控系统，后项目正常运行至今。通过系统平台对企业实时排放情况进行监管，增加现场端监控手段，实现对排污单位的在线监测站房内及污水排放口、在线设备厂家、在线运维单位的所有人员的操作过程做到全程留痕记录，有效防范数据失真现象，</w:t>
      </w:r>
      <w:r>
        <w:rPr>
          <w:rFonts w:hint="eastAsia" w:ascii="仿宋" w:hAnsi="仿宋" w:eastAsia="仿宋" w:cs="仿宋"/>
          <w:b w:val="0"/>
          <w:bCs/>
          <w:sz w:val="32"/>
          <w:szCs w:val="32"/>
          <w:highlight w:val="none"/>
          <w:lang w:val="en-US" w:eastAsia="zh-CN"/>
        </w:rPr>
        <w:t>提升监测数据的质量，提高数据利用率，推动环保大数据和智慧环保的建设。</w:t>
      </w:r>
    </w:p>
    <w:p w14:paraId="374F82BD">
      <w:pPr>
        <w:keepNext w:val="0"/>
        <w:keepLines w:val="0"/>
        <w:pageBreakBefore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lang w:eastAsia="zh-CN"/>
        </w:rPr>
        <w:t>本项目为</w:t>
      </w:r>
      <w:r>
        <w:rPr>
          <w:rFonts w:hint="eastAsia" w:ascii="仿宋" w:hAnsi="仿宋" w:eastAsia="仿宋" w:cs="仿宋"/>
          <w:sz w:val="32"/>
          <w:szCs w:val="32"/>
          <w:lang w:val="en-US" w:eastAsia="zh-CN"/>
        </w:rPr>
        <w:t>对石家庄市</w:t>
      </w:r>
      <w:r>
        <w:rPr>
          <w:rFonts w:hint="eastAsia" w:ascii="仿宋" w:hAnsi="仿宋" w:eastAsia="仿宋" w:cs="仿宋"/>
          <w:sz w:val="32"/>
          <w:szCs w:val="32"/>
          <w:lang w:eastAsia="zh-CN"/>
        </w:rPr>
        <w:t>涉及的30家城镇污水处理厂</w:t>
      </w:r>
      <w:r>
        <w:rPr>
          <w:rFonts w:hint="eastAsia" w:ascii="仿宋" w:hAnsi="仿宋" w:eastAsia="仿宋" w:cs="仿宋"/>
          <w:sz w:val="32"/>
          <w:szCs w:val="32"/>
          <w:lang w:val="en-US" w:eastAsia="zh-CN"/>
        </w:rPr>
        <w:t>排口提供</w:t>
      </w:r>
      <w:r>
        <w:rPr>
          <w:rFonts w:hint="eastAsia" w:ascii="仿宋" w:hAnsi="仿宋" w:eastAsia="仿宋" w:cs="仿宋"/>
          <w:b w:val="0"/>
          <w:color w:val="auto"/>
          <w:sz w:val="32"/>
          <w:szCs w:val="32"/>
          <w:lang w:val="en-US" w:eastAsia="zh-CN" w:bidi="ar-SA"/>
        </w:rPr>
        <w:t>在线监测设备参数管控系统技术服务</w:t>
      </w:r>
      <w:r>
        <w:rPr>
          <w:rFonts w:hint="eastAsia" w:ascii="仿宋" w:hAnsi="仿宋" w:eastAsia="仿宋" w:cs="仿宋"/>
          <w:sz w:val="32"/>
          <w:szCs w:val="32"/>
          <w:highlight w:val="none"/>
          <w:lang w:val="en-US" w:eastAsia="zh-CN"/>
        </w:rPr>
        <w:t>，补齐目前对城镇污水厂管理中的不足，健全和完善在线监测数据的采集准确性、可靠性，发现、处罚一批在线检测仪造假行为，规范在线监测设备运维市场行为，促进我市城镇污水厂稳定达标排放，改善我市水环境质量。</w:t>
      </w:r>
    </w:p>
    <w:p w14:paraId="310B9D01">
      <w:pPr>
        <w:pStyle w:val="31"/>
        <w:pageBreakBefore w:val="0"/>
        <w:widowControl w:val="0"/>
        <w:kinsoku/>
        <w:wordWrap/>
        <w:overflowPunct/>
        <w:topLinePunct w:val="0"/>
        <w:autoSpaceDE/>
        <w:autoSpaceDN/>
        <w:bidi w:val="0"/>
        <w:adjustRightInd/>
        <w:snapToGrid/>
        <w:spacing w:before="0" w:after="0" w:line="560" w:lineRule="exact"/>
        <w:ind w:firstLine="640"/>
        <w:textAlignment w:val="auto"/>
        <w:rPr>
          <w:rFonts w:ascii="仿宋" w:hAnsi="Times New Roman" w:eastAsia="仿宋"/>
          <w:color w:val="auto"/>
          <w:sz w:val="32"/>
          <w:szCs w:val="28"/>
          <w:highlight w:val="none"/>
        </w:rPr>
      </w:pPr>
      <w:r>
        <w:rPr>
          <w:rFonts w:hint="eastAsia" w:ascii="仿宋_GB2312" w:hAnsi="仿宋" w:eastAsia="仿宋_GB2312" w:cs="Times New Roman"/>
          <w:b w:val="0"/>
          <w:color w:val="auto"/>
          <w:kern w:val="2"/>
          <w:sz w:val="32"/>
          <w:szCs w:val="32"/>
          <w:highlight w:val="none"/>
          <w:lang w:val="en-US" w:eastAsia="zh-CN" w:bidi="ar-SA"/>
        </w:rPr>
        <w:t>本项目旨在构建污水处理厂排放口在线监测设备参数管控系统的监管体系，通过对石家庄城镇污水处理厂30个污水排放口进行监测设备参数管控系统服务，形成对城镇污水处理厂整体在线设备运行情况整体监控、分析、数据参数保存、记录全留痕。</w:t>
      </w:r>
    </w:p>
    <w:p w14:paraId="06678EBC">
      <w:pPr>
        <w:keepNext/>
        <w:keepLines/>
        <w:pageBreakBefore w:val="0"/>
        <w:widowControl w:val="0"/>
        <w:kinsoku/>
        <w:wordWrap/>
        <w:overflowPunct/>
        <w:topLinePunct w:val="0"/>
        <w:autoSpaceDE/>
        <w:autoSpaceDN/>
        <w:bidi w:val="0"/>
        <w:adjustRightInd/>
        <w:snapToGrid/>
        <w:spacing w:line="560" w:lineRule="exact"/>
        <w:ind w:firstLine="640" w:firstLineChars="200"/>
        <w:textAlignment w:val="auto"/>
        <w:outlineLvl w:val="0"/>
        <w:rPr>
          <w:rFonts w:hint="eastAsia" w:ascii="仿宋_GB2312" w:hAnsi="仿宋_GB2312" w:eastAsia="仿宋_GB2312" w:cs="仿宋_GB2312"/>
          <w:color w:val="auto"/>
          <w:kern w:val="2"/>
          <w:sz w:val="32"/>
          <w:szCs w:val="32"/>
          <w:highlight w:val="yellow"/>
          <w:lang w:val="en-GB" w:eastAsia="zh-CN" w:bidi="ar-SA"/>
        </w:rPr>
      </w:pPr>
      <w:bookmarkStart w:id="0" w:name="_Toc63671255"/>
      <w:bookmarkStart w:id="1" w:name="_Toc130"/>
      <w:r>
        <w:rPr>
          <w:rFonts w:hint="eastAsia" w:ascii="仿宋_GB2312" w:hAnsi="仿宋_GB2312" w:eastAsia="仿宋_GB2312" w:cs="仿宋_GB2312"/>
          <w:color w:val="auto"/>
          <w:kern w:val="2"/>
          <w:sz w:val="32"/>
          <w:szCs w:val="32"/>
          <w:highlight w:val="none"/>
          <w:lang w:val="en-GB" w:eastAsia="zh-CN" w:bidi="ar-SA"/>
        </w:rPr>
        <w:t>项目政策依据</w:t>
      </w:r>
      <w:bookmarkEnd w:id="0"/>
      <w:bookmarkEnd w:id="1"/>
      <w:r>
        <w:rPr>
          <w:rFonts w:hint="eastAsia" w:ascii="仿宋_GB2312" w:hAnsi="仿宋_GB2312" w:eastAsia="仿宋_GB2312" w:cs="仿宋_GB2312"/>
          <w:color w:val="auto"/>
          <w:kern w:val="2"/>
          <w:sz w:val="32"/>
          <w:szCs w:val="32"/>
          <w:highlight w:val="none"/>
          <w:lang w:val="en-GB" w:eastAsia="zh-CN" w:bidi="ar-SA"/>
        </w:rPr>
        <w:t>如下：</w:t>
      </w:r>
    </w:p>
    <w:p w14:paraId="4552CF8A">
      <w:pPr>
        <w:pStyle w:val="45"/>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textAlignment w:val="auto"/>
        <w:rPr>
          <w:rFonts w:hint="eastAsia" w:ascii="仿宋" w:hAnsi="仿宋" w:eastAsia="仿宋" w:cs="仿宋"/>
          <w:b w:val="0"/>
          <w:color w:val="auto"/>
          <w:kern w:val="2"/>
          <w:sz w:val="32"/>
          <w:szCs w:val="32"/>
          <w:highlight w:val="none"/>
          <w:lang w:val="en-US" w:eastAsia="zh-CN" w:bidi="ar-SA"/>
        </w:rPr>
      </w:pPr>
      <w:r>
        <w:rPr>
          <w:rFonts w:hint="eastAsia" w:ascii="仿宋" w:hAnsi="仿宋" w:eastAsia="仿宋" w:cs="仿宋"/>
          <w:b w:val="0"/>
          <w:color w:val="auto"/>
          <w:kern w:val="2"/>
          <w:sz w:val="32"/>
          <w:szCs w:val="32"/>
          <w:highlight w:val="none"/>
          <w:lang w:val="en-US" w:eastAsia="zh-CN" w:bidi="ar-SA"/>
        </w:rPr>
        <w:t>（1）河北省水污染防治工作领导小组办公室印发《河北省水生态环境保护规划》（冀水领办〔2023〕32号）持续深入打好碧水保卫战，《规划》中提到强化城镇污水处理厂达标排放监管,确保出水水质稳定达标。</w:t>
      </w:r>
    </w:p>
    <w:p w14:paraId="79B63BE9">
      <w:pPr>
        <w:keepNext w:val="0"/>
        <w:keepLines w:val="0"/>
        <w:pageBreakBefore w:val="0"/>
        <w:widowControl w:val="0"/>
        <w:shd w:val="clear" w:color="auto" w:fill="FFFFFF"/>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（2</w:t>
      </w:r>
      <w:r>
        <w:rPr>
          <w:rFonts w:hint="eastAsia" w:ascii="仿宋" w:hAnsi="仿宋" w:eastAsia="仿宋" w:cs="仿宋"/>
          <w:sz w:val="32"/>
          <w:szCs w:val="32"/>
          <w:highlight w:val="none"/>
          <w:lang w:eastAsia="zh-CN"/>
        </w:rPr>
        <w:t>）《关于深化环境监测改革提高环境监测数据质量的意见》（厅字〔2017〕35号）：文中提出了全面建立环境监测数据质量保障责任体系，建立环境监测数据弄虚作假防范和惩治机制，确保环境监测数据全面、准确、客观、真实的工作目标。明确对环境监测机构和人员执法行为实行干预留痕和记录，做到全程留痕、依法提取、介质存储、归档备查。同时要加快提高环境监测质量监管能力、强化高新技术应用，加强大数据、人工智能在环境监测和质量管理中的应用，通过对环境监测活动全程监控，实现对异常数据的智能识别、自动报警。开展环境监测新技术、新方法研究，提升环境监测科技水平。</w:t>
      </w:r>
    </w:p>
    <w:p w14:paraId="6071FF9D">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left="0" w:leftChars="0" w:firstLine="640" w:firstLineChars="200"/>
        <w:textAlignment w:val="auto"/>
        <w:rPr>
          <w:rFonts w:hint="eastAsia" w:ascii="仿宋_GB2312" w:hAnsi="仿宋" w:eastAsia="仿宋_GB2312" w:cs="Times New Roman"/>
          <w:b w:val="0"/>
          <w:color w:val="auto"/>
          <w:kern w:val="2"/>
          <w:sz w:val="32"/>
          <w:szCs w:val="32"/>
          <w:highlight w:val="none"/>
          <w:lang w:val="en-US" w:eastAsia="zh-CN" w:bidi="ar-SA"/>
        </w:rPr>
      </w:pPr>
      <w:r>
        <w:rPr>
          <w:rFonts w:hint="eastAsia" w:ascii="仿宋_GB2312" w:hAnsi="仿宋" w:eastAsia="仿宋_GB2312" w:cs="Times New Roman"/>
          <w:b w:val="0"/>
          <w:color w:val="auto"/>
          <w:kern w:val="2"/>
          <w:sz w:val="32"/>
          <w:szCs w:val="32"/>
          <w:highlight w:val="none"/>
          <w:lang w:val="en-US" w:eastAsia="zh-CN" w:bidi="ar-SA"/>
        </w:rPr>
        <w:t>（3）中共河北省生态环境厅党组印发《关于非现场监管执法改革的意见》的通知（冀环党组〔2022〕42号），关于完善三个标准，为非现场监管执法提供重要支撑。</w:t>
      </w:r>
    </w:p>
    <w:p w14:paraId="6F5E9E1D">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left="0" w:leftChars="0" w:firstLine="640" w:firstLineChars="200"/>
        <w:textAlignment w:val="auto"/>
        <w:rPr>
          <w:rFonts w:hint="eastAsia" w:ascii="仿宋_GB2312" w:hAnsi="仿宋" w:eastAsia="仿宋_GB2312" w:cs="Times New Roman"/>
          <w:b w:val="0"/>
          <w:color w:val="auto"/>
          <w:kern w:val="2"/>
          <w:sz w:val="32"/>
          <w:szCs w:val="32"/>
          <w:highlight w:val="none"/>
          <w:lang w:val="en-US" w:eastAsia="zh-CN" w:bidi="ar-SA"/>
        </w:rPr>
      </w:pPr>
      <w:r>
        <w:rPr>
          <w:rFonts w:hint="eastAsia" w:ascii="仿宋_GB2312" w:hAnsi="仿宋" w:eastAsia="仿宋_GB2312" w:cs="Times New Roman"/>
          <w:b w:val="0"/>
          <w:color w:val="auto"/>
          <w:kern w:val="2"/>
          <w:sz w:val="32"/>
          <w:szCs w:val="32"/>
          <w:highlight w:val="none"/>
          <w:lang w:val="en-US" w:eastAsia="zh-CN" w:bidi="ar-SA"/>
        </w:rPr>
        <w:t>（4）中共河北省生态环境厅党组印发《关于健全污染源自动监控体系有关工作的通知》（冀环党组〔2020〕-609）的通知，开展门禁、视频、参数监控联网工作，实现所有操作全程留痕记录。</w:t>
      </w:r>
    </w:p>
    <w:p w14:paraId="1DBDDCDD">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left="0" w:leftChars="0" w:firstLine="640" w:firstLineChars="200"/>
        <w:textAlignment w:val="auto"/>
        <w:rPr>
          <w:rFonts w:hint="eastAsia" w:ascii="仿宋" w:hAnsi="仿宋" w:eastAsia="仿宋" w:cs="仿宋"/>
          <w:sz w:val="32"/>
          <w:szCs w:val="32"/>
          <w:lang w:val="en-US" w:eastAsia="zh-CN"/>
        </w:rPr>
      </w:pPr>
      <w:r>
        <w:rPr>
          <w:rFonts w:hint="eastAsia" w:ascii="仿宋_GB2312" w:hAnsi="仿宋" w:eastAsia="仿宋_GB2312" w:cs="Times New Roman"/>
          <w:b w:val="0"/>
          <w:color w:val="auto"/>
          <w:kern w:val="2"/>
          <w:sz w:val="32"/>
          <w:szCs w:val="32"/>
          <w:highlight w:val="none"/>
          <w:lang w:val="en-US" w:eastAsia="zh-CN" w:bidi="ar-SA"/>
        </w:rPr>
        <w:t>（5）河北省生态环境厅办公室印发《关于进一步完善污染源自动监控工作制度的通知》（冀环办字函〔2018〕123号）要求提出，加快推进城镇污水处理设施建设与改造，建立监测预警系统及机制。</w:t>
      </w:r>
      <w:r>
        <w:rPr>
          <w:rFonts w:hint="eastAsia" w:ascii="仿宋" w:hAnsi="仿宋" w:eastAsia="仿宋" w:cs="仿宋"/>
          <w:sz w:val="32"/>
          <w:szCs w:val="32"/>
          <w:lang w:val="en-US" w:eastAsia="zh-CN"/>
        </w:rPr>
        <w:t>创新执法证据应用，工况、状态参数、视频等电子信息可形成完成证据链，作为判定排污单位是否存在环境违法行为的证据，有效提升科学执法水平。</w:t>
      </w:r>
    </w:p>
    <w:p w14:paraId="3D360FCD">
      <w:pPr>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color w:val="auto"/>
          <w:kern w:val="0"/>
          <w:sz w:val="32"/>
          <w:szCs w:val="32"/>
          <w:highlight w:val="none"/>
          <w:lang w:val="en-GB" w:eastAsia="en-US" w:bidi="ar-SA"/>
        </w:rPr>
      </w:pPr>
      <w:r>
        <w:rPr>
          <w:rFonts w:hint="eastAsia" w:ascii="仿宋_GB2312" w:hAnsi="仿宋_GB2312" w:eastAsia="仿宋_GB2312" w:cs="仿宋_GB2312"/>
          <w:b w:val="0"/>
          <w:color w:val="auto"/>
          <w:kern w:val="0"/>
          <w:sz w:val="32"/>
          <w:szCs w:val="32"/>
          <w:highlight w:val="none"/>
          <w:lang w:val="en-GB" w:eastAsia="en-US" w:bidi="ar-SA"/>
        </w:rPr>
        <w:t>这些相关法规和政策，对在线监测设备参数管控系统</w:t>
      </w:r>
      <w:r>
        <w:rPr>
          <w:rFonts w:hint="eastAsia" w:ascii="仿宋_GB2312" w:hAnsi="仿宋_GB2312" w:eastAsia="仿宋_GB2312" w:cs="仿宋_GB2312"/>
          <w:b w:val="0"/>
          <w:color w:val="auto"/>
          <w:kern w:val="0"/>
          <w:sz w:val="32"/>
          <w:szCs w:val="32"/>
          <w:highlight w:val="none"/>
          <w:lang w:val="en-US" w:eastAsia="zh-CN" w:bidi="ar-SA"/>
        </w:rPr>
        <w:t>的内容</w:t>
      </w:r>
      <w:r>
        <w:rPr>
          <w:rFonts w:hint="eastAsia" w:ascii="仿宋_GB2312" w:hAnsi="仿宋_GB2312" w:eastAsia="仿宋_GB2312" w:cs="仿宋_GB2312"/>
          <w:b w:val="0"/>
          <w:color w:val="auto"/>
          <w:kern w:val="0"/>
          <w:sz w:val="32"/>
          <w:szCs w:val="32"/>
          <w:highlight w:val="none"/>
          <w:lang w:val="en-GB" w:eastAsia="en-US" w:bidi="ar-SA"/>
        </w:rPr>
        <w:t>提出了明确要求，并对应用</w:t>
      </w:r>
      <w:r>
        <w:rPr>
          <w:rFonts w:hint="eastAsia" w:ascii="仿宋_GB2312" w:hAnsi="仿宋_GB2312" w:eastAsia="仿宋_GB2312" w:cs="仿宋_GB2312"/>
          <w:b w:val="0"/>
          <w:color w:val="auto"/>
          <w:kern w:val="0"/>
          <w:sz w:val="32"/>
          <w:szCs w:val="32"/>
          <w:highlight w:val="none"/>
          <w:lang w:val="en-US" w:eastAsia="zh-CN" w:bidi="ar-SA"/>
        </w:rPr>
        <w:t>内容</w:t>
      </w:r>
      <w:r>
        <w:rPr>
          <w:rFonts w:hint="eastAsia" w:ascii="仿宋_GB2312" w:hAnsi="仿宋_GB2312" w:eastAsia="仿宋_GB2312" w:cs="仿宋_GB2312"/>
          <w:b w:val="0"/>
          <w:color w:val="auto"/>
          <w:kern w:val="0"/>
          <w:sz w:val="32"/>
          <w:szCs w:val="32"/>
          <w:highlight w:val="none"/>
          <w:lang w:val="en-GB" w:eastAsia="en-US" w:bidi="ar-SA"/>
        </w:rPr>
        <w:t>予以了</w:t>
      </w:r>
      <w:r>
        <w:rPr>
          <w:rFonts w:hint="eastAsia" w:ascii="仿宋_GB2312" w:hAnsi="仿宋_GB2312" w:eastAsia="仿宋_GB2312" w:cs="仿宋_GB2312"/>
          <w:b w:val="0"/>
          <w:color w:val="auto"/>
          <w:kern w:val="0"/>
          <w:sz w:val="32"/>
          <w:szCs w:val="32"/>
          <w:highlight w:val="none"/>
          <w:lang w:val="en-US" w:eastAsia="zh-CN" w:bidi="ar-SA"/>
        </w:rPr>
        <w:t>确</w:t>
      </w:r>
      <w:r>
        <w:rPr>
          <w:rFonts w:hint="eastAsia" w:ascii="仿宋_GB2312" w:hAnsi="仿宋_GB2312" w:eastAsia="仿宋_GB2312" w:cs="仿宋_GB2312"/>
          <w:b w:val="0"/>
          <w:color w:val="auto"/>
          <w:kern w:val="0"/>
          <w:sz w:val="32"/>
          <w:szCs w:val="32"/>
          <w:highlight w:val="none"/>
          <w:lang w:val="en-GB" w:eastAsia="en-US" w:bidi="ar-SA"/>
        </w:rPr>
        <w:t>定，是相关项目的建设背景和指导方针。</w:t>
      </w:r>
    </w:p>
    <w:p w14:paraId="78DEA9E3">
      <w:pPr>
        <w:pageBreakBefore w:val="0"/>
        <w:widowControl/>
        <w:kinsoku/>
        <w:wordWrap/>
        <w:overflowPunct/>
        <w:topLinePunct w:val="0"/>
        <w:autoSpaceDE/>
        <w:autoSpaceDN/>
        <w:bidi w:val="0"/>
        <w:adjustRightInd/>
        <w:snapToGrid/>
        <w:spacing w:line="560" w:lineRule="exact"/>
        <w:ind w:firstLine="640" w:firstLineChars="200"/>
        <w:jc w:val="left"/>
        <w:textAlignment w:val="auto"/>
        <w:outlineLvl w:val="1"/>
        <w:rPr>
          <w:rFonts w:ascii="黑体" w:hAnsi="黑体" w:eastAsia="黑体" w:cs="宋体"/>
          <w:kern w:val="0"/>
          <w:sz w:val="32"/>
          <w:szCs w:val="32"/>
          <w:highlight w:val="none"/>
        </w:rPr>
      </w:pPr>
      <w:r>
        <w:rPr>
          <w:rFonts w:hint="eastAsia" w:ascii="黑体" w:hAnsi="黑体" w:eastAsia="黑体" w:cs="宋体"/>
          <w:kern w:val="0"/>
          <w:sz w:val="32"/>
          <w:szCs w:val="32"/>
          <w:highlight w:val="none"/>
        </w:rPr>
        <w:t>二、工作内容</w:t>
      </w:r>
    </w:p>
    <w:p w14:paraId="64913EB4">
      <w:pPr>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仿宋_GB2312" w:hAnsi="仿宋_GB2312" w:eastAsia="仿宋_GB2312" w:cs="仿宋_GB2312"/>
          <w:b w:val="0"/>
          <w:color w:val="auto"/>
          <w:kern w:val="0"/>
          <w:sz w:val="32"/>
          <w:szCs w:val="32"/>
          <w:highlight w:val="none"/>
          <w:lang w:val="en-GB" w:eastAsia="en-US" w:bidi="ar-SA"/>
        </w:rPr>
      </w:pPr>
      <w:r>
        <w:rPr>
          <w:rFonts w:hint="eastAsia" w:ascii="仿宋_GB2312" w:hAnsi="仿宋_GB2312" w:eastAsia="仿宋_GB2312" w:cs="仿宋_GB2312"/>
          <w:b w:val="0"/>
          <w:color w:val="auto"/>
          <w:kern w:val="0"/>
          <w:sz w:val="32"/>
          <w:szCs w:val="32"/>
          <w:highlight w:val="none"/>
          <w:lang w:val="en-GB" w:eastAsia="en-US" w:bidi="ar-SA"/>
        </w:rPr>
        <w:t>本项目旨在构建在线监测设备参数监管体系，通过对石家庄</w:t>
      </w:r>
      <w:r>
        <w:rPr>
          <w:rFonts w:hint="eastAsia" w:ascii="仿宋_GB2312" w:hAnsi="仿宋_GB2312" w:eastAsia="仿宋_GB2312" w:cs="仿宋_GB2312"/>
          <w:b w:val="0"/>
          <w:color w:val="auto"/>
          <w:kern w:val="0"/>
          <w:sz w:val="32"/>
          <w:szCs w:val="32"/>
          <w:highlight w:val="none"/>
          <w:lang w:val="en-US" w:eastAsia="zh-CN" w:bidi="ar-SA"/>
        </w:rPr>
        <w:t>污水处理厂3</w:t>
      </w:r>
      <w:r>
        <w:rPr>
          <w:rFonts w:hint="eastAsia" w:ascii="仿宋_GB2312" w:hAnsi="仿宋_GB2312" w:eastAsia="仿宋_GB2312" w:cs="仿宋_GB2312"/>
          <w:b w:val="0"/>
          <w:color w:val="auto"/>
          <w:kern w:val="0"/>
          <w:sz w:val="32"/>
          <w:szCs w:val="32"/>
          <w:highlight w:val="none"/>
          <w:lang w:val="en-GB" w:eastAsia="en-US" w:bidi="ar-SA"/>
        </w:rPr>
        <w:t>0个</w:t>
      </w:r>
      <w:r>
        <w:rPr>
          <w:rFonts w:hint="eastAsia" w:ascii="仿宋_GB2312" w:hAnsi="仿宋_GB2312" w:eastAsia="仿宋_GB2312" w:cs="仿宋_GB2312"/>
          <w:b w:val="0"/>
          <w:color w:val="auto"/>
          <w:kern w:val="0"/>
          <w:sz w:val="32"/>
          <w:szCs w:val="32"/>
          <w:highlight w:val="none"/>
          <w:lang w:val="en-US" w:eastAsia="zh-CN" w:bidi="ar-SA"/>
        </w:rPr>
        <w:t>污水排放口</w:t>
      </w:r>
      <w:r>
        <w:rPr>
          <w:rFonts w:hint="eastAsia" w:ascii="仿宋_GB2312" w:hAnsi="仿宋_GB2312" w:eastAsia="仿宋_GB2312" w:cs="仿宋_GB2312"/>
          <w:b w:val="0"/>
          <w:color w:val="auto"/>
          <w:kern w:val="0"/>
          <w:sz w:val="32"/>
          <w:szCs w:val="32"/>
          <w:highlight w:val="none"/>
          <w:lang w:val="en-GB" w:eastAsia="en-US" w:bidi="ar-SA"/>
        </w:rPr>
        <w:t>口进行在线监测设备参数管控</w:t>
      </w:r>
      <w:r>
        <w:rPr>
          <w:rFonts w:hint="eastAsia" w:ascii="仿宋_GB2312" w:hAnsi="仿宋_GB2312" w:eastAsia="仿宋_GB2312" w:cs="仿宋_GB2312"/>
          <w:b w:val="0"/>
          <w:color w:val="auto"/>
          <w:kern w:val="0"/>
          <w:sz w:val="32"/>
          <w:szCs w:val="32"/>
          <w:highlight w:val="none"/>
          <w:lang w:val="en-US" w:eastAsia="zh-CN" w:bidi="ar-SA"/>
        </w:rPr>
        <w:t>服务</w:t>
      </w:r>
      <w:r>
        <w:rPr>
          <w:rFonts w:hint="eastAsia" w:ascii="仿宋_GB2312" w:hAnsi="仿宋_GB2312" w:eastAsia="仿宋_GB2312" w:cs="仿宋_GB2312"/>
          <w:b w:val="0"/>
          <w:color w:val="auto"/>
          <w:kern w:val="0"/>
          <w:sz w:val="32"/>
          <w:szCs w:val="32"/>
          <w:highlight w:val="none"/>
          <w:lang w:val="en-GB" w:eastAsia="en-US" w:bidi="ar-SA"/>
        </w:rPr>
        <w:t>，</w:t>
      </w:r>
      <w:r>
        <w:rPr>
          <w:rFonts w:hint="eastAsia" w:ascii="仿宋" w:hAnsi="仿宋" w:eastAsia="仿宋" w:cs="仿宋"/>
          <w:b w:val="0"/>
          <w:color w:val="auto"/>
          <w:sz w:val="32"/>
          <w:szCs w:val="32"/>
          <w:highlight w:val="none"/>
          <w:lang w:val="en-US" w:eastAsia="zh-CN" w:bidi="ar-SA"/>
        </w:rPr>
        <w:t>实现对排污单位的在线监测站房内及污水排放口所有人员的操作过程做到全程留痕记录，避免数据失真</w:t>
      </w:r>
      <w:r>
        <w:rPr>
          <w:rFonts w:hint="eastAsia" w:ascii="仿宋_GB2312" w:hAnsi="仿宋_GB2312" w:eastAsia="仿宋_GB2312" w:cs="仿宋_GB2312"/>
          <w:b w:val="0"/>
          <w:color w:val="auto"/>
          <w:kern w:val="0"/>
          <w:sz w:val="32"/>
          <w:szCs w:val="32"/>
          <w:highlight w:val="none"/>
          <w:lang w:val="en-GB" w:eastAsia="en-US" w:bidi="ar-SA"/>
        </w:rPr>
        <w:t>。项目采用政府采购服务的方式，服务内容主要包括完成 30 个城镇污水处理厂污水排放</w:t>
      </w:r>
      <w:r>
        <w:rPr>
          <w:rFonts w:hint="eastAsia" w:ascii="仿宋" w:hAnsi="仿宋" w:eastAsia="仿宋" w:cs="仿宋"/>
          <w:b w:val="0"/>
          <w:color w:val="auto"/>
          <w:sz w:val="32"/>
          <w:szCs w:val="32"/>
          <w:highlight w:val="none"/>
          <w:lang w:val="en-GB" w:eastAsia="en-US" w:bidi="ar-SA"/>
        </w:rPr>
        <w:t>口参数管控仪的安装</w:t>
      </w:r>
      <w:r>
        <w:rPr>
          <w:rFonts w:hint="eastAsia" w:ascii="仿宋" w:hAnsi="仿宋" w:eastAsia="仿宋" w:cs="仿宋"/>
          <w:b w:val="0"/>
          <w:color w:val="auto"/>
          <w:sz w:val="32"/>
          <w:szCs w:val="32"/>
          <w:highlight w:val="none"/>
          <w:lang w:val="en-GB" w:eastAsia="zh-CN" w:bidi="ar-SA"/>
        </w:rPr>
        <w:t>、平台建设和</w:t>
      </w:r>
      <w:r>
        <w:rPr>
          <w:rFonts w:hint="eastAsia" w:ascii="仿宋" w:hAnsi="仿宋" w:eastAsia="仿宋" w:cs="仿宋"/>
          <w:b w:val="0"/>
          <w:color w:val="auto"/>
          <w:sz w:val="32"/>
          <w:szCs w:val="32"/>
          <w:highlight w:val="none"/>
          <w:lang w:val="en-GB" w:eastAsia="en-US" w:bidi="ar-SA"/>
        </w:rPr>
        <w:t>运维</w:t>
      </w:r>
      <w:r>
        <w:rPr>
          <w:rFonts w:hint="eastAsia" w:ascii="仿宋" w:hAnsi="仿宋" w:eastAsia="仿宋" w:cs="仿宋"/>
          <w:b w:val="0"/>
          <w:color w:val="auto"/>
          <w:sz w:val="32"/>
          <w:szCs w:val="32"/>
          <w:highlight w:val="none"/>
          <w:lang w:val="en-GB" w:eastAsia="zh-CN" w:bidi="ar-SA"/>
        </w:rPr>
        <w:t>工作</w:t>
      </w:r>
      <w:r>
        <w:rPr>
          <w:rFonts w:hint="eastAsia" w:ascii="仿宋" w:hAnsi="仿宋" w:eastAsia="仿宋" w:cs="仿宋"/>
          <w:b w:val="0"/>
          <w:color w:val="auto"/>
          <w:sz w:val="32"/>
          <w:szCs w:val="32"/>
          <w:highlight w:val="none"/>
          <w:lang w:val="en-GB" w:eastAsia="en-US" w:bidi="ar-SA"/>
        </w:rPr>
        <w:t>。实现在线监测设备的数据、参数、</w:t>
      </w:r>
      <w:r>
        <w:rPr>
          <w:rFonts w:hint="eastAsia" w:ascii="仿宋_GB2312" w:hAnsi="仿宋_GB2312" w:eastAsia="仿宋_GB2312" w:cs="仿宋_GB2312"/>
          <w:b w:val="0"/>
          <w:color w:val="auto"/>
          <w:kern w:val="0"/>
          <w:sz w:val="32"/>
          <w:szCs w:val="32"/>
          <w:highlight w:val="none"/>
          <w:lang w:val="en-GB" w:eastAsia="en-US" w:bidi="ar-SA"/>
        </w:rPr>
        <w:t>状态上传及反控在线监测设备功能；安装智能门禁系统</w:t>
      </w:r>
      <w:r>
        <w:rPr>
          <w:rFonts w:hint="eastAsia" w:ascii="仿宋_GB2312" w:hAnsi="仿宋_GB2312" w:eastAsia="仿宋_GB2312" w:cs="仿宋_GB2312"/>
          <w:b w:val="0"/>
          <w:color w:val="auto"/>
          <w:kern w:val="0"/>
          <w:sz w:val="32"/>
          <w:szCs w:val="32"/>
          <w:highlight w:val="none"/>
          <w:lang w:val="en-GB" w:eastAsia="zh-CN" w:bidi="ar-SA"/>
        </w:rPr>
        <w:t>、</w:t>
      </w:r>
      <w:r>
        <w:rPr>
          <w:rFonts w:hint="eastAsia" w:ascii="仿宋_GB2312" w:hAnsi="仿宋_GB2312" w:eastAsia="仿宋_GB2312" w:cs="仿宋_GB2312"/>
          <w:b w:val="0"/>
          <w:color w:val="auto"/>
          <w:kern w:val="0"/>
          <w:sz w:val="32"/>
          <w:szCs w:val="32"/>
          <w:highlight w:val="none"/>
          <w:lang w:val="en-GB" w:eastAsia="en-US" w:bidi="ar-SA"/>
        </w:rPr>
        <w:t>站房内</w:t>
      </w:r>
      <w:r>
        <w:rPr>
          <w:rFonts w:hint="eastAsia" w:ascii="仿宋_GB2312" w:hAnsi="仿宋_GB2312" w:eastAsia="仿宋_GB2312" w:cs="仿宋_GB2312"/>
          <w:b w:val="0"/>
          <w:color w:val="auto"/>
          <w:kern w:val="0"/>
          <w:sz w:val="32"/>
          <w:szCs w:val="32"/>
          <w:highlight w:val="none"/>
          <w:lang w:val="en-US" w:eastAsia="zh-CN" w:bidi="ar-SA"/>
        </w:rPr>
        <w:t>外</w:t>
      </w:r>
      <w:r>
        <w:rPr>
          <w:rFonts w:hint="eastAsia" w:ascii="仿宋_GB2312" w:hAnsi="仿宋_GB2312" w:eastAsia="仿宋_GB2312" w:cs="仿宋_GB2312"/>
          <w:b w:val="0"/>
          <w:color w:val="auto"/>
          <w:kern w:val="0"/>
          <w:sz w:val="32"/>
          <w:szCs w:val="32"/>
          <w:highlight w:val="none"/>
          <w:lang w:val="en-GB" w:eastAsia="en-US" w:bidi="ar-SA"/>
        </w:rPr>
        <w:t>视频系统。技术及设备方案详见《关于健全污染源自动监控体系有关工作的通知》（冀环党组〔2020〕-609）需求。</w:t>
      </w:r>
    </w:p>
    <w:p w14:paraId="56A3B8BB">
      <w:pPr>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黑体" w:hAnsi="黑体" w:eastAsia="黑体" w:cs="宋体"/>
          <w:kern w:val="0"/>
          <w:sz w:val="32"/>
          <w:szCs w:val="32"/>
          <w:highlight w:val="yellow"/>
        </w:rPr>
      </w:pPr>
      <w:r>
        <w:rPr>
          <w:rFonts w:hint="eastAsia" w:ascii="黑体" w:hAnsi="黑体" w:eastAsia="黑体" w:cs="宋体"/>
          <w:kern w:val="0"/>
          <w:sz w:val="32"/>
          <w:szCs w:val="32"/>
          <w:highlight w:val="none"/>
        </w:rPr>
        <w:t>三、预期效果/目的</w:t>
      </w:r>
    </w:p>
    <w:p w14:paraId="7B92BC15">
      <w:pPr>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color w:val="auto"/>
          <w:kern w:val="0"/>
          <w:sz w:val="32"/>
          <w:szCs w:val="32"/>
          <w:highlight w:val="none"/>
          <w:lang w:val="en-US" w:eastAsia="zh-CN" w:bidi="ar-SA"/>
        </w:rPr>
      </w:pPr>
      <w:r>
        <w:rPr>
          <w:rFonts w:hint="eastAsia" w:ascii="仿宋_GB2312" w:hAnsi="仿宋_GB2312" w:eastAsia="仿宋_GB2312" w:cs="仿宋_GB2312"/>
          <w:b w:val="0"/>
          <w:color w:val="auto"/>
          <w:kern w:val="0"/>
          <w:sz w:val="32"/>
          <w:szCs w:val="32"/>
          <w:highlight w:val="none"/>
          <w:lang w:val="en-US" w:eastAsia="zh-CN" w:bidi="ar-SA"/>
        </w:rPr>
        <w:t>项目实施后最明显的效果是改变现有在线监测设备只传监测结果的老模式为同时传数据、设置参数和工作状态的新模式。并将各项数据汇总于大数据平台，完成对在线监测设备的实时“体检”，防止“数据失真”，保证其时刻健康运行。</w:t>
      </w:r>
    </w:p>
    <w:p w14:paraId="24FB2083">
      <w:pPr>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color w:val="auto"/>
          <w:kern w:val="0"/>
          <w:sz w:val="32"/>
          <w:szCs w:val="32"/>
          <w:highlight w:val="yellow"/>
          <w:lang w:val="en-US" w:eastAsia="zh-CN" w:bidi="ar-SA"/>
        </w:rPr>
      </w:pPr>
      <w:r>
        <w:rPr>
          <w:rFonts w:hint="eastAsia" w:ascii="仿宋_GB2312" w:hAnsi="仿宋_GB2312" w:eastAsia="仿宋_GB2312" w:cs="仿宋_GB2312"/>
          <w:b w:val="0"/>
          <w:color w:val="auto"/>
          <w:kern w:val="0"/>
          <w:sz w:val="32"/>
          <w:szCs w:val="32"/>
          <w:highlight w:val="none"/>
          <w:lang w:val="en-US" w:eastAsia="zh-CN" w:bidi="ar-SA"/>
        </w:rPr>
        <w:t>通过本项目的实施，通过对监控数据、设置参数、运行状态等数据进行分析，提升了监测数据的质量，防范在线检测仪“数据失真”，全部证据平台存储提供，省去大量现场取证环节。真正实现在线设备运行及传输参数数据的有效监管。</w:t>
      </w:r>
    </w:p>
    <w:p w14:paraId="3531061B">
      <w:pPr>
        <w:keepLines w:val="0"/>
        <w:pageBreakBefore w:val="0"/>
        <w:kinsoku/>
        <w:wordWrap/>
        <w:overflowPunct/>
        <w:topLinePunct w:val="0"/>
        <w:autoSpaceDE/>
        <w:autoSpaceDN/>
        <w:bidi w:val="0"/>
        <w:adjustRightInd/>
        <w:snapToGrid/>
        <w:spacing w:line="560" w:lineRule="exact"/>
        <w:ind w:firstLine="640" w:firstLineChars="200"/>
        <w:jc w:val="left"/>
        <w:textAlignment w:val="auto"/>
        <w:outlineLvl w:val="1"/>
        <w:rPr>
          <w:rFonts w:ascii="黑体" w:hAnsi="黑体" w:eastAsia="黑体" w:cs="仿宋_GB2312"/>
          <w:bCs/>
          <w:sz w:val="32"/>
          <w:szCs w:val="32"/>
          <w:highlight w:val="none"/>
        </w:rPr>
      </w:pPr>
      <w:r>
        <w:rPr>
          <w:rFonts w:hint="eastAsia" w:ascii="黑体" w:hAnsi="黑体" w:eastAsia="黑体" w:cs="仿宋_GB2312"/>
          <w:bCs/>
          <w:sz w:val="32"/>
          <w:szCs w:val="32"/>
          <w:highlight w:val="none"/>
        </w:rPr>
        <w:t>四、实施要求</w:t>
      </w:r>
    </w:p>
    <w:p w14:paraId="76A83FAA">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eastAsia="仿宋" w:cs="仿宋"/>
          <w:sz w:val="32"/>
          <w:szCs w:val="32"/>
          <w:highlight w:val="none"/>
          <w:lang w:val="en-US" w:eastAsia="zh-CN"/>
        </w:rPr>
        <w:t>1.</w:t>
      </w:r>
      <w:r>
        <w:rPr>
          <w:rFonts w:hint="eastAsia" w:ascii="仿宋" w:hAnsi="仿宋" w:eastAsia="仿宋" w:cs="仿宋"/>
          <w:sz w:val="32"/>
          <w:szCs w:val="32"/>
          <w:highlight w:val="none"/>
        </w:rPr>
        <w:t>现场端（监测参数管控仪）管控仪</w:t>
      </w:r>
    </w:p>
    <w:p w14:paraId="7ACE4BBC">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主要功能</w:t>
      </w:r>
      <w:r>
        <w:rPr>
          <w:rFonts w:hint="eastAsia" w:eastAsia="仿宋" w:cs="仿宋"/>
          <w:sz w:val="32"/>
          <w:szCs w:val="32"/>
          <w:highlight w:val="none"/>
          <w:lang w:val="en-US" w:eastAsia="zh-CN"/>
        </w:rPr>
        <w:t>如下</w:t>
      </w:r>
      <w:r>
        <w:rPr>
          <w:rFonts w:hint="eastAsia" w:ascii="仿宋" w:hAnsi="仿宋" w:eastAsia="仿宋" w:cs="仿宋"/>
          <w:sz w:val="32"/>
          <w:szCs w:val="32"/>
          <w:highlight w:val="none"/>
        </w:rPr>
        <w:t>：</w:t>
      </w:r>
    </w:p>
    <w:p w14:paraId="057D0571">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eastAsia="仿宋" w:cs="仿宋"/>
          <w:sz w:val="32"/>
          <w:szCs w:val="32"/>
          <w:highlight w:val="none"/>
          <w:lang w:eastAsia="zh-CN"/>
        </w:rPr>
        <w:t>（</w:t>
      </w:r>
      <w:r>
        <w:rPr>
          <w:rFonts w:hint="eastAsia" w:eastAsia="仿宋" w:cs="仿宋"/>
          <w:sz w:val="32"/>
          <w:szCs w:val="32"/>
          <w:highlight w:val="none"/>
          <w:lang w:val="en-US" w:eastAsia="zh-CN"/>
        </w:rPr>
        <w:t>1</w:t>
      </w:r>
      <w:r>
        <w:rPr>
          <w:rFonts w:hint="eastAsia" w:eastAsia="仿宋" w:cs="仿宋"/>
          <w:sz w:val="32"/>
          <w:szCs w:val="32"/>
          <w:highlight w:val="none"/>
          <w:lang w:eastAsia="zh-CN"/>
        </w:rPr>
        <w:t>）</w:t>
      </w:r>
      <w:r>
        <w:rPr>
          <w:rFonts w:hint="eastAsia" w:ascii="仿宋" w:hAnsi="仿宋" w:eastAsia="仿宋" w:cs="仿宋"/>
          <w:sz w:val="32"/>
          <w:szCs w:val="32"/>
          <w:highlight w:val="none"/>
        </w:rPr>
        <w:t>动态参数：</w:t>
      </w:r>
    </w:p>
    <w:p w14:paraId="14E0F099">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在线监控仪的关键参数如量程、截距、斜率等的采集、传输。</w:t>
      </w:r>
    </w:p>
    <w:p w14:paraId="57AB13E1">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eastAsia="仿宋" w:cs="仿宋"/>
          <w:sz w:val="32"/>
          <w:szCs w:val="32"/>
          <w:highlight w:val="none"/>
          <w:lang w:eastAsia="zh-CN"/>
        </w:rPr>
        <w:t>（</w:t>
      </w:r>
      <w:r>
        <w:rPr>
          <w:rFonts w:hint="eastAsia" w:eastAsia="仿宋" w:cs="仿宋"/>
          <w:sz w:val="32"/>
          <w:szCs w:val="32"/>
          <w:highlight w:val="none"/>
          <w:lang w:val="en-US" w:eastAsia="zh-CN"/>
        </w:rPr>
        <w:t>2</w:t>
      </w:r>
      <w:r>
        <w:rPr>
          <w:rFonts w:hint="eastAsia" w:eastAsia="仿宋" w:cs="仿宋"/>
          <w:sz w:val="32"/>
          <w:szCs w:val="32"/>
          <w:highlight w:val="none"/>
          <w:lang w:eastAsia="zh-CN"/>
        </w:rPr>
        <w:t>）</w:t>
      </w:r>
      <w:r>
        <w:rPr>
          <w:rFonts w:hint="eastAsia" w:ascii="仿宋" w:hAnsi="仿宋" w:eastAsia="仿宋" w:cs="仿宋"/>
          <w:sz w:val="32"/>
          <w:szCs w:val="32"/>
          <w:highlight w:val="none"/>
        </w:rPr>
        <w:t>运行状态：</w:t>
      </w:r>
    </w:p>
    <w:p w14:paraId="64940932">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在线仪的温度、反应时长、采样、校准、反吹等运行状态的采集、传输。</w:t>
      </w:r>
    </w:p>
    <w:p w14:paraId="7B6710E4">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eastAsia="仿宋" w:cs="仿宋"/>
          <w:sz w:val="32"/>
          <w:szCs w:val="32"/>
          <w:highlight w:val="none"/>
          <w:lang w:eastAsia="zh-CN"/>
        </w:rPr>
        <w:t>（</w:t>
      </w:r>
      <w:r>
        <w:rPr>
          <w:rFonts w:hint="eastAsia" w:eastAsia="仿宋" w:cs="仿宋"/>
          <w:sz w:val="32"/>
          <w:szCs w:val="32"/>
          <w:highlight w:val="none"/>
          <w:lang w:val="en-US" w:eastAsia="zh-CN"/>
        </w:rPr>
        <w:t>3</w:t>
      </w:r>
      <w:r>
        <w:rPr>
          <w:rFonts w:hint="eastAsia" w:eastAsia="仿宋" w:cs="仿宋"/>
          <w:sz w:val="32"/>
          <w:szCs w:val="32"/>
          <w:highlight w:val="none"/>
          <w:lang w:eastAsia="zh-CN"/>
        </w:rPr>
        <w:t>）</w:t>
      </w:r>
      <w:r>
        <w:rPr>
          <w:rFonts w:hint="eastAsia" w:ascii="仿宋" w:hAnsi="仿宋" w:eastAsia="仿宋" w:cs="仿宋"/>
          <w:sz w:val="32"/>
          <w:szCs w:val="32"/>
          <w:highlight w:val="none"/>
        </w:rPr>
        <w:t>数据查询：</w:t>
      </w:r>
    </w:p>
    <w:p w14:paraId="7995A56F">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实时数据、分钟数据、小时数据、天数据、各时间段排放量。</w:t>
      </w:r>
    </w:p>
    <w:p w14:paraId="45E3A418">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eastAsia="仿宋" w:cs="仿宋"/>
          <w:sz w:val="32"/>
          <w:szCs w:val="32"/>
          <w:highlight w:val="none"/>
          <w:lang w:eastAsia="zh-CN"/>
        </w:rPr>
        <w:t>（</w:t>
      </w:r>
      <w:r>
        <w:rPr>
          <w:rFonts w:hint="eastAsia" w:eastAsia="仿宋" w:cs="仿宋"/>
          <w:sz w:val="32"/>
          <w:szCs w:val="32"/>
          <w:highlight w:val="none"/>
          <w:lang w:val="en-US" w:eastAsia="zh-CN"/>
        </w:rPr>
        <w:t>4</w:t>
      </w:r>
      <w:r>
        <w:rPr>
          <w:rFonts w:hint="eastAsia" w:eastAsia="仿宋" w:cs="仿宋"/>
          <w:sz w:val="32"/>
          <w:szCs w:val="32"/>
          <w:highlight w:val="none"/>
          <w:lang w:eastAsia="zh-CN"/>
        </w:rPr>
        <w:t>）</w:t>
      </w:r>
      <w:r>
        <w:rPr>
          <w:rFonts w:hint="eastAsia" w:ascii="仿宋" w:hAnsi="仿宋" w:eastAsia="仿宋" w:cs="仿宋"/>
          <w:sz w:val="32"/>
          <w:szCs w:val="32"/>
          <w:highlight w:val="none"/>
        </w:rPr>
        <w:t>系统反控：</w:t>
      </w:r>
    </w:p>
    <w:p w14:paraId="194E0755">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通过平台可远程控制仪器测量，实现现场端与监控平台双向互通互联，反控指令符合HJ212-2017。</w:t>
      </w:r>
    </w:p>
    <w:p w14:paraId="75D653E1">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eastAsia="仿宋" w:cs="仿宋"/>
          <w:sz w:val="32"/>
          <w:szCs w:val="32"/>
          <w:highlight w:val="none"/>
          <w:lang w:eastAsia="zh-CN"/>
        </w:rPr>
        <w:t>（</w:t>
      </w:r>
      <w:r>
        <w:rPr>
          <w:rFonts w:hint="eastAsia" w:eastAsia="仿宋" w:cs="仿宋"/>
          <w:sz w:val="32"/>
          <w:szCs w:val="32"/>
          <w:highlight w:val="none"/>
          <w:lang w:val="en-US" w:eastAsia="zh-CN"/>
        </w:rPr>
        <w:t>5</w:t>
      </w:r>
      <w:r>
        <w:rPr>
          <w:rFonts w:hint="eastAsia" w:eastAsia="仿宋" w:cs="仿宋"/>
          <w:sz w:val="32"/>
          <w:szCs w:val="32"/>
          <w:highlight w:val="none"/>
          <w:lang w:eastAsia="zh-CN"/>
        </w:rPr>
        <w:t>）</w:t>
      </w:r>
      <w:r>
        <w:rPr>
          <w:rFonts w:hint="eastAsia" w:ascii="仿宋" w:hAnsi="仿宋" w:eastAsia="仿宋" w:cs="仿宋"/>
          <w:sz w:val="32"/>
          <w:szCs w:val="32"/>
          <w:highlight w:val="none"/>
        </w:rPr>
        <w:t>智能门禁：</w:t>
      </w:r>
    </w:p>
    <w:p w14:paraId="7EDFB579">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安装具有支持人脸识别开门方式的智能门禁。</w:t>
      </w:r>
    </w:p>
    <w:p w14:paraId="751C3D1F">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eastAsia="仿宋" w:cs="仿宋"/>
          <w:sz w:val="32"/>
          <w:szCs w:val="32"/>
          <w:highlight w:val="none"/>
          <w:lang w:eastAsia="zh-CN"/>
        </w:rPr>
        <w:t>（</w:t>
      </w:r>
      <w:r>
        <w:rPr>
          <w:rFonts w:hint="eastAsia" w:eastAsia="仿宋" w:cs="仿宋"/>
          <w:sz w:val="32"/>
          <w:szCs w:val="32"/>
          <w:highlight w:val="none"/>
          <w:lang w:val="en-US" w:eastAsia="zh-CN"/>
        </w:rPr>
        <w:t>6</w:t>
      </w:r>
      <w:r>
        <w:rPr>
          <w:rFonts w:hint="eastAsia" w:eastAsia="仿宋" w:cs="仿宋"/>
          <w:sz w:val="32"/>
          <w:szCs w:val="32"/>
          <w:highlight w:val="none"/>
          <w:lang w:eastAsia="zh-CN"/>
        </w:rPr>
        <w:t>）</w:t>
      </w:r>
      <w:r>
        <w:rPr>
          <w:rFonts w:hint="eastAsia" w:ascii="仿宋" w:hAnsi="仿宋" w:eastAsia="仿宋" w:cs="仿宋"/>
          <w:sz w:val="32"/>
          <w:szCs w:val="32"/>
          <w:highlight w:val="none"/>
        </w:rPr>
        <w:t>监控视频：</w:t>
      </w:r>
    </w:p>
    <w:p w14:paraId="2B0798C8">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站房内安装两台摄像机，其中1台主要拍摄站房门，可以清楚拍摄进出站房人员；另1台拍摄各类监测仪器，拍摄范围可以覆盖所有在线仪器设备正面。排水口安装1台摄像机视野覆盖整个采样口，可以拍摄到采样口人员活动情况。视频数据存储保留至少保存6个月,并且可以通过网络被环境主管部门调阅。</w:t>
      </w:r>
    </w:p>
    <w:p w14:paraId="60726C77">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eastAsia="仿宋" w:cs="仿宋"/>
          <w:sz w:val="32"/>
          <w:szCs w:val="32"/>
          <w:highlight w:val="none"/>
          <w:lang w:eastAsia="zh-CN"/>
        </w:rPr>
        <w:t>（</w:t>
      </w:r>
      <w:r>
        <w:rPr>
          <w:rFonts w:hint="eastAsia" w:eastAsia="仿宋" w:cs="仿宋"/>
          <w:sz w:val="32"/>
          <w:szCs w:val="32"/>
          <w:highlight w:val="none"/>
          <w:lang w:val="en-US" w:eastAsia="zh-CN"/>
        </w:rPr>
        <w:t>7</w:t>
      </w:r>
      <w:r>
        <w:rPr>
          <w:rFonts w:hint="eastAsia" w:eastAsia="仿宋" w:cs="仿宋"/>
          <w:sz w:val="32"/>
          <w:szCs w:val="32"/>
          <w:highlight w:val="none"/>
          <w:lang w:eastAsia="zh-CN"/>
        </w:rPr>
        <w:t>）</w:t>
      </w:r>
      <w:r>
        <w:rPr>
          <w:rFonts w:hint="eastAsia" w:ascii="仿宋" w:hAnsi="仿宋" w:eastAsia="仿宋" w:cs="仿宋"/>
          <w:sz w:val="32"/>
          <w:szCs w:val="32"/>
          <w:highlight w:val="none"/>
        </w:rPr>
        <w:t>日志记录：</w:t>
      </w:r>
    </w:p>
    <w:p w14:paraId="77A6A413">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实时自动记录运行日志、人员操作日志、平台反控日志、参数修改日志并同时上传平台。</w:t>
      </w:r>
    </w:p>
    <w:p w14:paraId="420166FC">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 w:hAnsi="仿宋" w:eastAsia="仿宋" w:cs="仿宋"/>
          <w:sz w:val="32"/>
          <w:szCs w:val="32"/>
          <w:highlight w:val="none"/>
        </w:rPr>
      </w:pPr>
      <w:r>
        <w:rPr>
          <w:rFonts w:hint="eastAsia" w:eastAsia="仿宋" w:cs="仿宋"/>
          <w:sz w:val="32"/>
          <w:szCs w:val="32"/>
          <w:highlight w:val="none"/>
          <w:lang w:eastAsia="zh-CN"/>
        </w:rPr>
        <w:t>（</w:t>
      </w:r>
      <w:r>
        <w:rPr>
          <w:rFonts w:hint="eastAsia" w:eastAsia="仿宋" w:cs="仿宋"/>
          <w:sz w:val="32"/>
          <w:szCs w:val="32"/>
          <w:highlight w:val="none"/>
          <w:lang w:val="en-US" w:eastAsia="zh-CN"/>
        </w:rPr>
        <w:t>8</w:t>
      </w:r>
      <w:r>
        <w:rPr>
          <w:rFonts w:hint="eastAsia" w:eastAsia="仿宋" w:cs="仿宋"/>
          <w:sz w:val="32"/>
          <w:szCs w:val="32"/>
          <w:highlight w:val="none"/>
          <w:lang w:eastAsia="zh-CN"/>
        </w:rPr>
        <w:t>）</w:t>
      </w:r>
      <w:r>
        <w:rPr>
          <w:rFonts w:hint="eastAsia" w:ascii="仿宋" w:hAnsi="仿宋" w:eastAsia="仿宋" w:cs="仿宋"/>
          <w:sz w:val="32"/>
          <w:szCs w:val="32"/>
          <w:highlight w:val="none"/>
        </w:rPr>
        <w:t>适用性：</w:t>
      </w:r>
    </w:p>
    <w:p w14:paraId="058EC665">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可主动采集符合HJ212-2017协议的通用各种在线仪参数及数据。</w:t>
      </w:r>
    </w:p>
    <w:p w14:paraId="721317F1">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监控平台部署及联网调试服务内容</w:t>
      </w:r>
    </w:p>
    <w:p w14:paraId="0D52597D">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rPr>
        <w:t>基础条件</w:t>
      </w:r>
    </w:p>
    <w:p w14:paraId="69CECA2D">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①</w:t>
      </w:r>
      <w:r>
        <w:rPr>
          <w:rFonts w:hint="eastAsia" w:ascii="仿宋_GB2312" w:hAnsi="仿宋_GB2312" w:eastAsia="仿宋_GB2312" w:cs="仿宋_GB2312"/>
          <w:sz w:val="32"/>
          <w:szCs w:val="32"/>
          <w:highlight w:val="none"/>
        </w:rPr>
        <w:t>应用服务器一台，数据库服务器一台，从市生态环境局信息中心云计算平台中分配，并配置网络环境，以具备与其他对接系统间的互访能力。</w:t>
      </w:r>
    </w:p>
    <w:p w14:paraId="70E89C9C">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②基础软件</w:t>
      </w:r>
    </w:p>
    <w:p w14:paraId="0E224C62">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平台运行所需操作系统、应用软件、数据库软件等。</w:t>
      </w:r>
    </w:p>
    <w:p w14:paraId="43BB3990">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通讯链路</w:t>
      </w:r>
    </w:p>
    <w:p w14:paraId="641A3310">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租用通讯供应商现有线路。专网卡用来传输数据、参数、抓拍照片。有固定IP的互联网专线，用来远程调阅视频。</w:t>
      </w:r>
    </w:p>
    <w:p w14:paraId="6EE6103A">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监测参数管控系统监控平台功能要求</w:t>
      </w:r>
    </w:p>
    <w:p w14:paraId="3C639E37">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运用云计算、物联网、大数据等信息技术搭建动态管控平台，实时采集各种在线仪的：量程、截距、斜率等参数数据；温度、反应时长、采样、校准、反吹等状态数据；现场视频、门禁登录人的图像信息，通过算法分析、逻辑甄别实现对在线仪运行状态、参数合理性、数据准确度的自动判断，构建全方位、多层次、全覆盖的在线仪管控网络，实现“感知测量更透彻、互联互通更可靠、智能应用更深入”的在线管控体系，为环境监管部门准确、快速识别可疑在线违规行为提供技术和证据保障。</w:t>
      </w:r>
    </w:p>
    <w:p w14:paraId="7512BA87">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rPr>
        <w:t>监测参数管控系统监控平台功能要求</w:t>
      </w:r>
    </w:p>
    <w:p w14:paraId="2AA955DD">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①</w:t>
      </w:r>
      <w:r>
        <w:rPr>
          <w:rFonts w:hint="eastAsia" w:ascii="仿宋_GB2312" w:hAnsi="仿宋_GB2312" w:eastAsia="仿宋_GB2312" w:cs="仿宋_GB2312"/>
          <w:sz w:val="32"/>
          <w:szCs w:val="32"/>
          <w:highlight w:val="none"/>
        </w:rPr>
        <w:t>演算甄别：</w:t>
      </w:r>
    </w:p>
    <w:p w14:paraId="48AB0FE7">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平台通过实时获取在线仪的关键性参数和状态，利用这些参数和状态反推计算出在线仪的真实数据，达到提高在线仪数据的质量和有效性的目的。</w:t>
      </w:r>
    </w:p>
    <w:p w14:paraId="2D860595">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②</w:t>
      </w:r>
      <w:r>
        <w:rPr>
          <w:rFonts w:hint="eastAsia" w:ascii="仿宋_GB2312" w:hAnsi="仿宋_GB2312" w:eastAsia="仿宋_GB2312" w:cs="仿宋_GB2312"/>
          <w:sz w:val="32"/>
          <w:szCs w:val="32"/>
          <w:highlight w:val="none"/>
        </w:rPr>
        <w:t>在线仪运行可视化：</w:t>
      </w:r>
    </w:p>
    <w:p w14:paraId="33451674">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以图标、表格、图形、色彩等多种方式展示在线仪运行状态，提高数据的可视化程度。</w:t>
      </w:r>
    </w:p>
    <w:p w14:paraId="63FD769D">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③</w:t>
      </w:r>
      <w:r>
        <w:rPr>
          <w:rFonts w:hint="eastAsia" w:ascii="仿宋_GB2312" w:hAnsi="仿宋_GB2312" w:eastAsia="仿宋_GB2312" w:cs="仿宋_GB2312"/>
          <w:sz w:val="32"/>
          <w:szCs w:val="32"/>
          <w:highlight w:val="none"/>
        </w:rPr>
        <w:t>参数锁定：</w:t>
      </w:r>
    </w:p>
    <w:p w14:paraId="58CBFB3E">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实时监控在线仪内部参数的变动，若变动则分析数据的真实性，对可疑参数进行锁定。</w:t>
      </w:r>
    </w:p>
    <w:p w14:paraId="16EB7C03">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④</w:t>
      </w:r>
      <w:r>
        <w:rPr>
          <w:rFonts w:hint="eastAsia" w:ascii="仿宋_GB2312" w:hAnsi="仿宋_GB2312" w:eastAsia="仿宋_GB2312" w:cs="仿宋_GB2312"/>
          <w:sz w:val="32"/>
          <w:szCs w:val="32"/>
          <w:highlight w:val="none"/>
        </w:rPr>
        <w:t>运行监控：</w:t>
      </w:r>
    </w:p>
    <w:p w14:paraId="6DCB24EB">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对在线仪的运行状态进行监控，实时上传，进行逻辑判断，对可疑状态进行锁定。运行评价：</w:t>
      </w:r>
    </w:p>
    <w:p w14:paraId="577C8F23">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⑤运行</w:t>
      </w:r>
      <w:r>
        <w:rPr>
          <w:rFonts w:hint="eastAsia" w:ascii="仿宋_GB2312" w:hAnsi="仿宋_GB2312" w:eastAsia="仿宋_GB2312" w:cs="仿宋_GB2312"/>
          <w:sz w:val="32"/>
          <w:szCs w:val="32"/>
          <w:highlight w:val="none"/>
          <w:lang w:val="en-US" w:eastAsia="zh-CN"/>
        </w:rPr>
        <w:t>评价</w:t>
      </w:r>
      <w:r>
        <w:rPr>
          <w:rFonts w:hint="eastAsia" w:ascii="仿宋_GB2312" w:hAnsi="仿宋_GB2312" w:eastAsia="仿宋_GB2312" w:cs="仿宋_GB2312"/>
          <w:sz w:val="32"/>
          <w:szCs w:val="32"/>
          <w:highlight w:val="none"/>
        </w:rPr>
        <w:t>：将在线仪的测量数据、故障率、准确率和报警信息进行全方位多角度的分类、汇总、统计、分析生成“在线仪体检报告”，给环保管理部门提供执法依据。</w:t>
      </w:r>
    </w:p>
    <w:p w14:paraId="5EDB34EF">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⑥一张图：</w:t>
      </w:r>
    </w:p>
    <w:p w14:paraId="7867791B">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利用GIS地图，对设备进行定位，在图上标识设备状态，便于环保管理部门进行网格化管理。</w:t>
      </w:r>
    </w:p>
    <w:p w14:paraId="1390DCE7">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⑦</w:t>
      </w:r>
      <w:r>
        <w:rPr>
          <w:rFonts w:hint="eastAsia" w:ascii="仿宋_GB2312" w:hAnsi="仿宋_GB2312" w:eastAsia="仿宋_GB2312" w:cs="仿宋_GB2312"/>
          <w:sz w:val="32"/>
          <w:szCs w:val="32"/>
          <w:highlight w:val="none"/>
        </w:rPr>
        <w:t>异常数据分析预警：</w:t>
      </w:r>
    </w:p>
    <w:p w14:paraId="7978785B">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通过对上传的在线仪设置参数、运行状态参数、测量数据进行算法分析，自动发现可疑数据，为环保执法部门提供线索。</w:t>
      </w:r>
    </w:p>
    <w:p w14:paraId="2258DD8C">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⑧执法证据留存：</w:t>
      </w:r>
    </w:p>
    <w:p w14:paraId="370FE806">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通过监测参数管控仪将现场的视频图像和人脸识别、门禁指纹信息采集到管控平台，</w:t>
      </w:r>
    </w:p>
    <w:p w14:paraId="3D9D9410">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在平台实现视频图像与监测数据实时叠加，当发现可疑违法行为时提供完整的图像和数据汇总证据链。</w:t>
      </w:r>
    </w:p>
    <w:p w14:paraId="7D03A330">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⑨</w:t>
      </w:r>
      <w:r>
        <w:rPr>
          <w:rFonts w:hint="eastAsia" w:ascii="仿宋_GB2312" w:hAnsi="仿宋_GB2312" w:eastAsia="仿宋_GB2312" w:cs="仿宋_GB2312"/>
          <w:sz w:val="32"/>
          <w:szCs w:val="32"/>
          <w:highlight w:val="none"/>
        </w:rPr>
        <w:t>远程反控：</w:t>
      </w:r>
    </w:p>
    <w:p w14:paraId="77B97ADA">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通过平台软件和现场参数管控仪相结合，实现在线仪内部参数获取、平台指令参数下发、在线仪远程操作（校时、采样，即时测量），实现在线仪“实时管控于平台”。</w:t>
      </w:r>
    </w:p>
    <w:p w14:paraId="01AC388D">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⑩</w:t>
      </w:r>
      <w:r>
        <w:rPr>
          <w:rFonts w:hint="eastAsia" w:ascii="仿宋_GB2312" w:hAnsi="仿宋_GB2312" w:eastAsia="仿宋_GB2312" w:cs="仿宋_GB2312"/>
          <w:sz w:val="32"/>
          <w:szCs w:val="32"/>
          <w:highlight w:val="none"/>
        </w:rPr>
        <w:t>数据统计：</w:t>
      </w:r>
    </w:p>
    <w:p w14:paraId="589C68AC">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平台自动统计在线仪运行状态（在线，故障，超标等）及测量（实时数据，分钟数据，小时数据）数据。</w:t>
      </w:r>
    </w:p>
    <w:p w14:paraId="6947510A">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技术参数要求</w:t>
      </w:r>
    </w:p>
    <w:p w14:paraId="1422DBE9">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①</w:t>
      </w:r>
      <w:r>
        <w:rPr>
          <w:rFonts w:hint="eastAsia" w:ascii="仿宋_GB2312" w:hAnsi="仿宋_GB2312" w:eastAsia="仿宋_GB2312" w:cs="仿宋_GB2312"/>
          <w:sz w:val="32"/>
          <w:szCs w:val="32"/>
          <w:highlight w:val="none"/>
        </w:rPr>
        <w:t>现场端（监测参数管控仪）管控仪</w:t>
      </w:r>
    </w:p>
    <w:p w14:paraId="5F1CC107">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用于采集、查看和分析在线监测仪信息、门禁信息、视频数据，并传输至监管平台。功能及参数可采集在线仪器监测数据、关键参数、运行状态；可采集门禁信息，支持远程授权解锁门禁；</w:t>
      </w:r>
    </w:p>
    <w:p w14:paraId="74FCC50C">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●支持远程反控</w:t>
      </w:r>
    </w:p>
    <w:p w14:paraId="506331CA">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●可存储不小于一年的数据；</w:t>
      </w:r>
    </w:p>
    <w:p w14:paraId="56A3F165">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●支持数据查询、导出等；</w:t>
      </w:r>
    </w:p>
    <w:p w14:paraId="361D3C38">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●支持国标协议直连，可扩展定制协议；</w:t>
      </w:r>
    </w:p>
    <w:p w14:paraId="61E8B2D3">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●数据采集误差≤1‰</w:t>
      </w:r>
    </w:p>
    <w:p w14:paraId="3CF7DF49">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●系统时钟误差：≤±0.05%</w:t>
      </w:r>
    </w:p>
    <w:p w14:paraId="73DFBBBD">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②智能门禁</w:t>
      </w:r>
    </w:p>
    <w:p w14:paraId="3EEC417A">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智能门禁系统安装于监测站房进门口，用于相关人员进门的人脸识别、IC卡识别、指纹识别、远程授权进入等，并记录上传所有识别信息（被授权识别、未授权识别）。</w:t>
      </w:r>
    </w:p>
    <w:p w14:paraId="043EB85A">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功能</w:t>
      </w:r>
    </w:p>
    <w:p w14:paraId="68A86FFA">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●支持多重认证功能，人脸识别、IC卡识别、指纹识别、远程授权进入；</w:t>
      </w:r>
    </w:p>
    <w:p w14:paraId="16AAC862">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●可储存并上传开门记录，包括开门时间、授权人员等；</w:t>
      </w:r>
    </w:p>
    <w:p w14:paraId="389A717F">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●支持门开关状态的记录和变化上传；</w:t>
      </w:r>
    </w:p>
    <w:p w14:paraId="6DD70313">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●具有防拆报警、设备故障输出功能；</w:t>
      </w:r>
    </w:p>
    <w:p w14:paraId="71524C0D">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●支持离线、单机运行；</w:t>
      </w:r>
    </w:p>
    <w:p w14:paraId="629EE989">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●支持RS485和TCP/IP通讯协议</w:t>
      </w:r>
    </w:p>
    <w:p w14:paraId="1D2D0ECB">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●门禁具有彩屏和声音提示功能；</w:t>
      </w:r>
    </w:p>
    <w:p w14:paraId="681B2A13">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●支持数采仪远程管理门禁；</w:t>
      </w:r>
    </w:p>
    <w:p w14:paraId="522CEB24">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●支持平台远程授权开门；</w:t>
      </w:r>
    </w:p>
    <w:p w14:paraId="5512A9C4">
      <w:pPr>
        <w:pStyle w:val="30"/>
        <w:keepNext w:val="0"/>
        <w:keepLines w:val="0"/>
        <w:pageBreakBefore w:val="0"/>
        <w:widowControl/>
        <w:kinsoku/>
        <w:wordWrap/>
        <w:overflowPunct/>
        <w:topLinePunct w:val="0"/>
        <w:autoSpaceDE/>
        <w:autoSpaceDN/>
        <w:bidi w:val="0"/>
        <w:adjustRightInd w:val="0"/>
        <w:snapToGrid w:val="0"/>
        <w:spacing w:line="560" w:lineRule="exact"/>
        <w:ind w:left="0" w:leftChars="0" w:firstLine="640" w:firstLineChars="20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智能门禁设备技术</w:t>
      </w:r>
      <w:r>
        <w:rPr>
          <w:rFonts w:hint="eastAsia" w:ascii="仿宋_GB2312" w:hAnsi="仿宋_GB2312" w:eastAsia="仿宋_GB2312" w:cs="仿宋_GB2312"/>
          <w:sz w:val="32"/>
          <w:szCs w:val="32"/>
          <w:highlight w:val="none"/>
        </w:rPr>
        <w:t>参数</w:t>
      </w:r>
      <w:r>
        <w:rPr>
          <w:rFonts w:hint="eastAsia" w:ascii="仿宋_GB2312" w:hAnsi="仿宋_GB2312" w:eastAsia="仿宋_GB2312" w:cs="仿宋_GB2312"/>
          <w:sz w:val="32"/>
          <w:szCs w:val="32"/>
          <w:highlight w:val="none"/>
          <w:lang w:val="en-US" w:eastAsia="zh-CN"/>
        </w:rPr>
        <w:t>要求表</w:t>
      </w:r>
    </w:p>
    <w:tbl>
      <w:tblPr>
        <w:tblStyle w:val="24"/>
        <w:tblpPr w:leftFromText="180" w:rightFromText="180" w:vertAnchor="text" w:horzAnchor="page" w:tblpX="1875" w:tblpY="615"/>
        <w:tblOverlap w:val="never"/>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66"/>
        <w:gridCol w:w="6968"/>
      </w:tblGrid>
      <w:tr w14:paraId="5FD44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5B9DAAD6">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参数名</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5AF0BC6B">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参数值</w:t>
            </w:r>
          </w:p>
        </w:tc>
      </w:tr>
      <w:tr w14:paraId="408DC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40DB3AD9">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主处理器</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1C0326CE">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高性能嵌入式处理器</w:t>
            </w:r>
          </w:p>
        </w:tc>
      </w:tr>
      <w:tr w14:paraId="13F15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75A52D7E">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ROM</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4FD48765">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6GB</w:t>
            </w:r>
          </w:p>
        </w:tc>
      </w:tr>
      <w:tr w14:paraId="45517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52F14987">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RAM</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0838DC6B">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1GB</w:t>
            </w:r>
          </w:p>
        </w:tc>
      </w:tr>
      <w:tr w14:paraId="3C0A4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56DC1CD9">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网络协议</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0C6ADD88">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IPv4，RTSP，RTP，TCP，UDP，P2P</w:t>
            </w:r>
          </w:p>
        </w:tc>
      </w:tr>
      <w:tr w14:paraId="353E0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505DF41C">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OSDP协议</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1263C0B9">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支持</w:t>
            </w:r>
          </w:p>
        </w:tc>
      </w:tr>
      <w:tr w14:paraId="6B709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6E140740">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键盘类型</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71597050">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全触摸键盘(0~9、*、#键)</w:t>
            </w:r>
          </w:p>
        </w:tc>
      </w:tr>
      <w:tr w14:paraId="269CB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09B10364">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信息存储</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12027EA5">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比对结果的本地保存</w:t>
            </w:r>
          </w:p>
        </w:tc>
      </w:tr>
      <w:tr w14:paraId="6E61C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0299939E">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信息上传</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768F59A2">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比对结果通过网络上传</w:t>
            </w:r>
          </w:p>
        </w:tc>
      </w:tr>
      <w:tr w14:paraId="055DB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275072D7">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外观</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0FA9E9DF">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一体机</w:t>
            </w:r>
          </w:p>
        </w:tc>
      </w:tr>
      <w:tr w14:paraId="17B0C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232EE49E">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显示屏</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5A90BCB5">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7英寸IPS</w:t>
            </w:r>
          </w:p>
        </w:tc>
      </w:tr>
      <w:tr w14:paraId="3DA36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0D17FE93">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屏幕类型</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44E22DA7">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电容触摸屏</w:t>
            </w:r>
          </w:p>
        </w:tc>
      </w:tr>
      <w:tr w14:paraId="63AEA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47EB8716">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屏幕分辨率</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4FF00A4C">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1024×600</w:t>
            </w:r>
          </w:p>
        </w:tc>
      </w:tr>
      <w:tr w14:paraId="0EB03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4F8C6609">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摄像头</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3BAFA8BC">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200万CMOS高清摄像头</w:t>
            </w:r>
          </w:p>
        </w:tc>
      </w:tr>
      <w:tr w14:paraId="77C7B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048D8EB1">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宽动态</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6A41448F">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120dB</w:t>
            </w:r>
          </w:p>
        </w:tc>
      </w:tr>
      <w:tr w14:paraId="7B9ED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5FC7BEF0">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光照补偿</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022AE0E0">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支持白光补光，支持红外补光</w:t>
            </w:r>
          </w:p>
        </w:tc>
      </w:tr>
      <w:tr w14:paraId="76BA1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065D30BC">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语音提示</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6F9A9FCF">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支持</w:t>
            </w:r>
          </w:p>
        </w:tc>
      </w:tr>
      <w:tr w14:paraId="64B5E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4B6C1821">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外壳材料</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529B0C50">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PC+ABS</w:t>
            </w:r>
          </w:p>
        </w:tc>
      </w:tr>
      <w:tr w14:paraId="1D0B0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506E6994">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开门模式</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4F932BEF">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1.支持指纹/刷卡/远程/密码/人脸识别开门模式2.支持组合开门模式设置</w:t>
            </w:r>
          </w:p>
        </w:tc>
      </w:tr>
      <w:tr w14:paraId="3ECC4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1A2D9F4E">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读卡类型</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28291109">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IC卡</w:t>
            </w:r>
          </w:p>
        </w:tc>
      </w:tr>
      <w:tr w14:paraId="083BB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43125283">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报警输入</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578AD0F0">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2路（开关量）</w:t>
            </w:r>
          </w:p>
        </w:tc>
      </w:tr>
      <w:tr w14:paraId="6B15F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54F895D3">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报警输出</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0E42AC7F">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2路（继电器）</w:t>
            </w:r>
          </w:p>
        </w:tc>
      </w:tr>
      <w:tr w14:paraId="3C620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6B367D74">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报警联动</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24C714F4">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支持</w:t>
            </w:r>
          </w:p>
        </w:tc>
      </w:tr>
      <w:tr w14:paraId="2A861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0A13E528">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开门按钮</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58351C8B">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1路</w:t>
            </w:r>
          </w:p>
        </w:tc>
      </w:tr>
      <w:tr w14:paraId="67678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5C13349E">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门状态检测</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2C7EEB1E">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1路</w:t>
            </w:r>
          </w:p>
        </w:tc>
      </w:tr>
      <w:tr w14:paraId="0446D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3B6BADE5">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门锁控制</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0E135335">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1路</w:t>
            </w:r>
          </w:p>
        </w:tc>
      </w:tr>
      <w:tr w14:paraId="025DB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6" w:type="dxa"/>
            <w:tcBorders>
              <w:top w:val="single" w:color="000000" w:sz="4" w:space="0"/>
              <w:left w:val="single" w:color="000000" w:sz="4" w:space="0"/>
              <w:bottom w:val="single" w:color="000000" w:sz="4" w:space="0"/>
              <w:right w:val="single" w:color="000000" w:sz="4" w:space="0"/>
            </w:tcBorders>
            <w:noWrap w:val="0"/>
            <w:vAlign w:val="top"/>
          </w:tcPr>
          <w:p w14:paraId="52874778">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防拆报警</w:t>
            </w:r>
          </w:p>
        </w:tc>
        <w:tc>
          <w:tcPr>
            <w:tcW w:w="6968" w:type="dxa"/>
            <w:tcBorders>
              <w:top w:val="single" w:color="000000" w:sz="4" w:space="0"/>
              <w:left w:val="single" w:color="000000" w:sz="4" w:space="0"/>
              <w:bottom w:val="single" w:color="000000" w:sz="4" w:space="0"/>
              <w:right w:val="single" w:color="000000" w:sz="4" w:space="0"/>
            </w:tcBorders>
            <w:noWrap w:val="0"/>
            <w:vAlign w:val="top"/>
          </w:tcPr>
          <w:p w14:paraId="26DDD0B5">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32"/>
                <w:szCs w:val="32"/>
                <w:highlight w:val="none"/>
                <w:u w:val="none"/>
              </w:rPr>
            </w:pPr>
            <w:r>
              <w:rPr>
                <w:rFonts w:hint="eastAsia" w:ascii="仿宋_GB2312" w:hAnsi="仿宋_GB2312" w:eastAsia="仿宋_GB2312" w:cs="仿宋_GB2312"/>
                <w:i w:val="0"/>
                <w:iCs w:val="0"/>
                <w:color w:val="000000"/>
                <w:kern w:val="0"/>
                <w:sz w:val="32"/>
                <w:szCs w:val="32"/>
                <w:highlight w:val="none"/>
                <w:u w:val="none"/>
                <w:lang w:val="en-US" w:eastAsia="zh-CN" w:bidi="ar"/>
              </w:rPr>
              <w:t>支持</w:t>
            </w:r>
          </w:p>
        </w:tc>
      </w:tr>
    </w:tbl>
    <w:p w14:paraId="7B5D7C2D">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③</w:t>
      </w:r>
      <w:r>
        <w:rPr>
          <w:rFonts w:hint="eastAsia" w:ascii="仿宋_GB2312" w:hAnsi="仿宋_GB2312" w:eastAsia="仿宋_GB2312" w:cs="仿宋_GB2312"/>
          <w:sz w:val="32"/>
          <w:szCs w:val="32"/>
          <w:highlight w:val="none"/>
          <w:lang w:val="en-US" w:eastAsia="zh-CN"/>
        </w:rPr>
        <w:t>视频系统</w:t>
      </w:r>
    </w:p>
    <w:p w14:paraId="70E0F8B8">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视频监控系统用于24小时监控采样点的人员活动、站房内人员活动、门禁环境状态等，具有主动上传、报警等功能，能24小时记录视频区域内人员活动信息，视频保存至少6个月。</w:t>
      </w:r>
    </w:p>
    <w:p w14:paraId="4E924E55">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④废水采样监控</w:t>
      </w:r>
    </w:p>
    <w:p w14:paraId="59D72020">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安装要求：</w:t>
      </w:r>
    </w:p>
    <w:p w14:paraId="7AC27F2A">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摄像头视野应覆盖整个采样口，须拍摄到采样口人员活动情况；摄像头应安装有立杆或支架，高度不小于3米。</w:t>
      </w:r>
    </w:p>
    <w:p w14:paraId="6AAA8BA4">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技术要求：</w:t>
      </w:r>
    </w:p>
    <w:p w14:paraId="4EBB825B">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●采用高清网络枪机；</w:t>
      </w:r>
    </w:p>
    <w:p w14:paraId="283C8324">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●400万像素；</w:t>
      </w:r>
    </w:p>
    <w:p w14:paraId="35EA253A">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●成像器件：1/3英寸CMOS</w:t>
      </w:r>
    </w:p>
    <w:p w14:paraId="436ABF73">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●支持协议字符叠加功能；</w:t>
      </w:r>
    </w:p>
    <w:p w14:paraId="15D5E069">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●具有诊断报警事件主动上报功能，如区域入侵侦测主动上报；</w:t>
      </w:r>
    </w:p>
    <w:p w14:paraId="21F0F1F5">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●具有手动控制变焦、聚焦功能；</w:t>
      </w:r>
    </w:p>
    <w:p w14:paraId="7D752945">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●支持H.264、H.265、Smart264、Smart265等视频码流编解码格式；</w:t>
      </w:r>
    </w:p>
    <w:p w14:paraId="70ED14E5">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●具有IP67防护等级，适合室外使用；</w:t>
      </w:r>
    </w:p>
    <w:p w14:paraId="66BD4406">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●具有自动补光功能，满足夜间拍摄要求；</w:t>
      </w:r>
    </w:p>
    <w:p w14:paraId="72F052F7">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●具有红外照射，照射距离60米。</w:t>
      </w:r>
    </w:p>
    <w:p w14:paraId="1E55F8BB">
      <w:pPr>
        <w:pStyle w:val="30"/>
        <w:keepNext w:val="0"/>
        <w:keepLines w:val="0"/>
        <w:pageBreakBefore w:val="0"/>
        <w:kinsoku/>
        <w:wordWrap/>
        <w:overflowPunct/>
        <w:topLinePunct w:val="0"/>
        <w:autoSpaceDE/>
        <w:autoSpaceDN/>
        <w:bidi w:val="0"/>
        <w:spacing w:line="560" w:lineRule="exact"/>
        <w:ind w:left="0" w:leftChars="0" w:firstLine="640" w:firstLineChars="200"/>
        <w:jc w:val="center"/>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废水采样监控设备技术参数表</w:t>
      </w:r>
    </w:p>
    <w:tbl>
      <w:tblPr>
        <w:tblStyle w:val="24"/>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42"/>
        <w:gridCol w:w="6395"/>
      </w:tblGrid>
      <w:tr w14:paraId="748246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42" w:type="dxa"/>
            <w:tcBorders>
              <w:top w:val="single" w:color="000000" w:sz="4" w:space="0"/>
              <w:left w:val="single" w:color="000000" w:sz="4" w:space="0"/>
              <w:bottom w:val="single" w:color="000000" w:sz="4" w:space="0"/>
              <w:right w:val="single" w:color="000000" w:sz="4" w:space="0"/>
            </w:tcBorders>
            <w:noWrap w:val="0"/>
            <w:vAlign w:val="top"/>
          </w:tcPr>
          <w:p w14:paraId="51563934">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外观</w:t>
            </w:r>
          </w:p>
        </w:tc>
        <w:tc>
          <w:tcPr>
            <w:tcW w:w="6395" w:type="dxa"/>
            <w:tcBorders>
              <w:top w:val="single" w:color="000000" w:sz="4" w:space="0"/>
              <w:left w:val="single" w:color="000000" w:sz="4" w:space="0"/>
              <w:bottom w:val="single" w:color="000000" w:sz="4" w:space="0"/>
              <w:right w:val="single" w:color="000000" w:sz="4" w:space="0"/>
            </w:tcBorders>
            <w:noWrap w:val="0"/>
            <w:vAlign w:val="top"/>
          </w:tcPr>
          <w:p w14:paraId="51E23AE6">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红外半球</w:t>
            </w:r>
          </w:p>
        </w:tc>
      </w:tr>
      <w:tr w14:paraId="52703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42" w:type="dxa"/>
            <w:tcBorders>
              <w:top w:val="single" w:color="000000" w:sz="4" w:space="0"/>
              <w:left w:val="single" w:color="000000" w:sz="4" w:space="0"/>
              <w:bottom w:val="single" w:color="000000" w:sz="4" w:space="0"/>
              <w:right w:val="single" w:color="000000" w:sz="4" w:space="0"/>
            </w:tcBorders>
            <w:noWrap w:val="0"/>
            <w:vAlign w:val="top"/>
          </w:tcPr>
          <w:p w14:paraId="23D6B593">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传感器类型</w:t>
            </w:r>
          </w:p>
        </w:tc>
        <w:tc>
          <w:tcPr>
            <w:tcW w:w="6395" w:type="dxa"/>
            <w:tcBorders>
              <w:top w:val="single" w:color="000000" w:sz="4" w:space="0"/>
              <w:left w:val="single" w:color="000000" w:sz="4" w:space="0"/>
              <w:bottom w:val="single" w:color="000000" w:sz="4" w:space="0"/>
              <w:right w:val="single" w:color="000000" w:sz="4" w:space="0"/>
            </w:tcBorders>
            <w:noWrap w:val="0"/>
            <w:vAlign w:val="top"/>
          </w:tcPr>
          <w:p w14:paraId="1E7E124B">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1/2.7英寸CMOS</w:t>
            </w:r>
          </w:p>
        </w:tc>
      </w:tr>
      <w:tr w14:paraId="43D72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42" w:type="dxa"/>
            <w:tcBorders>
              <w:top w:val="single" w:color="000000" w:sz="4" w:space="0"/>
              <w:left w:val="single" w:color="000000" w:sz="4" w:space="0"/>
              <w:bottom w:val="single" w:color="000000" w:sz="4" w:space="0"/>
              <w:right w:val="single" w:color="000000" w:sz="4" w:space="0"/>
            </w:tcBorders>
            <w:noWrap w:val="0"/>
            <w:vAlign w:val="top"/>
          </w:tcPr>
          <w:p w14:paraId="3A5EA54F">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最大分辨率</w:t>
            </w:r>
          </w:p>
        </w:tc>
        <w:tc>
          <w:tcPr>
            <w:tcW w:w="6395" w:type="dxa"/>
            <w:tcBorders>
              <w:top w:val="single" w:color="000000" w:sz="4" w:space="0"/>
              <w:left w:val="single" w:color="000000" w:sz="4" w:space="0"/>
              <w:bottom w:val="single" w:color="000000" w:sz="4" w:space="0"/>
              <w:right w:val="single" w:color="000000" w:sz="4" w:space="0"/>
            </w:tcBorders>
            <w:noWrap w:val="0"/>
            <w:vAlign w:val="top"/>
          </w:tcPr>
          <w:p w14:paraId="74830020">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400万</w:t>
            </w:r>
          </w:p>
        </w:tc>
      </w:tr>
      <w:tr w14:paraId="7819E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42" w:type="dxa"/>
            <w:tcBorders>
              <w:top w:val="single" w:color="000000" w:sz="4" w:space="0"/>
              <w:left w:val="single" w:color="000000" w:sz="4" w:space="0"/>
              <w:bottom w:val="single" w:color="000000" w:sz="4" w:space="0"/>
              <w:right w:val="single" w:color="000000" w:sz="4" w:space="0"/>
            </w:tcBorders>
            <w:noWrap w:val="0"/>
            <w:vAlign w:val="top"/>
          </w:tcPr>
          <w:p w14:paraId="42E3FF61">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最大补光距离</w:t>
            </w:r>
          </w:p>
        </w:tc>
        <w:tc>
          <w:tcPr>
            <w:tcW w:w="6395" w:type="dxa"/>
            <w:tcBorders>
              <w:top w:val="single" w:color="000000" w:sz="4" w:space="0"/>
              <w:left w:val="single" w:color="000000" w:sz="4" w:space="0"/>
              <w:bottom w:val="single" w:color="000000" w:sz="4" w:space="0"/>
              <w:right w:val="single" w:color="000000" w:sz="4" w:space="0"/>
            </w:tcBorders>
            <w:noWrap w:val="0"/>
            <w:vAlign w:val="top"/>
          </w:tcPr>
          <w:p w14:paraId="6BB4B24D">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30米</w:t>
            </w:r>
          </w:p>
        </w:tc>
      </w:tr>
      <w:tr w14:paraId="12B07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042" w:type="dxa"/>
            <w:tcBorders>
              <w:top w:val="single" w:color="000000" w:sz="4" w:space="0"/>
              <w:left w:val="single" w:color="000000" w:sz="4" w:space="0"/>
              <w:bottom w:val="single" w:color="000000" w:sz="4" w:space="0"/>
              <w:right w:val="single" w:color="000000" w:sz="4" w:space="0"/>
            </w:tcBorders>
            <w:noWrap w:val="0"/>
            <w:vAlign w:val="top"/>
          </w:tcPr>
          <w:p w14:paraId="2B5DD431">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最低照度</w:t>
            </w:r>
          </w:p>
        </w:tc>
        <w:tc>
          <w:tcPr>
            <w:tcW w:w="6395" w:type="dxa"/>
            <w:tcBorders>
              <w:top w:val="single" w:color="000000" w:sz="4" w:space="0"/>
              <w:left w:val="single" w:color="000000" w:sz="4" w:space="0"/>
              <w:bottom w:val="single" w:color="000000" w:sz="4" w:space="0"/>
              <w:right w:val="single" w:color="000000" w:sz="4" w:space="0"/>
            </w:tcBorders>
            <w:noWrap w:val="0"/>
            <w:vAlign w:val="top"/>
          </w:tcPr>
          <w:p w14:paraId="04F1C694">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0.002Lux(彩色模式);0.0002Lux(黑白模式);0Lux(红外灯开启)</w:t>
            </w:r>
          </w:p>
        </w:tc>
      </w:tr>
      <w:tr w14:paraId="7F081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42" w:type="dxa"/>
            <w:tcBorders>
              <w:top w:val="single" w:color="000000" w:sz="4" w:space="0"/>
              <w:left w:val="single" w:color="000000" w:sz="4" w:space="0"/>
              <w:bottom w:val="single" w:color="000000" w:sz="4" w:space="0"/>
              <w:right w:val="single" w:color="000000" w:sz="4" w:space="0"/>
            </w:tcBorders>
            <w:noWrap w:val="0"/>
            <w:vAlign w:val="top"/>
          </w:tcPr>
          <w:p w14:paraId="08482EB2">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宽动态</w:t>
            </w:r>
          </w:p>
        </w:tc>
        <w:tc>
          <w:tcPr>
            <w:tcW w:w="6395" w:type="dxa"/>
            <w:tcBorders>
              <w:top w:val="single" w:color="000000" w:sz="4" w:space="0"/>
              <w:left w:val="single" w:color="000000" w:sz="4" w:space="0"/>
              <w:bottom w:val="single" w:color="000000" w:sz="4" w:space="0"/>
              <w:right w:val="single" w:color="000000" w:sz="4" w:space="0"/>
            </w:tcBorders>
            <w:noWrap w:val="0"/>
            <w:vAlign w:val="top"/>
          </w:tcPr>
          <w:p w14:paraId="59BB007D">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120dB</w:t>
            </w:r>
          </w:p>
        </w:tc>
      </w:tr>
      <w:tr w14:paraId="54032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42" w:type="dxa"/>
            <w:tcBorders>
              <w:top w:val="single" w:color="000000" w:sz="4" w:space="0"/>
              <w:left w:val="single" w:color="000000" w:sz="4" w:space="0"/>
              <w:bottom w:val="single" w:color="000000" w:sz="4" w:space="0"/>
              <w:right w:val="single" w:color="000000" w:sz="4" w:space="0"/>
            </w:tcBorders>
            <w:noWrap w:val="0"/>
            <w:vAlign w:val="top"/>
          </w:tcPr>
          <w:p w14:paraId="75BD6F51">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H.265</w:t>
            </w:r>
          </w:p>
        </w:tc>
        <w:tc>
          <w:tcPr>
            <w:tcW w:w="6395" w:type="dxa"/>
            <w:tcBorders>
              <w:top w:val="single" w:color="000000" w:sz="4" w:space="0"/>
              <w:left w:val="single" w:color="000000" w:sz="4" w:space="0"/>
              <w:bottom w:val="single" w:color="000000" w:sz="4" w:space="0"/>
              <w:right w:val="single" w:color="000000" w:sz="4" w:space="0"/>
            </w:tcBorders>
            <w:noWrap w:val="0"/>
            <w:vAlign w:val="top"/>
          </w:tcPr>
          <w:p w14:paraId="5087D1B2">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支持</w:t>
            </w:r>
          </w:p>
        </w:tc>
      </w:tr>
      <w:tr w14:paraId="76DC2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042" w:type="dxa"/>
            <w:tcBorders>
              <w:top w:val="single" w:color="000000" w:sz="4" w:space="0"/>
              <w:left w:val="single" w:color="000000" w:sz="4" w:space="0"/>
              <w:bottom w:val="single" w:color="000000" w:sz="4" w:space="0"/>
              <w:right w:val="single" w:color="000000" w:sz="4" w:space="0"/>
            </w:tcBorders>
            <w:noWrap w:val="0"/>
            <w:vAlign w:val="top"/>
          </w:tcPr>
          <w:p w14:paraId="4801B166">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默认分辨率下默认码流</w:t>
            </w:r>
          </w:p>
        </w:tc>
        <w:tc>
          <w:tcPr>
            <w:tcW w:w="6395" w:type="dxa"/>
            <w:tcBorders>
              <w:top w:val="single" w:color="000000" w:sz="4" w:space="0"/>
              <w:left w:val="single" w:color="000000" w:sz="4" w:space="0"/>
              <w:bottom w:val="single" w:color="000000" w:sz="4" w:space="0"/>
              <w:right w:val="single" w:color="000000" w:sz="4" w:space="0"/>
            </w:tcBorders>
            <w:noWrap w:val="0"/>
            <w:vAlign w:val="top"/>
          </w:tcPr>
          <w:p w14:paraId="4B803418">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4096kbps（2560×1440）</w:t>
            </w:r>
          </w:p>
        </w:tc>
      </w:tr>
      <w:tr w14:paraId="47C7E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42" w:type="dxa"/>
            <w:tcBorders>
              <w:top w:val="single" w:color="000000" w:sz="4" w:space="0"/>
              <w:left w:val="single" w:color="000000" w:sz="4" w:space="0"/>
              <w:bottom w:val="single" w:color="000000" w:sz="4" w:space="0"/>
              <w:right w:val="single" w:color="000000" w:sz="4" w:space="0"/>
            </w:tcBorders>
            <w:noWrap w:val="0"/>
            <w:vAlign w:val="top"/>
          </w:tcPr>
          <w:p w14:paraId="22D3AFBD">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报警</w:t>
            </w:r>
          </w:p>
        </w:tc>
        <w:tc>
          <w:tcPr>
            <w:tcW w:w="6395" w:type="dxa"/>
            <w:tcBorders>
              <w:top w:val="single" w:color="000000" w:sz="4" w:space="0"/>
              <w:left w:val="single" w:color="000000" w:sz="4" w:space="0"/>
              <w:bottom w:val="single" w:color="000000" w:sz="4" w:space="0"/>
              <w:right w:val="single" w:color="000000" w:sz="4" w:space="0"/>
            </w:tcBorders>
            <w:noWrap w:val="0"/>
            <w:vAlign w:val="top"/>
          </w:tcPr>
          <w:p w14:paraId="045B49BA">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支持</w:t>
            </w:r>
          </w:p>
        </w:tc>
      </w:tr>
      <w:tr w14:paraId="726B4F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42" w:type="dxa"/>
            <w:tcBorders>
              <w:top w:val="single" w:color="000000" w:sz="4" w:space="0"/>
              <w:left w:val="single" w:color="000000" w:sz="4" w:space="0"/>
              <w:bottom w:val="single" w:color="000000" w:sz="4" w:space="0"/>
              <w:right w:val="single" w:color="000000" w:sz="4" w:space="0"/>
            </w:tcBorders>
            <w:noWrap w:val="0"/>
            <w:vAlign w:val="top"/>
          </w:tcPr>
          <w:p w14:paraId="5B52CA23">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音频输入</w:t>
            </w:r>
          </w:p>
        </w:tc>
        <w:tc>
          <w:tcPr>
            <w:tcW w:w="6395" w:type="dxa"/>
            <w:tcBorders>
              <w:top w:val="single" w:color="000000" w:sz="4" w:space="0"/>
              <w:left w:val="single" w:color="000000" w:sz="4" w:space="0"/>
              <w:bottom w:val="single" w:color="000000" w:sz="4" w:space="0"/>
              <w:right w:val="single" w:color="000000" w:sz="4" w:space="0"/>
            </w:tcBorders>
            <w:noWrap w:val="0"/>
            <w:vAlign w:val="top"/>
          </w:tcPr>
          <w:p w14:paraId="2983D872">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1路LINEINRCA接口</w:t>
            </w:r>
          </w:p>
        </w:tc>
      </w:tr>
      <w:tr w14:paraId="40522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42" w:type="dxa"/>
            <w:tcBorders>
              <w:top w:val="single" w:color="000000" w:sz="4" w:space="0"/>
              <w:left w:val="single" w:color="000000" w:sz="4" w:space="0"/>
              <w:bottom w:val="single" w:color="000000" w:sz="4" w:space="0"/>
              <w:right w:val="single" w:color="000000" w:sz="4" w:space="0"/>
            </w:tcBorders>
            <w:noWrap w:val="0"/>
            <w:vAlign w:val="top"/>
          </w:tcPr>
          <w:p w14:paraId="03856A9A">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报警输入</w:t>
            </w:r>
          </w:p>
        </w:tc>
        <w:tc>
          <w:tcPr>
            <w:tcW w:w="6395" w:type="dxa"/>
            <w:tcBorders>
              <w:top w:val="single" w:color="000000" w:sz="4" w:space="0"/>
              <w:left w:val="single" w:color="000000" w:sz="4" w:space="0"/>
              <w:bottom w:val="single" w:color="000000" w:sz="4" w:space="0"/>
              <w:right w:val="single" w:color="000000" w:sz="4" w:space="0"/>
            </w:tcBorders>
            <w:noWrap w:val="0"/>
            <w:vAlign w:val="top"/>
          </w:tcPr>
          <w:p w14:paraId="593ED3E4">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3路，湿节点</w:t>
            </w:r>
          </w:p>
        </w:tc>
      </w:tr>
      <w:tr w14:paraId="53782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42" w:type="dxa"/>
            <w:tcBorders>
              <w:top w:val="single" w:color="000000" w:sz="4" w:space="0"/>
              <w:left w:val="single" w:color="000000" w:sz="4" w:space="0"/>
              <w:bottom w:val="single" w:color="000000" w:sz="4" w:space="0"/>
              <w:right w:val="single" w:color="000000" w:sz="4" w:space="0"/>
            </w:tcBorders>
            <w:noWrap w:val="0"/>
            <w:vAlign w:val="top"/>
          </w:tcPr>
          <w:p w14:paraId="2D68D605">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音频输出</w:t>
            </w:r>
          </w:p>
        </w:tc>
        <w:tc>
          <w:tcPr>
            <w:tcW w:w="6395" w:type="dxa"/>
            <w:tcBorders>
              <w:top w:val="single" w:color="000000" w:sz="4" w:space="0"/>
              <w:left w:val="single" w:color="000000" w:sz="4" w:space="0"/>
              <w:bottom w:val="single" w:color="000000" w:sz="4" w:space="0"/>
              <w:right w:val="single" w:color="000000" w:sz="4" w:space="0"/>
            </w:tcBorders>
            <w:noWrap w:val="0"/>
            <w:vAlign w:val="top"/>
          </w:tcPr>
          <w:p w14:paraId="50FDCB85">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1路LINEOUTRCA接口</w:t>
            </w:r>
          </w:p>
        </w:tc>
      </w:tr>
      <w:tr w14:paraId="15668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42" w:type="dxa"/>
            <w:tcBorders>
              <w:top w:val="single" w:color="000000" w:sz="4" w:space="0"/>
              <w:left w:val="single" w:color="000000" w:sz="4" w:space="0"/>
              <w:bottom w:val="single" w:color="000000" w:sz="4" w:space="0"/>
              <w:right w:val="single" w:color="000000" w:sz="4" w:space="0"/>
            </w:tcBorders>
            <w:noWrap w:val="0"/>
            <w:vAlign w:val="top"/>
          </w:tcPr>
          <w:p w14:paraId="0ED70A7F">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报警输出</w:t>
            </w:r>
          </w:p>
        </w:tc>
        <w:tc>
          <w:tcPr>
            <w:tcW w:w="6395" w:type="dxa"/>
            <w:tcBorders>
              <w:top w:val="single" w:color="000000" w:sz="4" w:space="0"/>
              <w:left w:val="single" w:color="000000" w:sz="4" w:space="0"/>
              <w:bottom w:val="single" w:color="000000" w:sz="4" w:space="0"/>
              <w:right w:val="single" w:color="000000" w:sz="4" w:space="0"/>
            </w:tcBorders>
            <w:noWrap w:val="0"/>
            <w:vAlign w:val="top"/>
          </w:tcPr>
          <w:p w14:paraId="026CD473">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2路，湿节点</w:t>
            </w:r>
          </w:p>
        </w:tc>
      </w:tr>
      <w:tr w14:paraId="7CC39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42" w:type="dxa"/>
            <w:tcBorders>
              <w:top w:val="single" w:color="000000" w:sz="4" w:space="0"/>
              <w:left w:val="single" w:color="000000" w:sz="4" w:space="0"/>
              <w:bottom w:val="single" w:color="000000" w:sz="4" w:space="0"/>
              <w:right w:val="single" w:color="000000" w:sz="4" w:space="0"/>
            </w:tcBorders>
            <w:noWrap w:val="0"/>
            <w:vAlign w:val="top"/>
          </w:tcPr>
          <w:p w14:paraId="5BD89400">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视频压缩标准</w:t>
            </w:r>
          </w:p>
        </w:tc>
        <w:tc>
          <w:tcPr>
            <w:tcW w:w="6395" w:type="dxa"/>
            <w:tcBorders>
              <w:top w:val="single" w:color="000000" w:sz="4" w:space="0"/>
              <w:left w:val="single" w:color="000000" w:sz="4" w:space="0"/>
              <w:bottom w:val="single" w:color="000000" w:sz="4" w:space="0"/>
              <w:right w:val="single" w:color="000000" w:sz="4" w:space="0"/>
            </w:tcBorders>
            <w:noWrap w:val="0"/>
            <w:vAlign w:val="top"/>
          </w:tcPr>
          <w:p w14:paraId="277873E6">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H.265;H.264;H.264B;H.264H;MJPEG</w:t>
            </w:r>
          </w:p>
        </w:tc>
      </w:tr>
      <w:tr w14:paraId="049A3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42" w:type="dxa"/>
            <w:tcBorders>
              <w:top w:val="single" w:color="000000" w:sz="4" w:space="0"/>
              <w:left w:val="single" w:color="000000" w:sz="4" w:space="0"/>
              <w:bottom w:val="single" w:color="000000" w:sz="4" w:space="0"/>
              <w:right w:val="single" w:color="000000" w:sz="4" w:space="0"/>
            </w:tcBorders>
            <w:noWrap w:val="0"/>
            <w:vAlign w:val="top"/>
          </w:tcPr>
          <w:p w14:paraId="41013FD3">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网络接口</w:t>
            </w:r>
          </w:p>
        </w:tc>
        <w:tc>
          <w:tcPr>
            <w:tcW w:w="6395" w:type="dxa"/>
            <w:tcBorders>
              <w:top w:val="single" w:color="000000" w:sz="4" w:space="0"/>
              <w:left w:val="single" w:color="000000" w:sz="4" w:space="0"/>
              <w:bottom w:val="single" w:color="000000" w:sz="4" w:space="0"/>
              <w:right w:val="single" w:color="000000" w:sz="4" w:space="0"/>
            </w:tcBorders>
            <w:noWrap w:val="0"/>
            <w:vAlign w:val="top"/>
          </w:tcPr>
          <w:p w14:paraId="6426F9EB">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10/100M以太网口</w:t>
            </w:r>
          </w:p>
        </w:tc>
      </w:tr>
      <w:tr w14:paraId="3423D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2042" w:type="dxa"/>
            <w:tcBorders>
              <w:top w:val="single" w:color="000000" w:sz="4" w:space="0"/>
              <w:left w:val="single" w:color="000000" w:sz="4" w:space="0"/>
              <w:bottom w:val="single" w:color="000000" w:sz="4" w:space="0"/>
              <w:right w:val="single" w:color="000000" w:sz="4" w:space="0"/>
            </w:tcBorders>
            <w:noWrap w:val="0"/>
            <w:vAlign w:val="top"/>
          </w:tcPr>
          <w:p w14:paraId="46F45029">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网络协议</w:t>
            </w:r>
          </w:p>
        </w:tc>
        <w:tc>
          <w:tcPr>
            <w:tcW w:w="6395" w:type="dxa"/>
            <w:tcBorders>
              <w:top w:val="single" w:color="000000" w:sz="4" w:space="0"/>
              <w:left w:val="single" w:color="000000" w:sz="4" w:space="0"/>
              <w:bottom w:val="single" w:color="000000" w:sz="4" w:space="0"/>
              <w:right w:val="single" w:color="000000" w:sz="4" w:space="0"/>
            </w:tcBorders>
            <w:noWrap w:val="0"/>
            <w:vAlign w:val="top"/>
          </w:tcPr>
          <w:p w14:paraId="65AF3E1E">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HTTP;TCP;ARP;RTSP;RTP;UDP;RTCP;SMTP;FTP;DHCP;DNS;DDNS;PPPOE;IPv4/v6;SNMP;QoS;UPnP;NTP</w:t>
            </w:r>
          </w:p>
        </w:tc>
      </w:tr>
    </w:tbl>
    <w:p w14:paraId="5F395E25">
      <w:pPr>
        <w:pStyle w:val="30"/>
        <w:keepNext w:val="0"/>
        <w:keepLines w:val="0"/>
        <w:pageBreakBefore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⑤室内进门监控</w:t>
      </w:r>
    </w:p>
    <w:p w14:paraId="5487B2A9">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功能要求：</w:t>
      </w:r>
    </w:p>
    <w:p w14:paraId="5F37BFA3">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●采用高清网络摄像机；</w:t>
      </w:r>
    </w:p>
    <w:p w14:paraId="3E06E4EE">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●400万像素；</w:t>
      </w:r>
    </w:p>
    <w:p w14:paraId="7522DB68">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●图像应具有60Hz:30fps(1920×1080)帧率；</w:t>
      </w:r>
    </w:p>
    <w:p w14:paraId="45F262DB">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●监控本身具有人脸库功能</w:t>
      </w:r>
    </w:p>
    <w:p w14:paraId="667A9A49">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●支持协议字符叠加功能；</w:t>
      </w:r>
    </w:p>
    <w:p w14:paraId="421D5735">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●具有诊断报警事件主动上报功能，如区域入侵侦测主动上报；具有手动控制变焦、聚焦功能；</w:t>
      </w:r>
    </w:p>
    <w:p w14:paraId="17958E96">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●支持H.264、H.265、Smart264、Smart265等视频码流编解码格式；</w:t>
      </w:r>
    </w:p>
    <w:p w14:paraId="037A2EFB">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●应具有自动补光功能，满足夜间拍摄要求；</w:t>
      </w:r>
    </w:p>
    <w:p w14:paraId="0E03A7B4">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●可实现未授权入侵报警、未授权报警；</w:t>
      </w:r>
    </w:p>
    <w:p w14:paraId="51832C3A">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●具有红外照射，照射距离不应小于20米。</w:t>
      </w:r>
    </w:p>
    <w:p w14:paraId="48ABDC1B">
      <w:pPr>
        <w:pStyle w:val="30"/>
        <w:keepNext w:val="0"/>
        <w:keepLines w:val="0"/>
        <w:pageBreakBefore w:val="0"/>
        <w:kinsoku/>
        <w:wordWrap/>
        <w:overflowPunct/>
        <w:topLinePunct w:val="0"/>
        <w:autoSpaceDE/>
        <w:autoSpaceDN/>
        <w:bidi w:val="0"/>
        <w:spacing w:line="560" w:lineRule="exact"/>
        <w:ind w:left="0" w:leftChars="0" w:firstLine="640" w:firstLineChars="200"/>
        <w:jc w:val="center"/>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室内进门监控设备技术参数表</w:t>
      </w:r>
    </w:p>
    <w:tbl>
      <w:tblPr>
        <w:tblStyle w:val="24"/>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65"/>
        <w:gridCol w:w="6255"/>
      </w:tblGrid>
      <w:tr w14:paraId="74C1C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65" w:type="dxa"/>
            <w:tcBorders>
              <w:top w:val="single" w:color="000000" w:sz="4" w:space="0"/>
              <w:left w:val="single" w:color="000000" w:sz="4" w:space="0"/>
              <w:bottom w:val="single" w:color="000000" w:sz="4" w:space="0"/>
              <w:right w:val="single" w:color="000000" w:sz="4" w:space="0"/>
            </w:tcBorders>
            <w:noWrap w:val="0"/>
            <w:vAlign w:val="top"/>
          </w:tcPr>
          <w:p w14:paraId="10AA1E50">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传感器类型</w:t>
            </w:r>
          </w:p>
        </w:tc>
        <w:tc>
          <w:tcPr>
            <w:tcW w:w="6255" w:type="dxa"/>
            <w:tcBorders>
              <w:top w:val="single" w:color="000000" w:sz="4" w:space="0"/>
              <w:left w:val="single" w:color="000000" w:sz="4" w:space="0"/>
              <w:bottom w:val="single" w:color="000000" w:sz="4" w:space="0"/>
              <w:right w:val="single" w:color="000000" w:sz="4" w:space="0"/>
            </w:tcBorders>
            <w:noWrap w:val="0"/>
            <w:vAlign w:val="top"/>
          </w:tcPr>
          <w:p w14:paraId="01284547">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1/1.8英寸CMOS</w:t>
            </w:r>
          </w:p>
        </w:tc>
      </w:tr>
      <w:tr w14:paraId="598CE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65" w:type="dxa"/>
            <w:tcBorders>
              <w:top w:val="single" w:color="000000" w:sz="4" w:space="0"/>
              <w:left w:val="single" w:color="000000" w:sz="4" w:space="0"/>
              <w:bottom w:val="single" w:color="000000" w:sz="4" w:space="0"/>
              <w:right w:val="single" w:color="000000" w:sz="4" w:space="0"/>
            </w:tcBorders>
            <w:noWrap w:val="0"/>
            <w:vAlign w:val="top"/>
          </w:tcPr>
          <w:p w14:paraId="733AF248">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像素</w:t>
            </w:r>
          </w:p>
        </w:tc>
        <w:tc>
          <w:tcPr>
            <w:tcW w:w="6255" w:type="dxa"/>
            <w:tcBorders>
              <w:top w:val="single" w:color="000000" w:sz="4" w:space="0"/>
              <w:left w:val="single" w:color="000000" w:sz="4" w:space="0"/>
              <w:bottom w:val="single" w:color="000000" w:sz="4" w:space="0"/>
              <w:right w:val="single" w:color="000000" w:sz="4" w:space="0"/>
            </w:tcBorders>
            <w:noWrap w:val="0"/>
            <w:vAlign w:val="top"/>
          </w:tcPr>
          <w:p w14:paraId="3FF8E426">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400万</w:t>
            </w:r>
          </w:p>
        </w:tc>
      </w:tr>
      <w:tr w14:paraId="5B8AF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65" w:type="dxa"/>
            <w:tcBorders>
              <w:top w:val="single" w:color="000000" w:sz="4" w:space="0"/>
              <w:left w:val="single" w:color="000000" w:sz="4" w:space="0"/>
              <w:bottom w:val="single" w:color="000000" w:sz="4" w:space="0"/>
              <w:right w:val="single" w:color="000000" w:sz="4" w:space="0"/>
            </w:tcBorders>
            <w:noWrap w:val="0"/>
            <w:vAlign w:val="top"/>
          </w:tcPr>
          <w:p w14:paraId="4B4F3736">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扫描方式</w:t>
            </w:r>
          </w:p>
        </w:tc>
        <w:tc>
          <w:tcPr>
            <w:tcW w:w="6255" w:type="dxa"/>
            <w:tcBorders>
              <w:top w:val="single" w:color="000000" w:sz="4" w:space="0"/>
              <w:left w:val="single" w:color="000000" w:sz="4" w:space="0"/>
              <w:bottom w:val="single" w:color="000000" w:sz="4" w:space="0"/>
              <w:right w:val="single" w:color="000000" w:sz="4" w:space="0"/>
            </w:tcBorders>
            <w:noWrap w:val="0"/>
            <w:vAlign w:val="top"/>
          </w:tcPr>
          <w:p w14:paraId="2D5D29AA">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逐行扫描</w:t>
            </w:r>
          </w:p>
        </w:tc>
      </w:tr>
      <w:tr w14:paraId="30AF73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965" w:type="dxa"/>
            <w:tcBorders>
              <w:top w:val="single" w:color="000000" w:sz="4" w:space="0"/>
              <w:left w:val="single" w:color="000000" w:sz="4" w:space="0"/>
              <w:bottom w:val="single" w:color="000000" w:sz="4" w:space="0"/>
              <w:right w:val="single" w:color="000000" w:sz="4" w:space="0"/>
            </w:tcBorders>
            <w:noWrap w:val="0"/>
            <w:vAlign w:val="top"/>
          </w:tcPr>
          <w:p w14:paraId="2457CE3A">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最低照度</w:t>
            </w:r>
          </w:p>
        </w:tc>
        <w:tc>
          <w:tcPr>
            <w:tcW w:w="6255" w:type="dxa"/>
            <w:tcBorders>
              <w:top w:val="single" w:color="000000" w:sz="4" w:space="0"/>
              <w:left w:val="single" w:color="000000" w:sz="4" w:space="0"/>
              <w:bottom w:val="single" w:color="000000" w:sz="4" w:space="0"/>
              <w:right w:val="single" w:color="000000" w:sz="4" w:space="0"/>
            </w:tcBorders>
            <w:noWrap w:val="0"/>
            <w:vAlign w:val="top"/>
          </w:tcPr>
          <w:p w14:paraId="5844F001">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0.001Lux(彩色模式);0.0001Lux(黑白模式);0Lux(补光灯开启)</w:t>
            </w:r>
          </w:p>
        </w:tc>
      </w:tr>
      <w:tr w14:paraId="4CA3B8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65" w:type="dxa"/>
            <w:tcBorders>
              <w:top w:val="single" w:color="000000" w:sz="4" w:space="0"/>
              <w:left w:val="single" w:color="000000" w:sz="4" w:space="0"/>
              <w:bottom w:val="single" w:color="000000" w:sz="4" w:space="0"/>
              <w:right w:val="single" w:color="000000" w:sz="4" w:space="0"/>
            </w:tcBorders>
            <w:noWrap w:val="0"/>
            <w:vAlign w:val="top"/>
          </w:tcPr>
          <w:p w14:paraId="0751F97A">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信噪比</w:t>
            </w:r>
          </w:p>
        </w:tc>
        <w:tc>
          <w:tcPr>
            <w:tcW w:w="6255" w:type="dxa"/>
            <w:tcBorders>
              <w:top w:val="single" w:color="000000" w:sz="4" w:space="0"/>
              <w:left w:val="single" w:color="000000" w:sz="4" w:space="0"/>
              <w:bottom w:val="single" w:color="000000" w:sz="4" w:space="0"/>
              <w:right w:val="single" w:color="000000" w:sz="4" w:space="0"/>
            </w:tcBorders>
            <w:noWrap w:val="0"/>
            <w:vAlign w:val="top"/>
          </w:tcPr>
          <w:p w14:paraId="7E9DB9E6">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&gt;56dB</w:t>
            </w:r>
          </w:p>
        </w:tc>
      </w:tr>
      <w:tr w14:paraId="78F0F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65" w:type="dxa"/>
            <w:tcBorders>
              <w:top w:val="single" w:color="000000" w:sz="4" w:space="0"/>
              <w:left w:val="single" w:color="000000" w:sz="4" w:space="0"/>
              <w:bottom w:val="single" w:color="000000" w:sz="4" w:space="0"/>
              <w:right w:val="single" w:color="000000" w:sz="4" w:space="0"/>
            </w:tcBorders>
            <w:noWrap w:val="0"/>
            <w:vAlign w:val="top"/>
          </w:tcPr>
          <w:p w14:paraId="271F01F9">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最大补光距离</w:t>
            </w:r>
          </w:p>
        </w:tc>
        <w:tc>
          <w:tcPr>
            <w:tcW w:w="6255" w:type="dxa"/>
            <w:tcBorders>
              <w:top w:val="single" w:color="000000" w:sz="4" w:space="0"/>
              <w:left w:val="single" w:color="000000" w:sz="4" w:space="0"/>
              <w:bottom w:val="single" w:color="000000" w:sz="4" w:space="0"/>
              <w:right w:val="single" w:color="000000" w:sz="4" w:space="0"/>
            </w:tcBorders>
            <w:noWrap w:val="0"/>
            <w:vAlign w:val="top"/>
          </w:tcPr>
          <w:p w14:paraId="7BA4EC82">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30m（人脸检测距离）</w:t>
            </w:r>
          </w:p>
        </w:tc>
      </w:tr>
      <w:tr w14:paraId="6171B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65" w:type="dxa"/>
            <w:tcBorders>
              <w:top w:val="single" w:color="000000" w:sz="4" w:space="0"/>
              <w:left w:val="single" w:color="000000" w:sz="4" w:space="0"/>
              <w:bottom w:val="single" w:color="000000" w:sz="4" w:space="0"/>
              <w:right w:val="single" w:color="000000" w:sz="4" w:space="0"/>
            </w:tcBorders>
            <w:noWrap w:val="0"/>
            <w:vAlign w:val="top"/>
          </w:tcPr>
          <w:p w14:paraId="571915A7">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补光灯数量</w:t>
            </w:r>
          </w:p>
        </w:tc>
        <w:tc>
          <w:tcPr>
            <w:tcW w:w="6255" w:type="dxa"/>
            <w:tcBorders>
              <w:top w:val="single" w:color="000000" w:sz="4" w:space="0"/>
              <w:left w:val="single" w:color="000000" w:sz="4" w:space="0"/>
              <w:bottom w:val="single" w:color="000000" w:sz="4" w:space="0"/>
              <w:right w:val="single" w:color="000000" w:sz="4" w:space="0"/>
            </w:tcBorders>
            <w:noWrap w:val="0"/>
            <w:vAlign w:val="top"/>
          </w:tcPr>
          <w:p w14:paraId="7F7383A8">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3颗（暖光灯）</w:t>
            </w:r>
          </w:p>
        </w:tc>
      </w:tr>
      <w:tr w14:paraId="5630A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65" w:type="dxa"/>
            <w:tcBorders>
              <w:top w:val="single" w:color="000000" w:sz="4" w:space="0"/>
              <w:left w:val="single" w:color="000000" w:sz="4" w:space="0"/>
              <w:bottom w:val="single" w:color="000000" w:sz="4" w:space="0"/>
              <w:right w:val="single" w:color="000000" w:sz="4" w:space="0"/>
            </w:tcBorders>
            <w:noWrap w:val="0"/>
            <w:vAlign w:val="top"/>
          </w:tcPr>
          <w:p w14:paraId="2D2B76A6">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人脸抓拍</w:t>
            </w:r>
          </w:p>
        </w:tc>
        <w:tc>
          <w:tcPr>
            <w:tcW w:w="6255" w:type="dxa"/>
            <w:tcBorders>
              <w:top w:val="single" w:color="000000" w:sz="4" w:space="0"/>
              <w:left w:val="single" w:color="000000" w:sz="4" w:space="0"/>
              <w:bottom w:val="single" w:color="000000" w:sz="4" w:space="0"/>
              <w:right w:val="single" w:color="000000" w:sz="4" w:space="0"/>
            </w:tcBorders>
            <w:noWrap w:val="0"/>
            <w:vAlign w:val="top"/>
          </w:tcPr>
          <w:p w14:paraId="0FF40DFB">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支持</w:t>
            </w:r>
          </w:p>
        </w:tc>
      </w:tr>
      <w:tr w14:paraId="52D91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0" w:hRule="atLeast"/>
        </w:trPr>
        <w:tc>
          <w:tcPr>
            <w:tcW w:w="1965" w:type="dxa"/>
            <w:tcBorders>
              <w:top w:val="single" w:color="000000" w:sz="4" w:space="0"/>
              <w:left w:val="single" w:color="000000" w:sz="4" w:space="0"/>
              <w:bottom w:val="single" w:color="000000" w:sz="4" w:space="0"/>
              <w:right w:val="single" w:color="000000" w:sz="4" w:space="0"/>
            </w:tcBorders>
            <w:noWrap w:val="0"/>
            <w:vAlign w:val="top"/>
          </w:tcPr>
          <w:p w14:paraId="41E26929">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人脸检测</w:t>
            </w:r>
          </w:p>
        </w:tc>
        <w:tc>
          <w:tcPr>
            <w:tcW w:w="6255" w:type="dxa"/>
            <w:tcBorders>
              <w:top w:val="single" w:color="000000" w:sz="4" w:space="0"/>
              <w:left w:val="single" w:color="000000" w:sz="4" w:space="0"/>
              <w:bottom w:val="single" w:color="000000" w:sz="4" w:space="0"/>
              <w:right w:val="single" w:color="000000" w:sz="4" w:space="0"/>
            </w:tcBorders>
            <w:noWrap w:val="0"/>
            <w:vAlign w:val="top"/>
          </w:tcPr>
          <w:p w14:paraId="39B40FCF">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支持人脸检测；支持跟踪；支持优选；支持抓拍；支持人脸增强支持人脸曝光；支持人脸属性提取，支持6种属性8种表情：性别年龄，眼镜，表情（愤怒、悲伤、厌恶、害怕、惊讶、平静、高兴困惑），口罩，**；支持人脸抠图区域可设：人脸，单寸照；支持实时抓拍、优选抓拍、质量优先三种抓拍策略；支持人脸角度过滤功能；支持优选时长可设</w:t>
            </w:r>
          </w:p>
        </w:tc>
      </w:tr>
      <w:tr w14:paraId="28386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1965" w:type="dxa"/>
            <w:tcBorders>
              <w:top w:val="single" w:color="000000" w:sz="4" w:space="0"/>
              <w:left w:val="single" w:color="000000" w:sz="4" w:space="0"/>
              <w:bottom w:val="single" w:color="000000" w:sz="4" w:space="0"/>
              <w:right w:val="single" w:color="000000" w:sz="4" w:space="0"/>
            </w:tcBorders>
            <w:noWrap w:val="0"/>
            <w:vAlign w:val="top"/>
          </w:tcPr>
          <w:p w14:paraId="14550D19">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人数统计</w:t>
            </w:r>
          </w:p>
        </w:tc>
        <w:tc>
          <w:tcPr>
            <w:tcW w:w="6255" w:type="dxa"/>
            <w:tcBorders>
              <w:top w:val="single" w:color="000000" w:sz="4" w:space="0"/>
              <w:left w:val="single" w:color="000000" w:sz="4" w:space="0"/>
              <w:bottom w:val="single" w:color="000000" w:sz="4" w:space="0"/>
              <w:right w:val="single" w:color="000000" w:sz="4" w:space="0"/>
            </w:tcBorders>
            <w:noWrap w:val="0"/>
            <w:vAlign w:val="top"/>
          </w:tcPr>
          <w:p w14:paraId="4C79A520">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支持对进入、离开人员进行数量统计，并可显示及输出日、月、年统计报表；支持区域内人员进行数量统计，并可显示及输出日、月统计报表</w:t>
            </w:r>
          </w:p>
        </w:tc>
      </w:tr>
      <w:tr w14:paraId="34887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65" w:type="dxa"/>
            <w:tcBorders>
              <w:top w:val="single" w:color="000000" w:sz="4" w:space="0"/>
              <w:left w:val="single" w:color="000000" w:sz="4" w:space="0"/>
              <w:bottom w:val="single" w:color="000000" w:sz="4" w:space="0"/>
              <w:right w:val="single" w:color="000000" w:sz="4" w:space="0"/>
            </w:tcBorders>
            <w:noWrap w:val="0"/>
            <w:vAlign w:val="top"/>
          </w:tcPr>
          <w:p w14:paraId="7C116142">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网络接口</w:t>
            </w:r>
          </w:p>
        </w:tc>
        <w:tc>
          <w:tcPr>
            <w:tcW w:w="6255" w:type="dxa"/>
            <w:tcBorders>
              <w:top w:val="single" w:color="000000" w:sz="4" w:space="0"/>
              <w:left w:val="single" w:color="000000" w:sz="4" w:space="0"/>
              <w:bottom w:val="single" w:color="000000" w:sz="4" w:space="0"/>
              <w:right w:val="single" w:color="000000" w:sz="4" w:space="0"/>
            </w:tcBorders>
            <w:noWrap w:val="0"/>
            <w:vAlign w:val="top"/>
          </w:tcPr>
          <w:p w14:paraId="23F7B41F">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1个（RJ-45网口：支持10M/100M/1000M网络数据）</w:t>
            </w:r>
          </w:p>
        </w:tc>
      </w:tr>
      <w:tr w14:paraId="3F49C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1965" w:type="dxa"/>
            <w:tcBorders>
              <w:top w:val="single" w:color="000000" w:sz="4" w:space="0"/>
              <w:left w:val="single" w:color="000000" w:sz="4" w:space="0"/>
              <w:bottom w:val="single" w:color="000000" w:sz="4" w:space="0"/>
              <w:right w:val="single" w:color="000000" w:sz="4" w:space="0"/>
            </w:tcBorders>
            <w:noWrap w:val="0"/>
            <w:vAlign w:val="top"/>
          </w:tcPr>
          <w:p w14:paraId="155FE244">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网络协议</w:t>
            </w:r>
          </w:p>
        </w:tc>
        <w:tc>
          <w:tcPr>
            <w:tcW w:w="6255" w:type="dxa"/>
            <w:tcBorders>
              <w:top w:val="single" w:color="000000" w:sz="4" w:space="0"/>
              <w:left w:val="single" w:color="000000" w:sz="4" w:space="0"/>
              <w:bottom w:val="single" w:color="000000" w:sz="4" w:space="0"/>
              <w:right w:val="single" w:color="000000" w:sz="4" w:space="0"/>
            </w:tcBorders>
            <w:noWrap w:val="0"/>
            <w:vAlign w:val="top"/>
          </w:tcPr>
          <w:p w14:paraId="11B1876D">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HTTP；Https；8021.x；TCP；ARP；RTSP；RTP；UDP；RTCP；SMTPFTP；DHCP；DNS；DDNS；PPPoE；IPv4/v6；SNMP；QoS；UPnP；NTPSFTP</w:t>
            </w:r>
          </w:p>
        </w:tc>
      </w:tr>
      <w:tr w14:paraId="32741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965" w:type="dxa"/>
            <w:tcBorders>
              <w:top w:val="single" w:color="000000" w:sz="4" w:space="0"/>
              <w:left w:val="single" w:color="000000" w:sz="4" w:space="0"/>
              <w:bottom w:val="single" w:color="000000" w:sz="4" w:space="0"/>
              <w:right w:val="single" w:color="000000" w:sz="4" w:space="0"/>
            </w:tcBorders>
            <w:noWrap w:val="0"/>
            <w:vAlign w:val="top"/>
          </w:tcPr>
          <w:p w14:paraId="12204364">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接入标准</w:t>
            </w:r>
          </w:p>
        </w:tc>
        <w:tc>
          <w:tcPr>
            <w:tcW w:w="6255" w:type="dxa"/>
            <w:tcBorders>
              <w:top w:val="single" w:color="000000" w:sz="4" w:space="0"/>
              <w:left w:val="single" w:color="000000" w:sz="4" w:space="0"/>
              <w:bottom w:val="single" w:color="000000" w:sz="4" w:space="0"/>
              <w:right w:val="single" w:color="000000" w:sz="4" w:space="0"/>
            </w:tcBorders>
            <w:noWrap w:val="0"/>
            <w:vAlign w:val="top"/>
          </w:tcPr>
          <w:p w14:paraId="33E99A3B">
            <w:pPr>
              <w:keepNext w:val="0"/>
              <w:keepLines w:val="0"/>
              <w:pageBreakBefore w:val="0"/>
              <w:widowControl/>
              <w:suppressLineNumbers w:val="0"/>
              <w:kinsoku/>
              <w:wordWrap/>
              <w:overflowPunct/>
              <w:topLinePunct w:val="0"/>
              <w:autoSpaceDE/>
              <w:autoSpaceDN/>
              <w:bidi w:val="0"/>
              <w:spacing w:line="560" w:lineRule="exact"/>
              <w:ind w:left="0" w:leftChars="0"/>
              <w:jc w:val="left"/>
              <w:textAlignment w:val="top"/>
              <w:rPr>
                <w:rFonts w:hint="eastAsia" w:ascii="仿宋_GB2312" w:hAnsi="仿宋_GB2312" w:eastAsia="仿宋_GB2312" w:cs="仿宋_GB2312"/>
                <w:i w:val="0"/>
                <w:iCs w:val="0"/>
                <w:color w:val="000000"/>
                <w:sz w:val="28"/>
                <w:szCs w:val="28"/>
                <w:highlight w:val="none"/>
                <w:u w:val="none"/>
              </w:rPr>
            </w:pPr>
            <w:r>
              <w:rPr>
                <w:rFonts w:hint="eastAsia" w:ascii="仿宋_GB2312" w:hAnsi="仿宋_GB2312" w:eastAsia="仿宋_GB2312" w:cs="仿宋_GB2312"/>
                <w:i w:val="0"/>
                <w:iCs w:val="0"/>
                <w:color w:val="000000"/>
                <w:kern w:val="0"/>
                <w:sz w:val="28"/>
                <w:szCs w:val="28"/>
                <w:highlight w:val="none"/>
                <w:u w:val="none"/>
                <w:lang w:val="en-US" w:eastAsia="zh-CN" w:bidi="ar"/>
              </w:rPr>
              <w:t>ONVIF（ProfileS/ProfileG）；GB/T28181；CGI；视图库；RTMP乐橙</w:t>
            </w:r>
          </w:p>
        </w:tc>
      </w:tr>
    </w:tbl>
    <w:p w14:paraId="60722306">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⑥站房监控</w:t>
      </w:r>
    </w:p>
    <w:p w14:paraId="79111500">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●采用高清网络摄像机；</w:t>
      </w:r>
    </w:p>
    <w:p w14:paraId="4364E62D">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●400万像素；</w:t>
      </w:r>
    </w:p>
    <w:p w14:paraId="7B865D30">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●图像应具有60Hz:30fps(1920×1080)帧率；</w:t>
      </w:r>
    </w:p>
    <w:p w14:paraId="31FD852D">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●支持协议字符叠加功能；</w:t>
      </w:r>
    </w:p>
    <w:p w14:paraId="0844BB19">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●具有诊断报警事件主动上报功能，如区域入侵侦测主动上报；</w:t>
      </w:r>
    </w:p>
    <w:p w14:paraId="49FF5C4C">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●具有手动控制变焦、聚焦功能；</w:t>
      </w:r>
    </w:p>
    <w:p w14:paraId="584E1185">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●支持H.264、H.265、Smart264、Smart265等视频码流编解码格式；应具有自动补光功能，满足夜间拍摄要求；</w:t>
      </w:r>
    </w:p>
    <w:p w14:paraId="2952C981">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●可实现未授权入侵报警、未授权报警；</w:t>
      </w:r>
    </w:p>
    <w:p w14:paraId="12D97DB1">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●具有红外照射，照射距离不应小于20米。</w:t>
      </w:r>
    </w:p>
    <w:p w14:paraId="589CAB42">
      <w:pPr>
        <w:pStyle w:val="30"/>
        <w:keepNext w:val="0"/>
        <w:keepLines w:val="0"/>
        <w:pageBreakBefore w:val="0"/>
        <w:kinsoku/>
        <w:wordWrap/>
        <w:overflowPunct/>
        <w:topLinePunct w:val="0"/>
        <w:autoSpaceDE/>
        <w:autoSpaceDN/>
        <w:bidi w:val="0"/>
        <w:spacing w:line="560" w:lineRule="exact"/>
        <w:ind w:left="0" w:leftChars="0" w:firstLine="640" w:firstLineChars="200"/>
        <w:jc w:val="center"/>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站房监控设备技术参数表</w:t>
      </w:r>
    </w:p>
    <w:tbl>
      <w:tblPr>
        <w:tblStyle w:val="24"/>
        <w:tblW w:w="822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83"/>
        <w:gridCol w:w="6245"/>
      </w:tblGrid>
      <w:tr w14:paraId="2763C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41EF8BD0">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外观</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0AEE2C4F">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红外半球</w:t>
            </w:r>
          </w:p>
        </w:tc>
      </w:tr>
      <w:tr w14:paraId="7F42F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3F1029BB">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传感器类型</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1DB2DCAB">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1/2.7英寸CMOS</w:t>
            </w:r>
          </w:p>
        </w:tc>
      </w:tr>
      <w:tr w14:paraId="37B43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6E5ECF28">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最大分辨率</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527888DA">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400万</w:t>
            </w:r>
          </w:p>
        </w:tc>
      </w:tr>
      <w:tr w14:paraId="70516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646E0B64">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最大补光距离</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48660E7B">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30米</w:t>
            </w:r>
          </w:p>
        </w:tc>
      </w:tr>
      <w:tr w14:paraId="7B9E1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24938DD0">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最低照度</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0687B50A">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0.002Lux(彩色模式);0.0002Lux(黑白模式);0Lux(红外灯开启)</w:t>
            </w:r>
          </w:p>
        </w:tc>
      </w:tr>
      <w:tr w14:paraId="796E9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25A37729">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宽动态</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173374F7">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120dB</w:t>
            </w:r>
          </w:p>
        </w:tc>
      </w:tr>
      <w:tr w14:paraId="2F252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141EDC41">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H.265</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43757539">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支持</w:t>
            </w:r>
          </w:p>
        </w:tc>
      </w:tr>
      <w:tr w14:paraId="354AF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50377E53">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默认分辨率下默认码流</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068F3177">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4096kbps（2560×1440）</w:t>
            </w:r>
          </w:p>
        </w:tc>
      </w:tr>
      <w:tr w14:paraId="612D3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4E65DB18">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报警</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08625050">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支持</w:t>
            </w:r>
          </w:p>
        </w:tc>
      </w:tr>
      <w:tr w14:paraId="4EBDF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61C2F064">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音频输入</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260ECA8C">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1路LINE IN RCA接口</w:t>
            </w:r>
          </w:p>
        </w:tc>
      </w:tr>
      <w:tr w14:paraId="7ABB5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0D691B98">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报警输入</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5704566A">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3路，湿节点</w:t>
            </w:r>
          </w:p>
        </w:tc>
      </w:tr>
      <w:tr w14:paraId="60B96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2FE58F5A">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音频输出</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6F670480">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1路LINE OUT RCA接口</w:t>
            </w:r>
          </w:p>
        </w:tc>
      </w:tr>
      <w:tr w14:paraId="3ED0F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10B6C4E3">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报警输出</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4E14CAF6">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2路，湿节点</w:t>
            </w:r>
          </w:p>
        </w:tc>
      </w:tr>
      <w:tr w14:paraId="77CDA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37FAB043">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视频压缩标准</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6F33B2A0">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H.265;H.264;H.264B;H.264H;MJPEG</w:t>
            </w:r>
          </w:p>
        </w:tc>
      </w:tr>
      <w:tr w14:paraId="2C320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7BC7DA3B">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网络接口</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2CC4080B">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10/100M以太网口</w:t>
            </w:r>
          </w:p>
        </w:tc>
      </w:tr>
      <w:tr w14:paraId="5C121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3"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74683E4C">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网络协议</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19F4FBD5">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HTTP;TCP;ARP;RTSP;RTP;UDP;RTCP;SMTP;FTP;DHCP;DNS;DDNS;PPP</w:t>
            </w:r>
          </w:p>
        </w:tc>
      </w:tr>
      <w:tr w14:paraId="61D75E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83" w:type="dxa"/>
            <w:tcBorders>
              <w:top w:val="single" w:color="000000" w:sz="4" w:space="0"/>
              <w:left w:val="single" w:color="000000" w:sz="4" w:space="0"/>
              <w:bottom w:val="single" w:color="000000" w:sz="4" w:space="0"/>
              <w:right w:val="single" w:color="000000" w:sz="4" w:space="0"/>
            </w:tcBorders>
            <w:shd w:val="clear" w:color="auto" w:fill="auto"/>
            <w:vAlign w:val="top"/>
          </w:tcPr>
          <w:p w14:paraId="088C71EC">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接入标准</w:t>
            </w:r>
          </w:p>
        </w:tc>
        <w:tc>
          <w:tcPr>
            <w:tcW w:w="6245" w:type="dxa"/>
            <w:tcBorders>
              <w:top w:val="single" w:color="000000" w:sz="4" w:space="0"/>
              <w:left w:val="single" w:color="000000" w:sz="4" w:space="0"/>
              <w:bottom w:val="single" w:color="000000" w:sz="4" w:space="0"/>
              <w:right w:val="single" w:color="000000" w:sz="4" w:space="0"/>
            </w:tcBorders>
            <w:shd w:val="clear" w:color="auto" w:fill="auto"/>
            <w:vAlign w:val="top"/>
          </w:tcPr>
          <w:p w14:paraId="7BE2C178">
            <w:pPr>
              <w:keepNext w:val="0"/>
              <w:keepLines w:val="0"/>
              <w:widowControl/>
              <w:suppressLineNumbers w:val="0"/>
              <w:jc w:val="left"/>
              <w:textAlignment w:val="top"/>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bidi="ar"/>
              </w:rPr>
              <w:t>OE;IPv4/v6;SNMP;QoS;UPnP;NTP</w:t>
            </w:r>
          </w:p>
        </w:tc>
      </w:tr>
    </w:tbl>
    <w:p w14:paraId="2C7EB8B0">
      <w:pPr>
        <w:pStyle w:val="30"/>
        <w:keepNext w:val="0"/>
        <w:keepLines w:val="0"/>
        <w:pageBreakBefore w:val="0"/>
        <w:numPr>
          <w:ilvl w:val="0"/>
          <w:numId w:val="0"/>
        </w:numPr>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3.运维服务</w:t>
      </w:r>
    </w:p>
    <w:p w14:paraId="1811F62C">
      <w:pPr>
        <w:pStyle w:val="30"/>
        <w:keepNext w:val="0"/>
        <w:keepLines w:val="0"/>
        <w:pageBreakBefore w:val="0"/>
        <w:numPr>
          <w:ilvl w:val="0"/>
          <w:numId w:val="0"/>
        </w:numPr>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（1）概述</w:t>
      </w:r>
    </w:p>
    <w:p w14:paraId="2788EF52">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30家城镇污水处理厂在线监测设备参数管控系统现场端设备及平台的搭建、运维工作。</w:t>
      </w:r>
    </w:p>
    <w:p w14:paraId="6F064DB2">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（2）总体运维维护要求：</w:t>
      </w:r>
    </w:p>
    <w:p w14:paraId="53F21FF8">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建设运行维护期限为一年。项目单位必须遵照“稳定准确，随叫随到”的工作原则，落实运行维护工作各个环节，做好现场设备保养和运行管理工作，保证设备性能良好、电气特性符合标准要求、设备运行正常、稳定、数据准确及时，技术资料、原始记录齐全。</w:t>
      </w:r>
    </w:p>
    <w:p w14:paraId="34CE9FA9">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（3）运维目标：</w:t>
      </w:r>
    </w:p>
    <w:p w14:paraId="597A73E3">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监控的设备正常运转率95%以上。</w:t>
      </w:r>
    </w:p>
    <w:p w14:paraId="610E1795">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有效数据准确率95%以上。</w:t>
      </w:r>
    </w:p>
    <w:p w14:paraId="6D4CBA7C">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异常情况响应率达到100%。</w:t>
      </w:r>
    </w:p>
    <w:p w14:paraId="4AA8CD50">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在线设备数据传输有效率达到95%以上。</w:t>
      </w:r>
    </w:p>
    <w:p w14:paraId="12CB4104">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（4）运维内容</w:t>
      </w:r>
    </w:p>
    <w:p w14:paraId="13A025D2">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提供驻场服务及现场端运维工作，包括：平台数据值守、报送和分析服务、软件升级等服务、现场巡查、故障维修、定期巡检及异常情况的处置等，确保现场设备平稳运行。</w:t>
      </w:r>
    </w:p>
    <w:p w14:paraId="0417C41D">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线下运维设立主管、专业运维工程师，每家工厂每月巡检不低于1次。</w:t>
      </w:r>
    </w:p>
    <w:p w14:paraId="36BCE8D4">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配备专业巡检车辆，用于线下设备巡检。</w:t>
      </w:r>
    </w:p>
    <w:p w14:paraId="5EEE3F65">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每天定时2次通过远程网络查看现场仪器运行状态，查看系统是否正常。查看主要技术参数，判断运行是否正常。如不正常，运维人员立刻去现场排除故障，使系统恢复正常运行。</w:t>
      </w:r>
    </w:p>
    <w:p w14:paraId="4AB125B9">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负责更换常规配件。</w:t>
      </w:r>
    </w:p>
    <w:p w14:paraId="3BB7159F">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负责现场传输卡费用。</w:t>
      </w:r>
    </w:p>
    <w:p w14:paraId="3DE2B31D">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定期核查现</w:t>
      </w:r>
      <w:r>
        <w:rPr>
          <w:rFonts w:hint="eastAsia" w:ascii="仿宋_GB2312" w:hAnsi="仿宋_GB2312" w:eastAsia="仿宋_GB2312" w:cs="仿宋_GB2312"/>
          <w:lang w:val="en-US" w:eastAsia="zh-CN"/>
        </w:rPr>
        <w:t>有</w:t>
      </w:r>
      <w:r>
        <w:rPr>
          <w:rFonts w:hint="eastAsia" w:ascii="仿宋_GB2312" w:hAnsi="仿宋_GB2312" w:eastAsia="仿宋_GB2312" w:cs="仿宋_GB2312"/>
          <w:sz w:val="32"/>
          <w:szCs w:val="32"/>
          <w:highlight w:val="none"/>
          <w:lang w:val="en-US" w:eastAsia="zh-CN"/>
        </w:rPr>
        <w:t>设备是否被人为破坏。</w:t>
      </w:r>
    </w:p>
    <w:p w14:paraId="58831BF8">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定期核查现场设备是否被更换线路。</w:t>
      </w:r>
    </w:p>
    <w:p w14:paraId="3E06C506">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负责系统平台的数据维护、信息维护提供7*24小时服务。</w:t>
      </w:r>
    </w:p>
    <w:p w14:paraId="13104A17">
      <w:pPr>
        <w:pStyle w:val="30"/>
        <w:keepNext w:val="0"/>
        <w:keepLines w:val="0"/>
        <w:pageBreakBefore w:val="0"/>
        <w:kinsoku/>
        <w:wordWrap/>
        <w:overflowPunct/>
        <w:topLinePunct w:val="0"/>
        <w:autoSpaceDE/>
        <w:autoSpaceDN/>
        <w:bidi w:val="0"/>
        <w:spacing w:line="560" w:lineRule="exact"/>
        <w:ind w:left="0" w:leftChars="0"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系统维护1小时以内响应故障，24小时内排除故障。</w:t>
      </w:r>
    </w:p>
    <w:p w14:paraId="0023879D">
      <w:pPr>
        <w:keepLines w:val="0"/>
        <w:pageBreakBefore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1"/>
        <w:rPr>
          <w:rFonts w:ascii="黑体" w:hAnsi="黑体" w:eastAsia="黑体" w:cs="仿宋_GB2312"/>
          <w:bCs/>
          <w:sz w:val="32"/>
          <w:szCs w:val="32"/>
          <w:highlight w:val="none"/>
        </w:rPr>
      </w:pPr>
      <w:r>
        <w:rPr>
          <w:rFonts w:hint="eastAsia" w:ascii="黑体" w:hAnsi="黑体" w:eastAsia="黑体" w:cs="仿宋_GB2312"/>
          <w:bCs/>
          <w:sz w:val="32"/>
          <w:szCs w:val="32"/>
          <w:highlight w:val="none"/>
          <w:lang w:val="en-US" w:eastAsia="zh-CN"/>
        </w:rPr>
        <w:t>五</w:t>
      </w:r>
      <w:r>
        <w:rPr>
          <w:rFonts w:hint="eastAsia" w:ascii="黑体" w:hAnsi="黑体" w:eastAsia="黑体" w:cs="仿宋_GB2312"/>
          <w:bCs/>
          <w:sz w:val="32"/>
          <w:szCs w:val="32"/>
          <w:highlight w:val="none"/>
        </w:rPr>
        <w:t>、其他要求</w:t>
      </w:r>
    </w:p>
    <w:p w14:paraId="22AAA4CF">
      <w:pPr>
        <w:pStyle w:val="50"/>
        <w:keepLines w:val="0"/>
        <w:pageBreakBefore w:val="0"/>
        <w:kinsoku/>
        <w:wordWrap/>
        <w:overflowPunct/>
        <w:topLinePunct w:val="0"/>
        <w:autoSpaceDE/>
        <w:autoSpaceDN/>
        <w:bidi w:val="0"/>
        <w:adjustRightInd/>
        <w:snapToGrid/>
        <w:spacing w:before="0" w:after="0" w:line="560" w:lineRule="exact"/>
        <w:ind w:firstLine="64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无。</w:t>
      </w:r>
    </w:p>
    <w:p w14:paraId="79CCC59B">
      <w:pPr>
        <w:keepLines w:val="0"/>
        <w:pageBreakBefore w:val="0"/>
        <w:kinsoku/>
        <w:wordWrap/>
        <w:overflowPunct/>
        <w:topLinePunct w:val="0"/>
        <w:autoSpaceDE/>
        <w:autoSpaceDN/>
        <w:bidi w:val="0"/>
        <w:adjustRightInd/>
        <w:snapToGrid/>
        <w:spacing w:line="560" w:lineRule="exact"/>
        <w:ind w:firstLine="640" w:firstLineChars="200"/>
        <w:jc w:val="left"/>
        <w:textAlignment w:val="auto"/>
        <w:outlineLvl w:val="1"/>
        <w:rPr>
          <w:highlight w:val="none"/>
        </w:rPr>
      </w:pPr>
      <w:r>
        <w:rPr>
          <w:rFonts w:hint="eastAsia" w:ascii="黑体" w:hAnsi="黑体" w:eastAsia="黑体" w:cs="仿宋_GB2312"/>
          <w:bCs/>
          <w:sz w:val="32"/>
          <w:szCs w:val="32"/>
          <w:highlight w:val="none"/>
        </w:rPr>
        <w:t>六、项目效益分析</w:t>
      </w:r>
    </w:p>
    <w:p w14:paraId="28ECAB0A">
      <w:pPr>
        <w:pageBreakBefore w:val="0"/>
        <w:kinsoku/>
        <w:wordWrap/>
        <w:overflowPunct/>
        <w:topLinePunct w:val="0"/>
        <w:autoSpaceDE/>
        <w:autoSpaceDN/>
        <w:bidi w:val="0"/>
        <w:snapToGrid/>
        <w:spacing w:line="560" w:lineRule="exact"/>
        <w:ind w:firstLine="640" w:firstLineChars="200"/>
        <w:jc w:val="left"/>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eastAsia="zh-CN"/>
        </w:rPr>
        <w:t>（一）</w:t>
      </w:r>
      <w:r>
        <w:rPr>
          <w:rFonts w:hint="eastAsia" w:ascii="楷体" w:hAnsi="楷体" w:eastAsia="楷体" w:cs="楷体"/>
          <w:sz w:val="32"/>
          <w:szCs w:val="32"/>
          <w:highlight w:val="none"/>
        </w:rPr>
        <w:t>环境效益</w:t>
      </w:r>
    </w:p>
    <w:p w14:paraId="2DCF639B">
      <w:pPr>
        <w:pageBreakBefore w:val="0"/>
        <w:kinsoku/>
        <w:wordWrap/>
        <w:overflowPunct/>
        <w:topLinePunct w:val="0"/>
        <w:autoSpaceDE/>
        <w:autoSpaceDN/>
        <w:bidi w:val="0"/>
        <w:snapToGrid/>
        <w:spacing w:line="560" w:lineRule="exact"/>
        <w:ind w:firstLine="640" w:firstLineChars="200"/>
        <w:jc w:val="left"/>
        <w:textAlignment w:val="auto"/>
        <w:rPr>
          <w:rFonts w:hint="eastAsia" w:ascii="楷体" w:hAnsi="楷体" w:eastAsia="楷体" w:cs="楷体"/>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运用“监测参数管控系统”有效防范在线监测仪使用过程中的“数据造假”行为，保证在线监测仪数据准确有效，使环境统计数据回归真实可靠，给管理部门提供真实的数据支撑。</w:t>
      </w:r>
    </w:p>
    <w:p w14:paraId="023AF024">
      <w:pPr>
        <w:pageBreakBefore w:val="0"/>
        <w:numPr>
          <w:ilvl w:val="0"/>
          <w:numId w:val="2"/>
        </w:numPr>
        <w:kinsoku/>
        <w:wordWrap/>
        <w:overflowPunct/>
        <w:topLinePunct w:val="0"/>
        <w:autoSpaceDE/>
        <w:autoSpaceDN/>
        <w:bidi w:val="0"/>
        <w:snapToGrid/>
        <w:spacing w:line="560" w:lineRule="exact"/>
        <w:ind w:firstLine="640" w:firstLineChars="200"/>
        <w:jc w:val="left"/>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社会效益</w:t>
      </w:r>
    </w:p>
    <w:p w14:paraId="4015CE52">
      <w:pPr>
        <w:pageBreakBefore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rPr>
        <w:t>通过“监测参数管控系统”应用，能够对水质污染数据进行实时监控、比对、问题报警，将环保管理模式由事后处理为主转向事前预防为主，由粗放式监管转向精细化监管，</w:t>
      </w:r>
      <w:r>
        <w:rPr>
          <w:rFonts w:hint="eastAsia" w:ascii="仿宋_GB2312" w:hAnsi="仿宋_GB2312" w:eastAsia="仿宋_GB2312" w:cs="仿宋_GB2312"/>
          <w:b w:val="0"/>
          <w:bCs/>
          <w:sz w:val="32"/>
          <w:szCs w:val="32"/>
          <w:highlight w:val="none"/>
          <w:lang w:val="en-US" w:eastAsia="zh-CN"/>
        </w:rPr>
        <w:t>提高了对污水处理厂数据的有效监管。</w:t>
      </w:r>
    </w:p>
    <w:p w14:paraId="45A769B9">
      <w:pPr>
        <w:pageBreakBefore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仿宋_GB2312" w:hAnsi="仿宋_GB2312" w:eastAsia="仿宋_GB2312" w:cs="仿宋_GB2312"/>
          <w:b w:val="0"/>
          <w:bCs/>
          <w:sz w:val="32"/>
          <w:szCs w:val="32"/>
          <w:highlight w:val="none"/>
        </w:rPr>
      </w:pPr>
      <w:r>
        <w:rPr>
          <w:rFonts w:hint="eastAsia" w:ascii="仿宋_GB2312" w:hAnsi="仿宋_GB2312" w:eastAsia="仿宋_GB2312" w:cs="仿宋_GB2312"/>
          <w:b w:val="0"/>
          <w:bCs/>
          <w:sz w:val="32"/>
          <w:szCs w:val="32"/>
          <w:highlight w:val="none"/>
          <w:lang w:val="en-US" w:eastAsia="zh-CN"/>
        </w:rPr>
        <w:t>保证现场数采仪准备有效传数，实现对在站房内及排水口的所有人员的操作做到全程留痕记录，避免数据失真现象。</w:t>
      </w:r>
    </w:p>
    <w:p w14:paraId="038DDC63">
      <w:pPr>
        <w:pageBreakBefore w:val="0"/>
        <w:kinsoku/>
        <w:wordWrap/>
        <w:overflowPunct/>
        <w:topLinePunct w:val="0"/>
        <w:autoSpaceDE/>
        <w:autoSpaceDN/>
        <w:bidi w:val="0"/>
        <w:adjustRightInd/>
        <w:snapToGrid/>
        <w:spacing w:line="560" w:lineRule="exact"/>
        <w:ind w:firstLine="640" w:firstLineChars="200"/>
        <w:jc w:val="left"/>
        <w:textAlignment w:val="auto"/>
        <w:outlineLvl w:val="1"/>
        <w:rPr>
          <w:rFonts w:ascii="黑体" w:hAnsi="黑体" w:eastAsia="黑体" w:cs="仿宋_GB2312"/>
          <w:bCs/>
          <w:sz w:val="32"/>
          <w:szCs w:val="32"/>
          <w:highlight w:val="none"/>
        </w:rPr>
      </w:pPr>
      <w:r>
        <w:rPr>
          <w:rFonts w:hint="eastAsia" w:ascii="黑体" w:hAnsi="黑体" w:eastAsia="黑体" w:cs="仿宋_GB2312"/>
          <w:bCs/>
          <w:sz w:val="32"/>
          <w:szCs w:val="32"/>
          <w:highlight w:val="none"/>
        </w:rPr>
        <w:t>七、项目验收方案及要求</w:t>
      </w:r>
    </w:p>
    <w:p w14:paraId="617C78CB">
      <w:pPr>
        <w:pageBreakBefore w:val="0"/>
        <w:kinsoku/>
        <w:wordWrap/>
        <w:overflowPunct/>
        <w:topLinePunct w:val="0"/>
        <w:autoSpaceDE/>
        <w:autoSpaceDN/>
        <w:bidi w:val="0"/>
        <w:adjustRightInd/>
        <w:snapToGrid/>
        <w:spacing w:line="560" w:lineRule="exact"/>
        <w:ind w:firstLine="640" w:firstLineChars="200"/>
        <w:textAlignment w:val="auto"/>
        <w:rPr>
          <w:rFonts w:ascii="仿宋_GB2312" w:hAnsi="仿宋" w:eastAsia="仿宋_GB2312"/>
          <w:sz w:val="32"/>
          <w:szCs w:val="32"/>
          <w:highlight w:val="none"/>
        </w:rPr>
      </w:pPr>
      <w:r>
        <w:rPr>
          <w:rFonts w:hint="eastAsia" w:ascii="仿宋_GB2312" w:hAnsi="仿宋" w:eastAsia="仿宋_GB2312" w:cs="宋体"/>
          <w:kern w:val="0"/>
          <w:sz w:val="32"/>
          <w:szCs w:val="32"/>
          <w:highlight w:val="none"/>
        </w:rPr>
        <w:t>服务期满，技术服务单位向采购人提交服务相关资料汇总，采购人收到服务资料后根据招标要求和合同条款10日内对服务资料和服务结果进行确认，并出具确认意见或验收报告。</w:t>
      </w:r>
    </w:p>
    <w:p w14:paraId="3FF338FE">
      <w:pPr>
        <w:pageBreakBefore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黑体" w:hAnsi="黑体" w:eastAsia="黑体" w:cs="仿宋_GB2312"/>
          <w:bCs/>
          <w:sz w:val="32"/>
          <w:szCs w:val="32"/>
          <w:highlight w:val="none"/>
          <w:lang w:eastAsia="zh-CN"/>
        </w:rPr>
      </w:pPr>
      <w:r>
        <w:rPr>
          <w:rFonts w:hint="eastAsia" w:ascii="黑体" w:hAnsi="黑体" w:eastAsia="黑体" w:cs="仿宋_GB2312"/>
          <w:bCs/>
          <w:sz w:val="32"/>
          <w:szCs w:val="32"/>
          <w:highlight w:val="none"/>
          <w:lang w:eastAsia="zh-CN"/>
        </w:rPr>
        <w:t>八、</w:t>
      </w:r>
      <w:r>
        <w:rPr>
          <w:rFonts w:hint="eastAsia" w:ascii="黑体" w:hAnsi="黑体" w:eastAsia="黑体" w:cs="仿宋_GB2312"/>
          <w:bCs/>
          <w:sz w:val="32"/>
          <w:szCs w:val="32"/>
          <w:highlight w:val="none"/>
        </w:rPr>
        <w:t>时间安排</w:t>
      </w:r>
    </w:p>
    <w:p w14:paraId="1D8ED297">
      <w:pPr>
        <w:pageBreakBefore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黑体" w:hAnsi="黑体" w:eastAsia="黑体" w:cs="仿宋_GB2312"/>
          <w:bCs/>
          <w:sz w:val="32"/>
          <w:szCs w:val="32"/>
          <w:highlight w:val="none"/>
        </w:rPr>
      </w:pPr>
      <w:r>
        <w:rPr>
          <w:rFonts w:hint="eastAsia" w:ascii="仿宋" w:hAnsi="仿宋" w:eastAsia="仿宋" w:cs="仿宋"/>
          <w:bCs/>
          <w:sz w:val="32"/>
          <w:szCs w:val="32"/>
          <w:highlight w:val="none"/>
          <w:lang w:val="en-US" w:eastAsia="zh-CN"/>
        </w:rPr>
        <w:t>1年。</w:t>
      </w:r>
    </w:p>
    <w:p w14:paraId="111DCD39">
      <w:pPr>
        <w:pageBreakBefore w:val="0"/>
        <w:kinsoku/>
        <w:wordWrap/>
        <w:overflowPunct/>
        <w:topLinePunct w:val="0"/>
        <w:autoSpaceDE/>
        <w:autoSpaceDN/>
        <w:bidi w:val="0"/>
        <w:adjustRightInd/>
        <w:snapToGrid/>
        <w:spacing w:line="560" w:lineRule="exact"/>
        <w:ind w:firstLine="640" w:firstLineChars="200"/>
        <w:jc w:val="left"/>
        <w:textAlignment w:val="auto"/>
        <w:outlineLvl w:val="1"/>
        <w:rPr>
          <w:rFonts w:ascii="黑体" w:hAnsi="黑体" w:eastAsia="黑体" w:cs="仿宋_GB2312"/>
          <w:bCs/>
          <w:sz w:val="32"/>
          <w:szCs w:val="32"/>
          <w:highlight w:val="none"/>
        </w:rPr>
      </w:pPr>
      <w:r>
        <w:rPr>
          <w:rFonts w:hint="eastAsia" w:ascii="黑体" w:hAnsi="黑体" w:eastAsia="黑体" w:cs="仿宋_GB2312"/>
          <w:bCs/>
          <w:sz w:val="32"/>
          <w:szCs w:val="32"/>
          <w:highlight w:val="none"/>
          <w:lang w:eastAsia="zh-CN"/>
        </w:rPr>
        <w:t>九</w:t>
      </w:r>
      <w:r>
        <w:rPr>
          <w:rFonts w:hint="eastAsia" w:ascii="黑体" w:hAnsi="黑体" w:eastAsia="黑体" w:cs="仿宋_GB2312"/>
          <w:bCs/>
          <w:sz w:val="32"/>
          <w:szCs w:val="32"/>
          <w:highlight w:val="none"/>
        </w:rPr>
        <w:t>、经费预算及资金支付要求</w:t>
      </w:r>
    </w:p>
    <w:p w14:paraId="0C48D6E3">
      <w:pPr>
        <w:pageBreakBefore w:val="0"/>
        <w:kinsoku/>
        <w:wordWrap/>
        <w:overflowPunct/>
        <w:topLinePunct w:val="0"/>
        <w:autoSpaceDE/>
        <w:autoSpaceDN/>
        <w:bidi w:val="0"/>
        <w:adjustRightInd/>
        <w:snapToGrid/>
        <w:spacing w:line="560" w:lineRule="exact"/>
        <w:ind w:firstLine="643" w:firstLineChars="200"/>
        <w:textAlignment w:val="auto"/>
        <w:outlineLvl w:val="4"/>
        <w:rPr>
          <w:rFonts w:hint="eastAsia" w:ascii="楷体" w:hAnsi="楷体" w:eastAsia="楷体" w:cs="楷体"/>
          <w:b/>
          <w:bCs/>
          <w:kern w:val="0"/>
          <w:sz w:val="32"/>
          <w:szCs w:val="32"/>
          <w:highlight w:val="none"/>
        </w:rPr>
      </w:pPr>
      <w:r>
        <w:rPr>
          <w:rFonts w:hint="eastAsia" w:ascii="楷体" w:hAnsi="楷体" w:eastAsia="楷体" w:cs="楷体"/>
          <w:b/>
          <w:bCs/>
          <w:kern w:val="0"/>
          <w:sz w:val="32"/>
          <w:szCs w:val="32"/>
          <w:highlight w:val="none"/>
        </w:rPr>
        <w:t>(一)项目预算情况</w:t>
      </w:r>
    </w:p>
    <w:p w14:paraId="026C40B9">
      <w:pPr>
        <w:pageBreakBefore w:val="0"/>
        <w:kinsoku/>
        <w:wordWrap/>
        <w:overflowPunct/>
        <w:topLinePunct w:val="0"/>
        <w:autoSpaceDE/>
        <w:autoSpaceDN/>
        <w:bidi w:val="0"/>
        <w:adjustRightInd/>
        <w:snapToGrid/>
        <w:spacing w:line="560" w:lineRule="exact"/>
        <w:ind w:firstLine="640" w:firstLineChars="200"/>
        <w:textAlignment w:val="auto"/>
        <w:rPr>
          <w:rFonts w:ascii="仿宋_GB2312" w:hAnsi="仿宋" w:eastAsia="仿宋_GB2312" w:cs="宋体"/>
          <w:color w:val="0000FF"/>
          <w:kern w:val="0"/>
          <w:sz w:val="32"/>
          <w:szCs w:val="32"/>
          <w:highlight w:val="none"/>
        </w:rPr>
      </w:pPr>
      <w:r>
        <w:rPr>
          <w:rFonts w:hint="eastAsia" w:ascii="仿宋_GB2312" w:hAnsi="仿宋" w:eastAsia="仿宋_GB2312" w:cs="宋体"/>
          <w:kern w:val="0"/>
          <w:sz w:val="32"/>
          <w:szCs w:val="32"/>
          <w:highlight w:val="none"/>
        </w:rPr>
        <w:t>以上工作的开展，涉及</w:t>
      </w:r>
      <w:r>
        <w:rPr>
          <w:rFonts w:hint="eastAsia" w:ascii="仿宋" w:hAnsi="仿宋" w:eastAsia="仿宋" w:cs="仿宋"/>
          <w:sz w:val="32"/>
          <w:szCs w:val="32"/>
          <w:highlight w:val="none"/>
          <w:lang w:eastAsia="zh-CN"/>
        </w:rPr>
        <w:t>监测参数管控系统现场端设备</w:t>
      </w:r>
      <w:r>
        <w:rPr>
          <w:rFonts w:hint="eastAsia" w:ascii="仿宋" w:hAnsi="仿宋" w:eastAsia="仿宋" w:cs="仿宋"/>
          <w:sz w:val="32"/>
          <w:szCs w:val="32"/>
          <w:highlight w:val="none"/>
          <w:lang w:val="en-US" w:eastAsia="zh-CN"/>
        </w:rPr>
        <w:t>服务</w:t>
      </w:r>
      <w:r>
        <w:rPr>
          <w:rFonts w:hint="eastAsia" w:ascii="仿宋" w:hAnsi="仿宋" w:eastAsia="仿宋" w:cs="仿宋"/>
          <w:sz w:val="32"/>
          <w:szCs w:val="32"/>
          <w:highlight w:val="none"/>
          <w:lang w:eastAsia="zh-CN"/>
        </w:rPr>
        <w:t>、中心端参数管控系统平台</w:t>
      </w:r>
      <w:r>
        <w:rPr>
          <w:rFonts w:hint="eastAsia" w:ascii="仿宋" w:hAnsi="仿宋" w:eastAsia="仿宋" w:cs="仿宋"/>
          <w:sz w:val="32"/>
          <w:szCs w:val="32"/>
          <w:highlight w:val="none"/>
          <w:lang w:val="en-US" w:eastAsia="zh-CN"/>
        </w:rPr>
        <w:t>服务</w:t>
      </w:r>
      <w:r>
        <w:rPr>
          <w:rFonts w:hint="eastAsia" w:ascii="仿宋" w:hAnsi="仿宋" w:eastAsia="仿宋" w:cs="仿宋"/>
          <w:sz w:val="32"/>
          <w:szCs w:val="32"/>
          <w:highlight w:val="none"/>
          <w:lang w:eastAsia="zh-CN"/>
        </w:rPr>
        <w:t>、监测参数管控系统数据分析服务费用、现场端设备运行维护</w:t>
      </w:r>
      <w:r>
        <w:rPr>
          <w:rFonts w:hint="eastAsia" w:ascii="仿宋" w:hAnsi="仿宋" w:eastAsia="仿宋" w:cs="仿宋"/>
          <w:sz w:val="32"/>
          <w:szCs w:val="32"/>
          <w:highlight w:val="none"/>
          <w:lang w:val="en-US" w:eastAsia="zh-CN"/>
        </w:rPr>
        <w:t>服务</w:t>
      </w:r>
      <w:r>
        <w:rPr>
          <w:rFonts w:hint="eastAsia" w:ascii="仿宋_GB2312" w:hAnsi="仿宋" w:eastAsia="仿宋_GB2312" w:cs="宋体"/>
          <w:kern w:val="0"/>
          <w:sz w:val="32"/>
          <w:szCs w:val="32"/>
          <w:highlight w:val="none"/>
        </w:rPr>
        <w:t>等</w:t>
      </w:r>
      <w:r>
        <w:rPr>
          <w:rFonts w:hint="eastAsia" w:ascii="仿宋_GB2312" w:hAnsi="仿宋" w:eastAsia="仿宋_GB2312" w:cs="宋体"/>
          <w:color w:val="auto"/>
          <w:kern w:val="0"/>
          <w:sz w:val="32"/>
          <w:szCs w:val="32"/>
          <w:highlight w:val="none"/>
        </w:rPr>
        <w:t>经费共计</w:t>
      </w:r>
      <w:r>
        <w:rPr>
          <w:rFonts w:hint="eastAsia" w:ascii="仿宋_GB2312" w:hAnsi="仿宋" w:eastAsia="仿宋_GB2312" w:cs="宋体"/>
          <w:color w:val="auto"/>
          <w:kern w:val="0"/>
          <w:sz w:val="32"/>
          <w:szCs w:val="32"/>
          <w:highlight w:val="none"/>
          <w:lang w:val="en-US" w:eastAsia="zh-CN"/>
        </w:rPr>
        <w:t>102</w:t>
      </w:r>
      <w:r>
        <w:rPr>
          <w:rFonts w:hint="eastAsia" w:ascii="仿宋_GB2312" w:hAnsi="仿宋" w:eastAsia="仿宋_GB2312" w:cs="宋体"/>
          <w:color w:val="auto"/>
          <w:kern w:val="0"/>
          <w:sz w:val="32"/>
          <w:szCs w:val="32"/>
          <w:highlight w:val="none"/>
        </w:rPr>
        <w:t>万元。</w:t>
      </w:r>
    </w:p>
    <w:p w14:paraId="2F3575B3">
      <w:pPr>
        <w:pageBreakBefore w:val="0"/>
        <w:kinsoku/>
        <w:wordWrap/>
        <w:overflowPunct/>
        <w:topLinePunct w:val="0"/>
        <w:autoSpaceDE/>
        <w:autoSpaceDN/>
        <w:bidi w:val="0"/>
        <w:adjustRightInd/>
        <w:snapToGrid/>
        <w:spacing w:line="560" w:lineRule="exact"/>
        <w:ind w:firstLine="643" w:firstLineChars="200"/>
        <w:textAlignment w:val="auto"/>
        <w:outlineLvl w:val="4"/>
        <w:rPr>
          <w:rFonts w:hint="eastAsia" w:ascii="楷体" w:hAnsi="楷体" w:eastAsia="楷体" w:cs="楷体"/>
          <w:kern w:val="0"/>
          <w:sz w:val="32"/>
          <w:szCs w:val="32"/>
          <w:highlight w:val="none"/>
        </w:rPr>
      </w:pPr>
      <w:r>
        <w:rPr>
          <w:rFonts w:hint="eastAsia" w:ascii="楷体" w:hAnsi="楷体" w:eastAsia="楷体" w:cs="楷体"/>
          <w:b/>
          <w:bCs/>
          <w:kern w:val="0"/>
          <w:sz w:val="32"/>
          <w:szCs w:val="32"/>
          <w:highlight w:val="none"/>
        </w:rPr>
        <w:t>(二)资金支付要求</w:t>
      </w:r>
    </w:p>
    <w:p w14:paraId="77446D21">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sz w:val="32"/>
          <w:szCs w:val="32"/>
          <w:highlight w:val="yellow"/>
          <w:lang w:val="en-US" w:eastAsia="zh-CN"/>
        </w:rPr>
      </w:pPr>
      <w:r>
        <w:rPr>
          <w:rFonts w:hint="eastAsia" w:ascii="仿宋_GB2312" w:hAnsi="仿宋" w:eastAsia="仿宋_GB2312" w:cs="宋体"/>
          <w:sz w:val="32"/>
          <w:szCs w:val="32"/>
          <w:highlight w:val="none"/>
        </w:rPr>
        <w:t>根据合同约定支付。</w:t>
      </w:r>
    </w:p>
    <w:p w14:paraId="78374E1C">
      <w:pPr>
        <w:pStyle w:val="3"/>
        <w:keepNext w:val="0"/>
        <w:keepLines w:val="0"/>
        <w:pageBreakBefore w:val="0"/>
        <w:kinsoku/>
        <w:wordWrap/>
        <w:overflowPunct/>
        <w:topLinePunct w:val="0"/>
        <w:autoSpaceDE/>
        <w:autoSpaceDN/>
        <w:bidi w:val="0"/>
        <w:adjustRightInd w:val="0"/>
        <w:snapToGrid/>
        <w:spacing w:line="560" w:lineRule="exact"/>
        <w:ind w:right="0" w:rightChars="0" w:firstLine="640"/>
        <w:jc w:val="left"/>
        <w:textAlignment w:val="auto"/>
        <w:rPr>
          <w:rFonts w:hint="eastAsia" w:ascii="黑体" w:hAnsi="黑体" w:eastAsia="黑体" w:cs="黑体"/>
          <w:b w:val="0"/>
          <w:bCs/>
          <w:sz w:val="32"/>
          <w:szCs w:val="32"/>
        </w:rPr>
      </w:pPr>
      <w:r>
        <w:rPr>
          <w:rFonts w:hint="eastAsia" w:ascii="黑体" w:hAnsi="黑体" w:eastAsia="黑体" w:cs="黑体"/>
          <w:b w:val="0"/>
          <w:bCs/>
          <w:sz w:val="32"/>
          <w:szCs w:val="32"/>
        </w:rPr>
        <w:br w:type="page"/>
      </w:r>
    </w:p>
    <w:p w14:paraId="5D98EAD7">
      <w:pPr>
        <w:pStyle w:val="3"/>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rPr>
      </w:pPr>
      <w:r>
        <w:rPr>
          <w:rFonts w:hint="eastAsia" w:ascii="黑体" w:hAnsi="黑体" w:eastAsia="黑体" w:cs="黑体"/>
          <w:b w:val="0"/>
          <w:bCs/>
          <w:sz w:val="32"/>
          <w:szCs w:val="32"/>
        </w:rPr>
        <w:t>附件3</w:t>
      </w:r>
    </w:p>
    <w:p w14:paraId="4BEAB4C6">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r>
        <w:rPr>
          <w:rFonts w:hint="eastAsia" w:ascii="仿宋_GB2312" w:hAnsi="仿宋_GB2312" w:eastAsia="仿宋_GB2312" w:cs="仿宋_GB2312"/>
          <w:b/>
          <w:sz w:val="36"/>
        </w:rPr>
        <w:t>正本(副本)</w:t>
      </w:r>
    </w:p>
    <w:p w14:paraId="7044EC00">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14:paraId="2D69913D">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14:paraId="0B4D3F82">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14:paraId="10A9D722">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14:paraId="44FAF4C9">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14:paraId="436D9193">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rPr>
      </w:pPr>
    </w:p>
    <w:p w14:paraId="3B263158">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14:paraId="1375DCFD">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rPr>
      </w:pPr>
    </w:p>
    <w:p w14:paraId="0A93F5C4">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rPr>
      </w:pPr>
    </w:p>
    <w:p w14:paraId="44F07750">
      <w:pPr>
        <w:pStyle w:val="2"/>
        <w:rPr>
          <w:rFonts w:ascii="仿宋_GB2312" w:hAnsi="仿宋_GB2312" w:eastAsia="仿宋_GB2312" w:cs="仿宋_GB2312"/>
          <w:b/>
          <w:sz w:val="48"/>
        </w:rPr>
      </w:pPr>
    </w:p>
    <w:p w14:paraId="28710BB1">
      <w:pPr>
        <w:pStyle w:val="4"/>
      </w:pPr>
    </w:p>
    <w:p w14:paraId="63E0DE78">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14:paraId="4A2DEDCB">
      <w:pPr>
        <w:pStyle w:val="2"/>
      </w:pPr>
    </w:p>
    <w:p w14:paraId="04CE3EAE">
      <w:pPr>
        <w:pStyle w:val="4"/>
      </w:pPr>
    </w:p>
    <w:p w14:paraId="5867129B">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14:paraId="0C6E96B7">
      <w:pPr>
        <w:pStyle w:val="2"/>
      </w:pPr>
    </w:p>
    <w:p w14:paraId="49DB4661">
      <w:pPr>
        <w:pStyle w:val="4"/>
      </w:pPr>
    </w:p>
    <w:p w14:paraId="383FD624">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14:paraId="1E4E46EF">
      <w:pPr>
        <w:pStyle w:val="2"/>
      </w:pPr>
    </w:p>
    <w:p w14:paraId="6A7FFB10">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14:paraId="7B316A5B">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ascii="仿宋_GB2312" w:hAnsi="仿宋_GB2312" w:eastAsia="仿宋_GB2312" w:cs="仿宋_GB2312"/>
          <w:b/>
          <w:sz w:val="30"/>
        </w:rPr>
        <w:br w:type="page"/>
      </w:r>
    </w:p>
    <w:p w14:paraId="5292694D">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p>
    <w:p w14:paraId="57C7AB88">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报价承诺函</w:t>
      </w:r>
    </w:p>
    <w:p w14:paraId="0790FF42">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rPr>
      </w:pPr>
    </w:p>
    <w:p w14:paraId="3DB95497">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致: </w:t>
      </w:r>
      <w:r>
        <w:rPr>
          <w:rFonts w:hint="eastAsia" w:ascii="仿宋_GB2312" w:hAnsi="华文仿宋" w:eastAsia="仿宋_GB2312" w:cs="仿宋_GB2312"/>
          <w:sz w:val="28"/>
          <w:lang w:eastAsia="zh-CN"/>
        </w:rPr>
        <w:t>石家庄市环境信息中心</w:t>
      </w:r>
      <w:r>
        <w:rPr>
          <w:rFonts w:hint="eastAsia" w:ascii="仿宋_GB2312" w:hAnsi="仿宋_GB2312" w:eastAsia="仿宋_GB2312" w:cs="仿宋_GB2312"/>
          <w:sz w:val="28"/>
        </w:rPr>
        <w:t>:</w:t>
      </w:r>
    </w:p>
    <w:p w14:paraId="193CE70E">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14:paraId="2021F10F">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提交下述文件正本一份和副本贰份</w:t>
      </w:r>
    </w:p>
    <w:p w14:paraId="74C1EC46">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初始报价表</w:t>
      </w:r>
    </w:p>
    <w:p w14:paraId="20E04C78">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采购项目报价简要说明</w:t>
      </w:r>
    </w:p>
    <w:p w14:paraId="5B7CCB8E">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二次报价表</w:t>
      </w:r>
    </w:p>
    <w:p w14:paraId="611EB147">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据此函，法人授权委托代理人代表宣布如下</w:t>
      </w:r>
    </w:p>
    <w:p w14:paraId="58E3C8E9">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w:t>
      </w:r>
      <w:r>
        <w:rPr>
          <w:rFonts w:hint="eastAsia" w:ascii="仿宋_GB2312" w:hAnsi="仿宋_GB2312" w:eastAsia="仿宋_GB2312" w:cs="仿宋_GB2312"/>
          <w:sz w:val="28"/>
          <w:szCs w:val="28"/>
          <w:lang w:eastAsia="zh-CN"/>
        </w:rPr>
        <w:t>设备</w:t>
      </w:r>
      <w:r>
        <w:rPr>
          <w:rFonts w:hint="eastAsia" w:ascii="仿宋_GB2312" w:hAnsi="仿宋_GB2312" w:eastAsia="仿宋_GB2312" w:cs="仿宋_GB2312"/>
          <w:sz w:val="28"/>
          <w:szCs w:val="28"/>
        </w:rPr>
        <w:t>方案、采购明细、技术参数、实现的功能或者目标等），我们完全理解并同意放弃对此方面有不明及误解的权利。</w:t>
      </w:r>
    </w:p>
    <w:p w14:paraId="36F3CA6F">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14:paraId="570F8B46">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14:paraId="2BEFB34A">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14:paraId="0912812F">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14:paraId="4407989A">
      <w:pPr>
        <w:pStyle w:val="2"/>
        <w:rPr>
          <w:rFonts w:hint="eastAsia"/>
        </w:rPr>
      </w:pPr>
    </w:p>
    <w:p w14:paraId="0A8FA5F7">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14:paraId="0468E992">
      <w:pPr>
        <w:pStyle w:val="2"/>
        <w:rPr>
          <w:rFonts w:hint="eastAsia"/>
        </w:rPr>
      </w:pPr>
    </w:p>
    <w:p w14:paraId="127B6478">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14:paraId="2AB0008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14:paraId="2E7C6FF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rPr>
      </w:pPr>
    </w:p>
    <w:p w14:paraId="7EA0E05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14:paraId="4E6DA53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63A87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1931B61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7E1C0D5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14:paraId="0D1ED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14:paraId="0646B26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49ADC81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14:paraId="3413A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59C3F52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初始报价</w:t>
            </w:r>
          </w:p>
          <w:p w14:paraId="05894BA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48F149B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14:paraId="049DAB1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14:paraId="4F2CB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6D74CDF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285A973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2F6EC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3A8E498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7EB55AB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6D5AF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3BB0BC8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14:paraId="2BC264A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0FFCB06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411C34B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410092F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58B148A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357E72D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14:paraId="6F012D5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56422A5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4FC628B0">
      <w:pPr>
        <w:pStyle w:val="3"/>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14:paraId="11717B34">
      <w:pPr>
        <w:pStyle w:val="3"/>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14:paraId="078586F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14:paraId="1E2850B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14:paraId="6D8996C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14:paraId="25FEB02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4"/>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14:paraId="44CFA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14:paraId="00BB1F4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14:paraId="6D27A2D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14:paraId="61DA93D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型号规格</w:t>
            </w:r>
          </w:p>
          <w:p w14:paraId="1CAF933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14:paraId="5B20158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14:paraId="28E58041">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14:paraId="78F2189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14:paraId="097A410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14:paraId="68955EE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14:paraId="69D9B2F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14:paraId="1F518E5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备   注</w:t>
            </w:r>
          </w:p>
        </w:tc>
      </w:tr>
      <w:tr w14:paraId="6BF20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7E9EF55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14:paraId="73BBFF3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14:paraId="04CC724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14:paraId="34BEB43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14:paraId="07E117B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14:paraId="0C1ED96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14:paraId="4829EBA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14:paraId="4566C89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14:paraId="79CAB38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60C08F7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52F19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14:paraId="056C055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14:paraId="19466E5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14:paraId="2728C87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14:paraId="11AC245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14:paraId="3B9C908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14:paraId="1F2D29E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14:paraId="027CEB3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14:paraId="6EF8321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14:paraId="6AF9D90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27DA145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64A0B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2D5280F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14:paraId="446BA45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14:paraId="3203292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14:paraId="7923B85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14:paraId="0A3A4B2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14:paraId="1135A93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14:paraId="28F9F13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14:paraId="3CBF41D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14:paraId="7A8E123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52174B6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23A01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14:paraId="7A87595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14:paraId="1D5EBF2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1CDA89BB">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单位：元</w:t>
            </w:r>
          </w:p>
        </w:tc>
      </w:tr>
    </w:tbl>
    <w:p w14:paraId="52A77F4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60B5607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14:paraId="21E8198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53F2346B">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543E7F4F">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14:paraId="3265FDF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14:paraId="6B799EC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0676F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7316E0B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3D2878F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14:paraId="780D3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14:paraId="3C608AB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5EDC8F4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14:paraId="1FC14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11450EB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二次报价</w:t>
            </w:r>
          </w:p>
          <w:p w14:paraId="5E92DB4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3EB5C3A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42D30BA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14:paraId="015EA1C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14:paraId="32207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7C72159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12C8845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09BEB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4100F52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33D7602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6BF28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0E3F08B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14:paraId="7F9B9EF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34B6AC3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2750753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5524003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61EC441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47B027E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14:paraId="53B78B0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03BF7D2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4300B52E">
      <w:pPr>
        <w:pStyle w:val="3"/>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14:paraId="0089E2E8">
      <w:pPr>
        <w:pStyle w:val="3"/>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14:paraId="13E75C03">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14:paraId="1B1626A8">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授权委托书</w:t>
      </w:r>
    </w:p>
    <w:p w14:paraId="065A5E03">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rPr>
      </w:pPr>
    </w:p>
    <w:p w14:paraId="16A5E946">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w:t>
      </w:r>
      <w:r>
        <w:rPr>
          <w:rFonts w:hint="eastAsia" w:ascii="仿宋_GB2312" w:hAnsi="仿宋_GB2312" w:eastAsia="仿宋_GB2312" w:cs="仿宋_GB2312"/>
          <w:sz w:val="28"/>
          <w:lang w:eastAsia="zh-CN"/>
        </w:rPr>
        <w:t>单位</w:t>
      </w:r>
      <w:r>
        <w:rPr>
          <w:rFonts w:hint="eastAsia" w:ascii="仿宋_GB2312" w:hAnsi="仿宋_GB2312" w:eastAsia="仿宋_GB2312" w:cs="仿宋_GB2312"/>
          <w:sz w:val="28"/>
        </w:rPr>
        <w:t>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华文仿宋" w:eastAsia="仿宋_GB2312" w:cs="仿宋_GB2312"/>
          <w:sz w:val="28"/>
          <w:u w:val="single"/>
          <w:lang w:eastAsia="zh-CN"/>
        </w:rPr>
        <w:t>石家庄市环境信息中心</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14:paraId="47576705">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代理人无转委托权。特此委托。</w:t>
      </w:r>
    </w:p>
    <w:p w14:paraId="64251EE9">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14:paraId="479E00D7">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                性别：    年龄：</w:t>
      </w:r>
    </w:p>
    <w:p w14:paraId="550CAE65">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单位：                  职务：    身份证号：</w:t>
      </w:r>
    </w:p>
    <w:p w14:paraId="39B50D59">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固定电话：</w:t>
      </w:r>
      <w:r>
        <w:rPr>
          <w:rFonts w:hint="eastAsia" w:ascii="仿宋_GB2312" w:hAnsi="仿宋_GB2312" w:eastAsia="仿宋_GB2312" w:cs="仿宋_GB2312"/>
          <w:sz w:val="28"/>
          <w:lang w:val="en-US" w:eastAsia="zh-CN"/>
        </w:rPr>
        <w:t xml:space="preserve">              手机号码：</w:t>
      </w:r>
    </w:p>
    <w:p w14:paraId="27F278D1">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14:paraId="2231BC94">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报价单位：（盖章）</w:t>
      </w:r>
    </w:p>
    <w:p w14:paraId="43BE2E0A">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14:paraId="723CCE37">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14:paraId="794B0625">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法定代表人：（盖章）</w:t>
      </w:r>
    </w:p>
    <w:p w14:paraId="1F3CAF72">
      <w:pPr>
        <w:pStyle w:val="2"/>
        <w:rPr>
          <w:rFonts w:hint="eastAsia" w:ascii="仿宋_GB2312" w:hAnsi="仿宋_GB2312" w:eastAsia="仿宋_GB2312" w:cs="仿宋_GB2312"/>
          <w:sz w:val="28"/>
        </w:rPr>
      </w:pPr>
    </w:p>
    <w:p w14:paraId="4B68114B">
      <w:pPr>
        <w:pStyle w:val="4"/>
        <w:rPr>
          <w:rFonts w:hint="eastAsia"/>
        </w:rPr>
      </w:pPr>
    </w:p>
    <w:p w14:paraId="1DF475A6">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有效期：  年  月  日至  年  月  日</w:t>
      </w:r>
    </w:p>
    <w:p w14:paraId="5E88B2D7">
      <w:pPr>
        <w:pStyle w:val="2"/>
        <w:rPr>
          <w:rFonts w:hint="eastAsia"/>
        </w:rPr>
      </w:pPr>
    </w:p>
    <w:p w14:paraId="08DB02FA">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14:paraId="364F09ED">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日期：  年  月  日</w:t>
      </w:r>
    </w:p>
    <w:p w14:paraId="37B3D454">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14:paraId="7BAF38FD">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14:paraId="72405A81">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14:paraId="13B79560">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14:paraId="27F8F98D">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14:paraId="1E329ECF">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Cs/>
          <w:sz w:val="44"/>
          <w:szCs w:val="44"/>
          <w:lang w:val="en-US" w:eastAsia="zh-CN"/>
        </w:rPr>
      </w:pPr>
      <w:r>
        <w:rPr>
          <w:rFonts w:hint="eastAsia" w:ascii="方正小标宋简体" w:hAnsi="方正小标宋简体" w:eastAsia="方正小标宋简体" w:cs="方正小标宋简体"/>
          <w:bCs/>
          <w:sz w:val="44"/>
          <w:szCs w:val="44"/>
          <w:lang w:val="en-US" w:eastAsia="zh-CN"/>
        </w:rPr>
        <w:t>石家庄市环境信息中心</w:t>
      </w:r>
    </w:p>
    <w:p w14:paraId="5CFFF5D4">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城镇污水处理厂在线监测设备参数管控系统服务项目询价告知卡</w:t>
      </w:r>
    </w:p>
    <w:p w14:paraId="78A012C3">
      <w:pPr>
        <w:pStyle w:val="33"/>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rPr>
      </w:pPr>
    </w:p>
    <w:p w14:paraId="5537272C">
      <w:pPr>
        <w:pStyle w:val="3"/>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14:paraId="5AF7AFF6">
      <w:pPr>
        <w:pStyle w:val="3"/>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14:paraId="170BE9EE">
      <w:pPr>
        <w:pStyle w:val="3"/>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我单位官网发布的“城镇污水处理厂在线监测设备参数管控系统项目的询价信息公告”是否阅知？</w:t>
      </w:r>
    </w:p>
    <w:p w14:paraId="0BE241DE">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00E5D730">
      <w:pPr>
        <w:pStyle w:val="3"/>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我单位官网发布的“城镇污水处理厂在线监测设备参数管控系统项目</w:t>
      </w:r>
      <w:r>
        <w:rPr>
          <w:rFonts w:hint="eastAsia" w:ascii="方正小标宋_GBK" w:hAnsi="方正小标宋_GBK" w:eastAsia="方正小标宋_GBK" w:cs="方正小标宋_GBK"/>
          <w:b w:val="0"/>
          <w:bCs/>
          <w:sz w:val="32"/>
          <w:szCs w:val="32"/>
          <w:lang w:val="en-US" w:eastAsia="zh-CN"/>
        </w:rPr>
        <w:t>询价要求及流程</w:t>
      </w:r>
      <w:r>
        <w:rPr>
          <w:rFonts w:hint="eastAsia" w:ascii="方正小标宋_GBK" w:hAnsi="方正小标宋_GBK" w:eastAsia="方正小标宋_GBK" w:cs="方正小标宋_GBK"/>
          <w:b w:val="0"/>
          <w:bCs/>
          <w:sz w:val="32"/>
          <w:szCs w:val="32"/>
        </w:rPr>
        <w:t>”是否阅知？</w:t>
      </w:r>
    </w:p>
    <w:p w14:paraId="552334C1">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12DA847C">
      <w:pPr>
        <w:pStyle w:val="3"/>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我单位官网发布的“城镇污水处理厂在线监测设备参数管控系统项目</w:t>
      </w:r>
      <w:r>
        <w:rPr>
          <w:rFonts w:hint="eastAsia" w:ascii="方正小标宋_GBK" w:hAnsi="方正小标宋_GBK" w:eastAsia="方正小标宋_GBK" w:cs="方正小标宋_GBK"/>
          <w:b w:val="0"/>
          <w:bCs/>
          <w:sz w:val="32"/>
          <w:szCs w:val="32"/>
          <w:lang w:val="en-US" w:eastAsia="zh-CN"/>
        </w:rPr>
        <w:t>工作方案</w:t>
      </w:r>
      <w:r>
        <w:rPr>
          <w:rFonts w:hint="eastAsia" w:ascii="方正小标宋_GBK" w:hAnsi="方正小标宋_GBK" w:eastAsia="方正小标宋_GBK" w:cs="方正小标宋_GBK"/>
          <w:b w:val="0"/>
          <w:bCs/>
          <w:sz w:val="32"/>
          <w:szCs w:val="32"/>
        </w:rPr>
        <w:t>”及采购需求是否阅知？</w:t>
      </w:r>
    </w:p>
    <w:p w14:paraId="7ECCFBAF">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2F775D57">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14:paraId="4ED2573B">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14:paraId="2BBF0E90">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14:paraId="071A7145">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14:paraId="5FE3CC18">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14:paraId="031CDD40">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default"/>
    <w:sig w:usb0="E0002AFF" w:usb1="C0007841" w:usb2="00000009" w:usb3="00000000" w:csb0="400001FF" w:csb1="FFFF0000"/>
  </w:font>
  <w:font w:name="宋体">
    <w:panose1 w:val="02010600030101010101"/>
    <w:charset w:val="7A"/>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modern"/>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530B02">
    <w:pPr>
      <w:pStyle w:val="6"/>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65139C">
    <w:pPr>
      <w:pStyle w:val="6"/>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D3A345">
    <w:pPr>
      <w:pStyle w:val="6"/>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EC0B1F">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3C951">
    <w:pPr>
      <w:pStyle w:val="1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C38552"/>
    <w:multiLevelType w:val="singleLevel"/>
    <w:tmpl w:val="9EC38552"/>
    <w:lvl w:ilvl="0" w:tentative="0">
      <w:start w:val="2"/>
      <w:numFmt w:val="chineseCounting"/>
      <w:suff w:val="nothing"/>
      <w:lvlText w:val="（%1）"/>
      <w:lvlJc w:val="left"/>
      <w:rPr>
        <w:rFonts w:hint="eastAsia"/>
      </w:rPr>
    </w:lvl>
  </w:abstractNum>
  <w:abstractNum w:abstractNumId="1">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10"/>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3">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4">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5">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1"/>
  </w:num>
  <w:num w:numId="2">
    <w:abstractNumId w:val="0"/>
  </w:num>
  <w:num w:numId="3">
    <w:abstractNumId w:val="3"/>
  </w:num>
  <w:num w:numId="4">
    <w:abstractNumId w:val="4"/>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I0ZTQ1ZTFjOTc1ODc1MDIzNWZlYzEwNDJiODdlOTgifQ=="/>
  </w:docVars>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520415"/>
    <w:rsid w:val="01D53C37"/>
    <w:rsid w:val="02B80751"/>
    <w:rsid w:val="03123218"/>
    <w:rsid w:val="031A6FAA"/>
    <w:rsid w:val="034E7427"/>
    <w:rsid w:val="052644F5"/>
    <w:rsid w:val="054637EC"/>
    <w:rsid w:val="05AA1AAE"/>
    <w:rsid w:val="05C20325"/>
    <w:rsid w:val="06FF4152"/>
    <w:rsid w:val="08E14285"/>
    <w:rsid w:val="0B0C5124"/>
    <w:rsid w:val="0BA31992"/>
    <w:rsid w:val="0C63233E"/>
    <w:rsid w:val="0CD60C9A"/>
    <w:rsid w:val="0CDD5D3E"/>
    <w:rsid w:val="0D437ED0"/>
    <w:rsid w:val="0E88796A"/>
    <w:rsid w:val="0EC0759D"/>
    <w:rsid w:val="0EDF32A9"/>
    <w:rsid w:val="0FAE5846"/>
    <w:rsid w:val="105B6A84"/>
    <w:rsid w:val="10BD0069"/>
    <w:rsid w:val="10E34450"/>
    <w:rsid w:val="11E76B9F"/>
    <w:rsid w:val="12192A7F"/>
    <w:rsid w:val="12684593"/>
    <w:rsid w:val="1320369B"/>
    <w:rsid w:val="13325751"/>
    <w:rsid w:val="135D040F"/>
    <w:rsid w:val="13621EEC"/>
    <w:rsid w:val="138564F0"/>
    <w:rsid w:val="13AA5E2B"/>
    <w:rsid w:val="13B660AC"/>
    <w:rsid w:val="13D73627"/>
    <w:rsid w:val="13E41600"/>
    <w:rsid w:val="15A52F2E"/>
    <w:rsid w:val="16FF7D6A"/>
    <w:rsid w:val="17C821C3"/>
    <w:rsid w:val="18C563ED"/>
    <w:rsid w:val="194A05B4"/>
    <w:rsid w:val="1AC66850"/>
    <w:rsid w:val="1B6F0265"/>
    <w:rsid w:val="1B8D5C41"/>
    <w:rsid w:val="1E486234"/>
    <w:rsid w:val="1F012D15"/>
    <w:rsid w:val="1F6623C1"/>
    <w:rsid w:val="20304FD0"/>
    <w:rsid w:val="204E102B"/>
    <w:rsid w:val="21042B4C"/>
    <w:rsid w:val="213868ED"/>
    <w:rsid w:val="219A57C2"/>
    <w:rsid w:val="222840E4"/>
    <w:rsid w:val="22DF2C0B"/>
    <w:rsid w:val="238D0876"/>
    <w:rsid w:val="23973171"/>
    <w:rsid w:val="23C05550"/>
    <w:rsid w:val="24BB6482"/>
    <w:rsid w:val="269404CF"/>
    <w:rsid w:val="275D3454"/>
    <w:rsid w:val="27D2138F"/>
    <w:rsid w:val="27F366D0"/>
    <w:rsid w:val="2805730B"/>
    <w:rsid w:val="28D94CC5"/>
    <w:rsid w:val="28E145A1"/>
    <w:rsid w:val="2901229F"/>
    <w:rsid w:val="29BC1BEA"/>
    <w:rsid w:val="2A962289"/>
    <w:rsid w:val="2B57444A"/>
    <w:rsid w:val="2BCD7650"/>
    <w:rsid w:val="2BEC019E"/>
    <w:rsid w:val="2C770D7D"/>
    <w:rsid w:val="2D5A65C5"/>
    <w:rsid w:val="2D7F55C2"/>
    <w:rsid w:val="2DEB62CF"/>
    <w:rsid w:val="2E922A59"/>
    <w:rsid w:val="2EB57CCE"/>
    <w:rsid w:val="2F811C83"/>
    <w:rsid w:val="2F9013C2"/>
    <w:rsid w:val="3156643E"/>
    <w:rsid w:val="324B300D"/>
    <w:rsid w:val="32BC67A5"/>
    <w:rsid w:val="32D76267"/>
    <w:rsid w:val="332609ED"/>
    <w:rsid w:val="33433250"/>
    <w:rsid w:val="33667B42"/>
    <w:rsid w:val="346A24A1"/>
    <w:rsid w:val="354E2190"/>
    <w:rsid w:val="360A60B7"/>
    <w:rsid w:val="36336D3C"/>
    <w:rsid w:val="37194103"/>
    <w:rsid w:val="37664A4B"/>
    <w:rsid w:val="376A10BB"/>
    <w:rsid w:val="37D31B27"/>
    <w:rsid w:val="38390363"/>
    <w:rsid w:val="3A3F6D53"/>
    <w:rsid w:val="3A9F725A"/>
    <w:rsid w:val="3AB111F7"/>
    <w:rsid w:val="3B2535D0"/>
    <w:rsid w:val="3B6E70E8"/>
    <w:rsid w:val="3B770157"/>
    <w:rsid w:val="3B9308FD"/>
    <w:rsid w:val="3C3314A1"/>
    <w:rsid w:val="3C771D8C"/>
    <w:rsid w:val="3D232155"/>
    <w:rsid w:val="3E4E5F81"/>
    <w:rsid w:val="3ED04B63"/>
    <w:rsid w:val="3F345B9D"/>
    <w:rsid w:val="3FC2791B"/>
    <w:rsid w:val="3FCD703E"/>
    <w:rsid w:val="403959A7"/>
    <w:rsid w:val="42B43088"/>
    <w:rsid w:val="44127729"/>
    <w:rsid w:val="4447497A"/>
    <w:rsid w:val="45330549"/>
    <w:rsid w:val="46252A99"/>
    <w:rsid w:val="47D64CBF"/>
    <w:rsid w:val="486D2B74"/>
    <w:rsid w:val="48825F81"/>
    <w:rsid w:val="48BA422E"/>
    <w:rsid w:val="49862862"/>
    <w:rsid w:val="4A103E4C"/>
    <w:rsid w:val="4B34396A"/>
    <w:rsid w:val="4B562B1E"/>
    <w:rsid w:val="4B9429B0"/>
    <w:rsid w:val="4C900CC1"/>
    <w:rsid w:val="4D4E52B1"/>
    <w:rsid w:val="4E077A90"/>
    <w:rsid w:val="4E197069"/>
    <w:rsid w:val="4E276751"/>
    <w:rsid w:val="4E486040"/>
    <w:rsid w:val="4EBE3A8B"/>
    <w:rsid w:val="4F2C6C47"/>
    <w:rsid w:val="4F42646A"/>
    <w:rsid w:val="4F7E3CB9"/>
    <w:rsid w:val="50120259"/>
    <w:rsid w:val="5096171E"/>
    <w:rsid w:val="50FD61CC"/>
    <w:rsid w:val="51F1301B"/>
    <w:rsid w:val="52B30142"/>
    <w:rsid w:val="52B34A6D"/>
    <w:rsid w:val="535165EE"/>
    <w:rsid w:val="53A05E55"/>
    <w:rsid w:val="53EA4A51"/>
    <w:rsid w:val="545E3EDB"/>
    <w:rsid w:val="546A57C4"/>
    <w:rsid w:val="54BD7D6C"/>
    <w:rsid w:val="54E16872"/>
    <w:rsid w:val="55223BCA"/>
    <w:rsid w:val="55626C37"/>
    <w:rsid w:val="55D3606E"/>
    <w:rsid w:val="56561DB1"/>
    <w:rsid w:val="569F214B"/>
    <w:rsid w:val="56B934B6"/>
    <w:rsid w:val="57364B06"/>
    <w:rsid w:val="580426D3"/>
    <w:rsid w:val="588E44CE"/>
    <w:rsid w:val="59B11BB7"/>
    <w:rsid w:val="59CD4E8E"/>
    <w:rsid w:val="59E77A6F"/>
    <w:rsid w:val="59FF1043"/>
    <w:rsid w:val="5A312564"/>
    <w:rsid w:val="5A431531"/>
    <w:rsid w:val="5B4A3877"/>
    <w:rsid w:val="5B5F0B54"/>
    <w:rsid w:val="5B7F49C4"/>
    <w:rsid w:val="5B8649E8"/>
    <w:rsid w:val="5BBE331C"/>
    <w:rsid w:val="5D995DEF"/>
    <w:rsid w:val="5DAF25FD"/>
    <w:rsid w:val="5EAE0D08"/>
    <w:rsid w:val="5F0919A4"/>
    <w:rsid w:val="5F7606B8"/>
    <w:rsid w:val="601479AF"/>
    <w:rsid w:val="60456754"/>
    <w:rsid w:val="617625B0"/>
    <w:rsid w:val="61817A1F"/>
    <w:rsid w:val="620F2B8A"/>
    <w:rsid w:val="62517FC0"/>
    <w:rsid w:val="62720114"/>
    <w:rsid w:val="627853EA"/>
    <w:rsid w:val="62C14DB6"/>
    <w:rsid w:val="638C03E2"/>
    <w:rsid w:val="64481E81"/>
    <w:rsid w:val="645131D3"/>
    <w:rsid w:val="646A4041"/>
    <w:rsid w:val="64AF5EF8"/>
    <w:rsid w:val="64BB664B"/>
    <w:rsid w:val="657C558F"/>
    <w:rsid w:val="659C40EE"/>
    <w:rsid w:val="66302E0F"/>
    <w:rsid w:val="672B0915"/>
    <w:rsid w:val="67AB00FD"/>
    <w:rsid w:val="67BE26CC"/>
    <w:rsid w:val="680A67C8"/>
    <w:rsid w:val="68837F16"/>
    <w:rsid w:val="68E07AEE"/>
    <w:rsid w:val="69006831"/>
    <w:rsid w:val="69C064B2"/>
    <w:rsid w:val="6A4A6515"/>
    <w:rsid w:val="6A640F76"/>
    <w:rsid w:val="6A68367E"/>
    <w:rsid w:val="6AA726D4"/>
    <w:rsid w:val="6B827669"/>
    <w:rsid w:val="6C8E37E9"/>
    <w:rsid w:val="6DD00BA9"/>
    <w:rsid w:val="6E2C46FB"/>
    <w:rsid w:val="6F125D61"/>
    <w:rsid w:val="70642025"/>
    <w:rsid w:val="70F652BC"/>
    <w:rsid w:val="71407CFA"/>
    <w:rsid w:val="726C6ADB"/>
    <w:rsid w:val="729130E1"/>
    <w:rsid w:val="72BF19FC"/>
    <w:rsid w:val="73B47087"/>
    <w:rsid w:val="743C0E2B"/>
    <w:rsid w:val="74DA48CB"/>
    <w:rsid w:val="751F4904"/>
    <w:rsid w:val="759706CC"/>
    <w:rsid w:val="762941A2"/>
    <w:rsid w:val="76536B40"/>
    <w:rsid w:val="76D36788"/>
    <w:rsid w:val="77D53717"/>
    <w:rsid w:val="780D5216"/>
    <w:rsid w:val="7844327E"/>
    <w:rsid w:val="784D55E5"/>
    <w:rsid w:val="79163CB7"/>
    <w:rsid w:val="7A236D15"/>
    <w:rsid w:val="7AF83FC2"/>
    <w:rsid w:val="7C115EE7"/>
    <w:rsid w:val="7D242C86"/>
    <w:rsid w:val="7DBE5B9D"/>
    <w:rsid w:val="7E1A6E9E"/>
    <w:rsid w:val="7F50046D"/>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8">
    <w:name w:val="heading 1"/>
    <w:basedOn w:val="1"/>
    <w:next w:val="1"/>
    <w:autoRedefine/>
    <w:qFormat/>
    <w:uiPriority w:val="0"/>
    <w:pPr>
      <w:keepNext/>
      <w:jc w:val="left"/>
      <w:outlineLvl w:val="0"/>
    </w:pPr>
    <w:rPr>
      <w:rFonts w:ascii="宋体" w:hAnsi="宋体"/>
      <w:b/>
      <w:sz w:val="32"/>
      <w:szCs w:val="20"/>
    </w:rPr>
  </w:style>
  <w:style w:type="paragraph" w:styleId="9">
    <w:name w:val="heading 2"/>
    <w:basedOn w:val="1"/>
    <w:next w:val="1"/>
    <w:autoRedefine/>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10">
    <w:name w:val="heading 3"/>
    <w:basedOn w:val="1"/>
    <w:next w:val="1"/>
    <w:autoRedefine/>
    <w:unhideWhenUsed/>
    <w:qFormat/>
    <w:uiPriority w:val="0"/>
    <w:pPr>
      <w:keepNext/>
      <w:keepLines/>
      <w:numPr>
        <w:ilvl w:val="2"/>
        <w:numId w:val="1"/>
      </w:numPr>
      <w:spacing w:before="240" w:after="240"/>
      <w:jc w:val="left"/>
      <w:outlineLvl w:val="2"/>
    </w:pPr>
    <w:rPr>
      <w:bCs/>
      <w:szCs w:val="32"/>
    </w:rPr>
  </w:style>
  <w:style w:type="paragraph" w:styleId="11">
    <w:name w:val="heading 4"/>
    <w:basedOn w:val="1"/>
    <w:next w:val="1"/>
    <w:autoRedefine/>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12">
    <w:name w:val="heading 5"/>
    <w:basedOn w:val="1"/>
    <w:next w:val="1"/>
    <w:autoRedefine/>
    <w:unhideWhenUsed/>
    <w:qFormat/>
    <w:uiPriority w:val="0"/>
    <w:pPr>
      <w:keepNext/>
      <w:keepLines/>
      <w:spacing w:before="280" w:after="290" w:line="376" w:lineRule="atLeast"/>
      <w:outlineLvl w:val="4"/>
    </w:pPr>
    <w:rPr>
      <w:bCs/>
      <w:szCs w:val="28"/>
    </w:rPr>
  </w:style>
  <w:style w:type="character" w:default="1" w:styleId="26">
    <w:name w:val="Default Paragraph Font"/>
    <w:autoRedefine/>
    <w:unhideWhenUsed/>
    <w:qFormat/>
    <w:uiPriority w:val="1"/>
  </w:style>
  <w:style w:type="table" w:default="1" w:styleId="24">
    <w:name w:val="Normal Table"/>
    <w:autoRedefine/>
    <w:unhideWhenUsed/>
    <w:qFormat/>
    <w:uiPriority w:val="99"/>
    <w:tblPr>
      <w:tblCellMar>
        <w:top w:w="0" w:type="dxa"/>
        <w:left w:w="108" w:type="dxa"/>
        <w:bottom w:w="0" w:type="dxa"/>
        <w:right w:w="108" w:type="dxa"/>
      </w:tblCellMar>
    </w:tblPr>
  </w:style>
  <w:style w:type="paragraph" w:styleId="2">
    <w:name w:val="Body Text First Indent"/>
    <w:basedOn w:val="3"/>
    <w:next w:val="4"/>
    <w:autoRedefine/>
    <w:unhideWhenUsed/>
    <w:qFormat/>
    <w:uiPriority w:val="99"/>
    <w:pPr>
      <w:ind w:firstLine="420" w:firstLineChars="100"/>
    </w:pPr>
  </w:style>
  <w:style w:type="paragraph" w:styleId="3">
    <w:name w:val="Body Text"/>
    <w:basedOn w:val="1"/>
    <w:next w:val="2"/>
    <w:autoRedefine/>
    <w:qFormat/>
    <w:uiPriority w:val="0"/>
    <w:pPr>
      <w:jc w:val="center"/>
    </w:pPr>
    <w:rPr>
      <w:rFonts w:ascii="宋体"/>
      <w:b/>
      <w:sz w:val="48"/>
    </w:rPr>
  </w:style>
  <w:style w:type="paragraph" w:styleId="4">
    <w:name w:val="Body Text First Indent 2"/>
    <w:basedOn w:val="5"/>
    <w:next w:val="7"/>
    <w:autoRedefine/>
    <w:unhideWhenUsed/>
    <w:qFormat/>
    <w:uiPriority w:val="99"/>
    <w:pPr>
      <w:ind w:firstLine="420" w:firstLineChars="200"/>
    </w:pPr>
  </w:style>
  <w:style w:type="paragraph" w:styleId="5">
    <w:name w:val="Body Text Indent"/>
    <w:basedOn w:val="1"/>
    <w:next w:val="6"/>
    <w:autoRedefine/>
    <w:unhideWhenUsed/>
    <w:qFormat/>
    <w:uiPriority w:val="99"/>
    <w:pPr>
      <w:spacing w:after="120"/>
      <w:ind w:left="420" w:leftChars="200"/>
    </w:pPr>
    <w:rPr>
      <w:rFonts w:ascii="Times New Roman" w:hAnsi="Times New Roman" w:eastAsia="宋体" w:cs="Times New Roman"/>
      <w:szCs w:val="24"/>
    </w:rPr>
  </w:style>
  <w:style w:type="paragraph" w:styleId="6">
    <w:name w:val="footer"/>
    <w:basedOn w:val="1"/>
    <w:next w:val="4"/>
    <w:autoRedefine/>
    <w:qFormat/>
    <w:uiPriority w:val="0"/>
    <w:pPr>
      <w:tabs>
        <w:tab w:val="center" w:pos="4153"/>
        <w:tab w:val="right" w:pos="8306"/>
      </w:tabs>
      <w:snapToGrid w:val="0"/>
      <w:jc w:val="left"/>
    </w:pPr>
    <w:rPr>
      <w:sz w:val="18"/>
    </w:rPr>
  </w:style>
  <w:style w:type="paragraph" w:styleId="7">
    <w:name w:val="List Continue"/>
    <w:basedOn w:val="1"/>
    <w:next w:val="2"/>
    <w:qFormat/>
    <w:uiPriority w:val="0"/>
    <w:pPr>
      <w:spacing w:after="120"/>
      <w:ind w:left="420" w:firstLine="3584"/>
    </w:pPr>
    <w:rPr>
      <w:rFonts w:ascii="Times New Roman" w:hAnsi="Times New Roman" w:eastAsia="宋体" w:cs="Times New Roman"/>
    </w:rPr>
  </w:style>
  <w:style w:type="paragraph" w:styleId="13">
    <w:name w:val="Normal Indent"/>
    <w:basedOn w:val="1"/>
    <w:autoRedefine/>
    <w:qFormat/>
    <w:uiPriority w:val="0"/>
    <w:pPr>
      <w:spacing w:line="360" w:lineRule="auto"/>
      <w:ind w:firstLine="420"/>
    </w:pPr>
    <w:rPr>
      <w:szCs w:val="20"/>
    </w:rPr>
  </w:style>
  <w:style w:type="paragraph" w:styleId="14">
    <w:name w:val="annotation text"/>
    <w:basedOn w:val="1"/>
    <w:link w:val="42"/>
    <w:autoRedefine/>
    <w:qFormat/>
    <w:uiPriority w:val="0"/>
    <w:pPr>
      <w:jc w:val="left"/>
    </w:pPr>
  </w:style>
  <w:style w:type="paragraph" w:styleId="15">
    <w:name w:val="toc 3"/>
    <w:basedOn w:val="1"/>
    <w:next w:val="1"/>
    <w:autoRedefine/>
    <w:qFormat/>
    <w:uiPriority w:val="0"/>
    <w:pPr>
      <w:spacing w:line="400" w:lineRule="exact"/>
      <w:ind w:left="420"/>
      <w:jc w:val="left"/>
    </w:pPr>
    <w:rPr>
      <w:rFonts w:ascii="仿宋_GB2312" w:eastAsia="仿宋_GB2312"/>
      <w:i/>
      <w:iCs/>
      <w:spacing w:val="-20"/>
      <w:sz w:val="13"/>
      <w:szCs w:val="13"/>
    </w:rPr>
  </w:style>
  <w:style w:type="paragraph" w:styleId="16">
    <w:name w:val="Balloon Text"/>
    <w:basedOn w:val="1"/>
    <w:link w:val="44"/>
    <w:autoRedefine/>
    <w:qFormat/>
    <w:uiPriority w:val="0"/>
    <w:rPr>
      <w:sz w:val="18"/>
      <w:szCs w:val="18"/>
    </w:rPr>
  </w:style>
  <w:style w:type="paragraph" w:styleId="17">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autoRedefine/>
    <w:qFormat/>
    <w:uiPriority w:val="0"/>
    <w:pPr>
      <w:spacing w:before="120" w:after="120"/>
      <w:jc w:val="left"/>
    </w:pPr>
    <w:rPr>
      <w:b/>
      <w:bCs/>
      <w:caps/>
    </w:rPr>
  </w:style>
  <w:style w:type="paragraph" w:styleId="19">
    <w:name w:val="toc 4"/>
    <w:basedOn w:val="1"/>
    <w:next w:val="1"/>
    <w:autoRedefine/>
    <w:qFormat/>
    <w:uiPriority w:val="0"/>
    <w:pPr>
      <w:ind w:left="1260" w:leftChars="600"/>
    </w:pPr>
  </w:style>
  <w:style w:type="paragraph" w:styleId="20">
    <w:name w:val="Body Text Indent 3"/>
    <w:basedOn w:val="1"/>
    <w:autoRedefine/>
    <w:qFormat/>
    <w:uiPriority w:val="0"/>
    <w:pPr>
      <w:ind w:firstLine="560" w:firstLineChars="200"/>
    </w:pPr>
    <w:rPr>
      <w:rFonts w:ascii="仿宋_GB2312" w:eastAsia="仿宋_GB2312"/>
      <w:sz w:val="28"/>
    </w:rPr>
  </w:style>
  <w:style w:type="paragraph" w:styleId="21">
    <w:name w:val="toc 2"/>
    <w:basedOn w:val="1"/>
    <w:next w:val="1"/>
    <w:autoRedefine/>
    <w:qFormat/>
    <w:uiPriority w:val="0"/>
    <w:pPr>
      <w:tabs>
        <w:tab w:val="right" w:leader="dot" w:pos="9038"/>
      </w:tabs>
      <w:spacing w:line="60" w:lineRule="atLeast"/>
      <w:ind w:left="210"/>
      <w:jc w:val="left"/>
    </w:pPr>
    <w:rPr>
      <w:smallCaps/>
    </w:rPr>
  </w:style>
  <w:style w:type="paragraph" w:styleId="22">
    <w:name w:val="Normal (Web)"/>
    <w:basedOn w:val="1"/>
    <w:autoRedefine/>
    <w:qFormat/>
    <w:uiPriority w:val="0"/>
    <w:rPr>
      <w:rFonts w:ascii="Calibri" w:hAnsi="Calibri" w:eastAsia="宋体" w:cs="Times New Roman"/>
      <w:sz w:val="24"/>
    </w:rPr>
  </w:style>
  <w:style w:type="paragraph" w:styleId="23">
    <w:name w:val="annotation subject"/>
    <w:basedOn w:val="14"/>
    <w:next w:val="14"/>
    <w:link w:val="43"/>
    <w:autoRedefine/>
    <w:qFormat/>
    <w:uiPriority w:val="0"/>
    <w:rPr>
      <w:b/>
      <w:bCs/>
    </w:rPr>
  </w:style>
  <w:style w:type="table" w:styleId="25">
    <w:name w:val="Table Grid"/>
    <w:basedOn w:val="2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page number"/>
    <w:basedOn w:val="26"/>
    <w:autoRedefine/>
    <w:qFormat/>
    <w:uiPriority w:val="0"/>
  </w:style>
  <w:style w:type="character" w:styleId="28">
    <w:name w:val="Hyperlink"/>
    <w:basedOn w:val="26"/>
    <w:autoRedefine/>
    <w:qFormat/>
    <w:uiPriority w:val="0"/>
    <w:rPr>
      <w:color w:val="0000FF"/>
      <w:u w:val="single"/>
    </w:rPr>
  </w:style>
  <w:style w:type="character" w:styleId="29">
    <w:name w:val="annotation reference"/>
    <w:basedOn w:val="26"/>
    <w:autoRedefine/>
    <w:qFormat/>
    <w:uiPriority w:val="0"/>
    <w:rPr>
      <w:sz w:val="21"/>
      <w:szCs w:val="21"/>
    </w:rPr>
  </w:style>
  <w:style w:type="paragraph" w:customStyle="1" w:styleId="30">
    <w:name w:val="公正文"/>
    <w:basedOn w:val="1"/>
    <w:qFormat/>
    <w:uiPriority w:val="0"/>
    <w:pPr>
      <w:jc w:val="center"/>
    </w:pPr>
    <w:rPr>
      <w:rFonts w:hint="eastAsia" w:ascii="仿宋" w:hAnsi="仿宋"/>
      <w:color w:val="auto"/>
      <w:sz w:val="32"/>
      <w:szCs w:val="36"/>
    </w:rPr>
  </w:style>
  <w:style w:type="paragraph" w:customStyle="1" w:styleId="31">
    <w:name w:val="正文（缩进）"/>
    <w:basedOn w:val="1"/>
    <w:autoRedefine/>
    <w:qFormat/>
    <w:uiPriority w:val="0"/>
    <w:pPr>
      <w:spacing w:before="50" w:after="50"/>
      <w:ind w:firstLine="200" w:firstLineChars="200"/>
    </w:pPr>
  </w:style>
  <w:style w:type="paragraph" w:customStyle="1" w:styleId="32">
    <w:name w:val="Char"/>
    <w:basedOn w:val="1"/>
    <w:autoRedefine/>
    <w:qFormat/>
    <w:uiPriority w:val="0"/>
    <w:rPr>
      <w:szCs w:val="20"/>
    </w:rPr>
  </w:style>
  <w:style w:type="paragraph" w:customStyle="1" w:styleId="33">
    <w:name w:val="表格文字"/>
    <w:basedOn w:val="1"/>
    <w:next w:val="3"/>
    <w:autoRedefine/>
    <w:qFormat/>
    <w:uiPriority w:val="0"/>
    <w:pPr>
      <w:spacing w:line="360" w:lineRule="auto"/>
      <w:jc w:val="left"/>
    </w:pPr>
    <w:rPr>
      <w:rFonts w:ascii="Times New Roman" w:hAnsi="Times New Roman"/>
      <w:bCs/>
      <w:spacing w:val="10"/>
      <w:kern w:val="0"/>
      <w:szCs w:val="21"/>
    </w:rPr>
  </w:style>
  <w:style w:type="paragraph" w:customStyle="1" w:styleId="34">
    <w:name w:val="正文1"/>
    <w:basedOn w:val="35"/>
    <w:autoRedefine/>
    <w:qFormat/>
    <w:uiPriority w:val="0"/>
    <w:pPr>
      <w:jc w:val="both"/>
    </w:pPr>
    <w:rPr>
      <w:rFonts w:ascii="Times New Roman" w:hAnsi="Times New Roman" w:eastAsia="Times New Roman"/>
      <w:sz w:val="21"/>
    </w:rPr>
  </w:style>
  <w:style w:type="paragraph" w:customStyle="1" w:styleId="35">
    <w:name w:val="[Normal]"/>
    <w:autoRedefine/>
    <w:qFormat/>
    <w:uiPriority w:val="0"/>
    <w:rPr>
      <w:rFonts w:ascii="宋体" w:hAnsi="宋体" w:eastAsiaTheme="minorEastAsia" w:cstheme="minorBidi"/>
      <w:sz w:val="24"/>
      <w:szCs w:val="22"/>
      <w:lang w:val="en-US" w:eastAsia="en-US" w:bidi="ar-SA"/>
    </w:rPr>
  </w:style>
  <w:style w:type="paragraph" w:customStyle="1" w:styleId="36">
    <w:name w:val="正文采用"/>
    <w:autoRedefine/>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7">
    <w:name w:val="C503-正文格式"/>
    <w:basedOn w:val="1"/>
    <w:autoRedefine/>
    <w:qFormat/>
    <w:uiPriority w:val="0"/>
    <w:pPr>
      <w:spacing w:line="360" w:lineRule="auto"/>
      <w:ind w:firstLine="480" w:firstLineChars="200"/>
    </w:pPr>
    <w:rPr>
      <w:rFonts w:cs="宋体"/>
      <w:sz w:val="24"/>
      <w:szCs w:val="22"/>
    </w:rPr>
  </w:style>
  <w:style w:type="character" w:customStyle="1" w:styleId="38">
    <w:name w:val="font51"/>
    <w:basedOn w:val="26"/>
    <w:autoRedefine/>
    <w:qFormat/>
    <w:uiPriority w:val="0"/>
    <w:rPr>
      <w:rFonts w:hint="eastAsia" w:ascii="仿宋" w:hAnsi="仿宋" w:eastAsia="仿宋" w:cs="仿宋"/>
      <w:color w:val="000000"/>
      <w:sz w:val="22"/>
      <w:szCs w:val="22"/>
      <w:u w:val="none"/>
    </w:rPr>
  </w:style>
  <w:style w:type="table" w:customStyle="1" w:styleId="39">
    <w:name w:val="网格型8"/>
    <w:basedOn w:val="24"/>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40">
    <w:name w:val="列出段落1"/>
    <w:basedOn w:val="1"/>
    <w:autoRedefine/>
    <w:qFormat/>
    <w:uiPriority w:val="34"/>
    <w:pPr>
      <w:ind w:firstLine="420"/>
    </w:pPr>
  </w:style>
  <w:style w:type="character" w:customStyle="1" w:styleId="41">
    <w:name w:val="font31"/>
    <w:basedOn w:val="26"/>
    <w:autoRedefine/>
    <w:qFormat/>
    <w:uiPriority w:val="0"/>
    <w:rPr>
      <w:rFonts w:hint="eastAsia" w:ascii="宋体" w:hAnsi="宋体" w:eastAsia="宋体" w:cs="宋体"/>
      <w:color w:val="000000"/>
      <w:sz w:val="24"/>
      <w:szCs w:val="24"/>
      <w:u w:val="none"/>
    </w:rPr>
  </w:style>
  <w:style w:type="character" w:customStyle="1" w:styleId="42">
    <w:name w:val="批注文字 字符"/>
    <w:basedOn w:val="26"/>
    <w:link w:val="14"/>
    <w:autoRedefine/>
    <w:qFormat/>
    <w:uiPriority w:val="0"/>
    <w:rPr>
      <w:rFonts w:asciiTheme="minorHAnsi" w:hAnsiTheme="minorHAnsi" w:eastAsiaTheme="minorEastAsia" w:cstheme="minorBidi"/>
      <w:kern w:val="2"/>
      <w:sz w:val="21"/>
      <w:szCs w:val="24"/>
    </w:rPr>
  </w:style>
  <w:style w:type="character" w:customStyle="1" w:styleId="43">
    <w:name w:val="批注主题 字符"/>
    <w:basedOn w:val="42"/>
    <w:link w:val="23"/>
    <w:autoRedefine/>
    <w:qFormat/>
    <w:uiPriority w:val="0"/>
    <w:rPr>
      <w:rFonts w:asciiTheme="minorHAnsi" w:hAnsiTheme="minorHAnsi" w:eastAsiaTheme="minorEastAsia" w:cstheme="minorBidi"/>
      <w:b/>
      <w:bCs/>
      <w:kern w:val="2"/>
      <w:sz w:val="21"/>
      <w:szCs w:val="24"/>
    </w:rPr>
  </w:style>
  <w:style w:type="character" w:customStyle="1" w:styleId="44">
    <w:name w:val="批注框文本 字符"/>
    <w:basedOn w:val="26"/>
    <w:link w:val="16"/>
    <w:autoRedefine/>
    <w:qFormat/>
    <w:uiPriority w:val="0"/>
    <w:rPr>
      <w:rFonts w:asciiTheme="minorHAnsi" w:hAnsiTheme="minorHAnsi" w:eastAsiaTheme="minorEastAsia" w:cstheme="minorBidi"/>
      <w:kern w:val="2"/>
      <w:sz w:val="18"/>
      <w:szCs w:val="18"/>
    </w:rPr>
  </w:style>
  <w:style w:type="paragraph" w:customStyle="1" w:styleId="45">
    <w:name w:val="正文文本缩进1"/>
    <w:basedOn w:val="1"/>
    <w:autoRedefine/>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6">
    <w:name w:val="列表段落1"/>
    <w:basedOn w:val="1"/>
    <w:autoRedefine/>
    <w:qFormat/>
    <w:uiPriority w:val="99"/>
    <w:pPr>
      <w:ind w:firstLine="420" w:firstLineChars="200"/>
    </w:pPr>
  </w:style>
  <w:style w:type="character" w:customStyle="1" w:styleId="47">
    <w:name w:val="未处理的提及1"/>
    <w:basedOn w:val="26"/>
    <w:autoRedefine/>
    <w:unhideWhenUsed/>
    <w:qFormat/>
    <w:uiPriority w:val="99"/>
    <w:rPr>
      <w:color w:val="605E5C"/>
      <w:shd w:val="clear" w:color="auto" w:fill="E1DFDD"/>
    </w:rPr>
  </w:style>
  <w:style w:type="paragraph" w:customStyle="1" w:styleId="48">
    <w:name w:val="正文缩进1"/>
    <w:basedOn w:val="1"/>
    <w:autoRedefine/>
    <w:qFormat/>
    <w:uiPriority w:val="0"/>
    <w:pPr>
      <w:ind w:firstLine="420"/>
    </w:pPr>
  </w:style>
  <w:style w:type="paragraph" w:customStyle="1" w:styleId="49">
    <w:name w:val="_Style 2"/>
    <w:basedOn w:val="1"/>
    <w:next w:val="1"/>
    <w:autoRedefine/>
    <w:qFormat/>
    <w:uiPriority w:val="0"/>
    <w:pPr>
      <w:ind w:firstLine="420" w:firstLineChars="200"/>
    </w:pPr>
  </w:style>
  <w:style w:type="paragraph" w:customStyle="1" w:styleId="50">
    <w:name w:val="正文格式"/>
    <w:basedOn w:val="1"/>
    <w:autoRedefine/>
    <w:qFormat/>
    <w:uiPriority w:val="0"/>
    <w:pPr>
      <w:spacing w:before="190" w:after="190"/>
      <w:ind w:firstLine="480" w:firstLineChars="200"/>
    </w:pPr>
    <w:rPr>
      <w:rFonts w:ascii="宋体" w:hAnsi="宋体"/>
      <w:kern w:val="0"/>
      <w:lang w:val="en-GB"/>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B04EC-07C7-4E0E-AA78-E90E6A301CD3}">
  <ds:schemaRefs/>
</ds:datastoreItem>
</file>

<file path=docProps/app.xml><?xml version="1.0" encoding="utf-8"?>
<Properties xmlns="http://schemas.openxmlformats.org/officeDocument/2006/extended-properties" xmlns:vt="http://schemas.openxmlformats.org/officeDocument/2006/docPropsVTypes">
  <Template>Normal</Template>
  <Pages>27</Pages>
  <Words>8306</Words>
  <Characters>9186</Characters>
  <Lines>38</Lines>
  <Paragraphs>10</Paragraphs>
  <TotalTime>31</TotalTime>
  <ScaleCrop>false</ScaleCrop>
  <LinksUpToDate>false</LinksUpToDate>
  <CharactersWithSpaces>9916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2019-10-28T08:51:00Z</dcterms:created>
  <dc:creator>Administrator</dc:creator>
  <cp:lastModifiedBy>Big-faced cat</cp:lastModifiedBy>
  <cp:lastPrinted>2024-03-26T07:27:00Z</cp:lastPrinted>
  <dcterms:modified xsi:type="dcterms:W3CDTF">2025-11-10T01:57:36Z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E500E3C8FF364EEC98E52636F6B18487_13</vt:lpwstr>
  </property>
  <property fmtid="{D5CDD505-2E9C-101B-9397-08002B2CF9AE}" pid="4" name="KSOTemplateDocerSaveRecord">
    <vt:lpwstr>eyJoZGlkIjoiZWU5OWJjNmY0OTA1ZDBjNjFiNGM5NDUxZWNjYmExYzEiLCJ1c2VySWQiOiI5NjE2MTgwIn0=</vt:lpwstr>
  </property>
</Properties>
</file>