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石家庄市生态环境综合执法支队</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关于物业服务及大院运行项目的询价信息公告</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val="en-US" w:eastAsia="zh-CN"/>
        </w:rPr>
        <w:t>石家庄市生态环境综合执法支队物业服务及大院运行项目（预算金额：</w:t>
      </w:r>
      <w:r>
        <w:rPr>
          <w:rFonts w:hint="eastAsia" w:ascii="仿宋_GB2312" w:hAnsi="仿宋_GB2312" w:eastAsia="仿宋_GB2312" w:cs="仿宋_GB2312"/>
          <w:bCs/>
          <w:sz w:val="32"/>
          <w:szCs w:val="32"/>
          <w:u w:val="single"/>
          <w:lang w:val="en-US" w:eastAsia="zh-CN"/>
        </w:rPr>
        <w:t>69</w:t>
      </w:r>
      <w:r>
        <w:rPr>
          <w:rFonts w:hint="eastAsia" w:ascii="仿宋_GB2312" w:hAnsi="仿宋_GB2312" w:eastAsia="仿宋_GB2312" w:cs="仿宋_GB2312"/>
          <w:bCs/>
          <w:sz w:val="32"/>
          <w:szCs w:val="32"/>
          <w:lang w:val="en-US" w:eastAsia="zh-CN"/>
        </w:rPr>
        <w:t>万）</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auto"/>
          <w:sz w:val="32"/>
          <w:szCs w:val="32"/>
          <w:u w:val="single"/>
        </w:rPr>
        <w:t>20</w:t>
      </w:r>
      <w:r>
        <w:rPr>
          <w:rFonts w:hint="eastAsia" w:ascii="仿宋_GB2312" w:hAnsi="仿宋_GB2312" w:eastAsia="仿宋_GB2312" w:cs="仿宋_GB2312"/>
          <w:b/>
          <w:bCs w:val="0"/>
          <w:color w:val="auto"/>
          <w:sz w:val="32"/>
          <w:szCs w:val="32"/>
          <w:u w:val="single"/>
          <w:lang w:val="en-US" w:eastAsia="zh-CN"/>
        </w:rPr>
        <w:t>25</w:t>
      </w:r>
      <w:r>
        <w:rPr>
          <w:rFonts w:hint="eastAsia" w:ascii="仿宋_GB2312" w:hAnsi="仿宋_GB2312" w:eastAsia="仿宋_GB2312" w:cs="仿宋_GB2312"/>
          <w:b/>
          <w:bCs w:val="0"/>
          <w:color w:val="auto"/>
          <w:sz w:val="32"/>
          <w:szCs w:val="32"/>
          <w:u w:val="single"/>
        </w:rPr>
        <w:t>年</w:t>
      </w:r>
      <w:r>
        <w:rPr>
          <w:rFonts w:hint="eastAsia" w:ascii="仿宋_GB2312" w:hAnsi="仿宋_GB2312" w:eastAsia="仿宋_GB2312" w:cs="仿宋_GB2312"/>
          <w:b/>
          <w:bCs w:val="0"/>
          <w:color w:val="auto"/>
          <w:sz w:val="32"/>
          <w:szCs w:val="32"/>
          <w:u w:val="single"/>
          <w:lang w:val="en-US" w:eastAsia="zh-CN"/>
        </w:rPr>
        <w:t>10</w:t>
      </w:r>
      <w:r>
        <w:rPr>
          <w:rFonts w:hint="eastAsia" w:ascii="仿宋_GB2312" w:hAnsi="仿宋_GB2312" w:eastAsia="仿宋_GB2312" w:cs="仿宋_GB2312"/>
          <w:b/>
          <w:bCs w:val="0"/>
          <w:color w:val="auto"/>
          <w:sz w:val="32"/>
          <w:szCs w:val="32"/>
          <w:u w:val="single"/>
        </w:rPr>
        <w:t>月</w:t>
      </w:r>
      <w:r>
        <w:rPr>
          <w:rFonts w:hint="eastAsia" w:ascii="仿宋_GB2312" w:hAnsi="仿宋_GB2312" w:eastAsia="仿宋_GB2312" w:cs="仿宋_GB2312"/>
          <w:b/>
          <w:bCs w:val="0"/>
          <w:color w:val="auto"/>
          <w:sz w:val="32"/>
          <w:szCs w:val="32"/>
          <w:u w:val="single"/>
          <w:lang w:val="en-US" w:eastAsia="zh-CN"/>
        </w:rPr>
        <w:t>20</w:t>
      </w:r>
      <w:r>
        <w:rPr>
          <w:rFonts w:hint="eastAsia" w:ascii="仿宋_GB2312" w:hAnsi="仿宋_GB2312" w:eastAsia="仿宋_GB2312" w:cs="仿宋_GB2312"/>
          <w:b/>
          <w:bCs w:val="0"/>
          <w:color w:val="auto"/>
          <w:sz w:val="32"/>
          <w:szCs w:val="32"/>
          <w:u w:val="single"/>
        </w:rPr>
        <w:t>日（星期</w:t>
      </w:r>
      <w:r>
        <w:rPr>
          <w:rFonts w:hint="eastAsia" w:ascii="仿宋_GB2312" w:hAnsi="仿宋_GB2312" w:eastAsia="仿宋_GB2312" w:cs="仿宋_GB2312"/>
          <w:b/>
          <w:bCs w:val="0"/>
          <w:color w:val="auto"/>
          <w:sz w:val="32"/>
          <w:szCs w:val="32"/>
          <w:u w:val="single"/>
          <w:lang w:eastAsia="zh-CN"/>
        </w:rPr>
        <w:t>一</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eastAsia="zh-CN"/>
        </w:rPr>
        <w:t>上午</w:t>
      </w:r>
      <w:r>
        <w:rPr>
          <w:rFonts w:hint="eastAsia" w:ascii="仿宋_GB2312" w:hAnsi="仿宋_GB2312" w:eastAsia="仿宋_GB2312" w:cs="仿宋_GB2312"/>
          <w:b/>
          <w:bCs w:val="0"/>
          <w:color w:val="auto"/>
          <w:sz w:val="32"/>
          <w:szCs w:val="32"/>
          <w:u w:val="single"/>
          <w:lang w:val="en-US" w:eastAsia="zh-CN"/>
        </w:rPr>
        <w:t>10点</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eastAsia="zh-CN"/>
        </w:rPr>
        <w:t>槐安路</w:t>
      </w:r>
      <w:r>
        <w:rPr>
          <w:rFonts w:hint="eastAsia" w:ascii="仿宋_GB2312" w:hAnsi="仿宋_GB2312" w:eastAsia="仿宋_GB2312" w:cs="仿宋_GB2312"/>
          <w:b/>
          <w:bCs w:val="0"/>
          <w:color w:val="auto"/>
          <w:sz w:val="32"/>
          <w:szCs w:val="32"/>
          <w:lang w:val="en-US" w:eastAsia="zh-CN"/>
        </w:rPr>
        <w:t>9号3楼会议室</w:t>
      </w:r>
      <w:r>
        <w:rPr>
          <w:rFonts w:hint="eastAsia" w:ascii="仿宋_GB2312" w:hAnsi="仿宋_GB2312" w:eastAsia="仿宋_GB2312" w:cs="仿宋_GB2312"/>
          <w:b/>
          <w:bCs w:val="0"/>
          <w:color w:val="auto"/>
          <w:sz w:val="32"/>
          <w:szCs w:val="32"/>
        </w:rPr>
        <w:t>。</w:t>
      </w:r>
      <w:bookmarkStart w:id="0" w:name="_GoBack"/>
      <w:bookmarkEnd w:id="0"/>
    </w:p>
    <w:p>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董国壮</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color w:val="auto"/>
          <w:sz w:val="32"/>
          <w:szCs w:val="32"/>
          <w:highlight w:val="none"/>
          <w:lang w:val="en-US" w:eastAsia="zh-CN"/>
        </w:rPr>
        <w:t>0311-85896719</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lang w:val="en-US" w:eastAsia="zh-CN"/>
        </w:rPr>
        <w:t>师晓威，联系电话：0311-85880697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pStyle w:val="22"/>
        <w:keepNext w:val="0"/>
        <w:keepLines w:val="0"/>
        <w:pageBreakBefore w:val="0"/>
        <w:kinsoku/>
        <w:wordWrap/>
        <w:overflowPunct/>
        <w:topLinePunct w:val="0"/>
        <w:autoSpaceDE/>
        <w:autoSpaceDN/>
        <w:bidi w:val="0"/>
        <w:spacing w:after="0" w:line="560" w:lineRule="exact"/>
        <w:ind w:right="0" w:rightChars="0"/>
        <w:textAlignment w:val="auto"/>
        <w:rPr>
          <w:rFonts w:hint="eastAsia"/>
          <w:sz w:val="32"/>
          <w:szCs w:val="32"/>
        </w:rPr>
      </w:pP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highlight w:val="none"/>
          <w:lang w:val="en-US" w:eastAsia="zh-CN"/>
        </w:rPr>
        <w:t xml:space="preserve">   石家庄市生态环境综合执法支队         </w:t>
      </w:r>
    </w:p>
    <w:p>
      <w:pPr>
        <w:keepNext w:val="0"/>
        <w:keepLines w:val="0"/>
        <w:pageBreakBefore w:val="0"/>
        <w:kinsoku/>
        <w:wordWrap w:val="0"/>
        <w:overflowPunct/>
        <w:topLinePunct w:val="0"/>
        <w:autoSpaceDE/>
        <w:autoSpaceDN/>
        <w:bidi w:val="0"/>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25</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10</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14</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石家庄市生态环境综合执法支队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物业服务及大院运行项目</w:t>
      </w:r>
      <w:r>
        <w:rPr>
          <w:rFonts w:hint="eastAsia" w:ascii="方正小标宋简体" w:hAnsi="方正小标宋_GBK" w:eastAsia="方正小标宋简体" w:cs="方正小标宋_GBK"/>
          <w:bCs/>
          <w:sz w:val="44"/>
          <w:szCs w:val="44"/>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石家庄市生态环境综合执法支队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物业管理服务项目工作方案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根据石家庄市机关事务管理局和石家庄市财政局《关于党政机关办公楼（区）物业管理服务内容及费用标准的指导意见（暂行）》及</w:t>
      </w:r>
      <w:r>
        <w:rPr>
          <w:rFonts w:hint="eastAsia" w:ascii="仿宋_GB2312" w:hAnsi="仿宋_GB2312" w:eastAsia="仿宋_GB2312" w:cs="仿宋_GB2312"/>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sz w:val="32"/>
          <w:szCs w:val="32"/>
          <w:highlight w:val="none"/>
          <w:lang w:val="en-US" w:eastAsia="zh-CN"/>
        </w:rPr>
        <w:t>2021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3号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bCs/>
          <w:sz w:val="32"/>
          <w:szCs w:val="32"/>
        </w:rPr>
        <w:t>我单位</w:t>
      </w:r>
      <w:r>
        <w:rPr>
          <w:rFonts w:hint="eastAsia" w:ascii="仿宋_GB2312" w:hAnsi="仿宋_GB2312" w:eastAsia="仿宋_GB2312" w:cs="仿宋_GB2312"/>
          <w:bCs/>
          <w:sz w:val="32"/>
          <w:szCs w:val="32"/>
          <w:lang w:eastAsia="zh-CN"/>
        </w:rPr>
        <w:t>按照政府采购相关规定及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val="en-US" w:eastAsia="zh-CN"/>
        </w:rPr>
        <w:t>石家庄市</w:t>
      </w:r>
      <w:r>
        <w:rPr>
          <w:rFonts w:hint="eastAsia" w:ascii="仿宋_GB2312" w:hAnsi="仿宋_GB2312" w:eastAsia="仿宋_GB2312" w:cs="仿宋_GB2312"/>
          <w:bCs/>
          <w:sz w:val="32"/>
          <w:szCs w:val="32"/>
          <w:lang w:eastAsia="zh-CN"/>
        </w:rPr>
        <w:t>生态环境</w:t>
      </w:r>
      <w:r>
        <w:rPr>
          <w:rFonts w:hint="eastAsia" w:ascii="仿宋_GB2312" w:hAnsi="仿宋_GB2312" w:eastAsia="仿宋_GB2312" w:cs="仿宋_GB2312"/>
          <w:bCs/>
          <w:sz w:val="32"/>
          <w:szCs w:val="32"/>
          <w:lang w:val="en-US" w:eastAsia="zh-CN"/>
        </w:rPr>
        <w:t>综合执法支队</w:t>
      </w:r>
      <w:r>
        <w:rPr>
          <w:rFonts w:hint="eastAsia" w:ascii="仿宋_GB2312" w:hAnsi="仿宋_GB2312" w:eastAsia="仿宋_GB2312" w:cs="仿宋_GB2312"/>
          <w:bCs/>
          <w:sz w:val="32"/>
          <w:szCs w:val="32"/>
          <w:lang w:eastAsia="zh-CN"/>
        </w:rPr>
        <w:t>物业管理服务</w:t>
      </w:r>
      <w:r>
        <w:rPr>
          <w:rFonts w:hint="eastAsia" w:ascii="仿宋_GB2312" w:hAnsi="仿宋_GB2312" w:eastAsia="仿宋_GB2312" w:cs="仿宋_GB2312"/>
          <w:bCs/>
          <w:sz w:val="32"/>
          <w:szCs w:val="32"/>
          <w:lang w:val="en-US" w:eastAsia="zh-CN"/>
        </w:rPr>
        <w:t>项目</w:t>
      </w:r>
      <w:r>
        <w:rPr>
          <w:rFonts w:hint="eastAsia" w:ascii="仿宋_GB2312" w:hAnsi="仿宋_GB2312" w:eastAsia="仿宋_GB2312" w:cs="仿宋_GB2312"/>
          <w:bCs/>
          <w:sz w:val="32"/>
          <w:szCs w:val="32"/>
        </w:rPr>
        <w:t>询价工作，</w:t>
      </w:r>
      <w:r>
        <w:rPr>
          <w:rFonts w:hint="eastAsia" w:ascii="仿宋_GB2312" w:hAnsi="仿宋_GB2312" w:eastAsia="仿宋_GB2312" w:cs="仿宋_GB2312"/>
          <w:bCs/>
          <w:sz w:val="32"/>
          <w:szCs w:val="32"/>
          <w:lang w:eastAsia="zh-CN"/>
        </w:rPr>
        <w:t>制定工作方案。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一、项目概况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我单位行政办公楼位于石家庄市桥西区槐安西路9号院，</w:t>
      </w:r>
      <w:r>
        <w:rPr>
          <w:rFonts w:hint="eastAsia" w:ascii="仿宋_GB2312" w:hAnsi="仿宋_GB2312" w:eastAsia="仿宋_GB2312" w:cs="仿宋_GB2312"/>
          <w:sz w:val="32"/>
          <w:szCs w:val="32"/>
          <w:highlight w:val="none"/>
          <w:lang w:val="en-US" w:eastAsia="zh-CN"/>
        </w:rPr>
        <w:t>共有宗地面积3099.67平方米，</w:t>
      </w:r>
      <w:r>
        <w:rPr>
          <w:rFonts w:hint="eastAsia" w:ascii="仿宋_GB2312" w:hAnsi="仿宋_GB2312" w:eastAsia="仿宋_GB2312" w:cs="仿宋_GB2312"/>
          <w:b w:val="0"/>
          <w:bCs w:val="0"/>
          <w:sz w:val="32"/>
          <w:szCs w:val="32"/>
          <w:highlight w:val="none"/>
          <w:lang w:val="en-US" w:eastAsia="zh-CN"/>
        </w:rPr>
        <w:t>办公用房建筑面积约6284平方米，大院面积约4000平方米。根据石家庄市机关事务管理局和石家庄市财政局《关于党政机关办公楼（区）物业管理服务内容及费用标准的指导意见（暂行）》及</w:t>
      </w:r>
      <w:r>
        <w:rPr>
          <w:rFonts w:hint="eastAsia" w:ascii="仿宋_GB2312" w:hAnsi="仿宋_GB2312" w:eastAsia="仿宋_GB2312" w:cs="仿宋_GB2312"/>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sz w:val="32"/>
          <w:szCs w:val="32"/>
          <w:highlight w:val="none"/>
          <w:lang w:val="en-US" w:eastAsia="zh-CN"/>
        </w:rPr>
        <w:t>2021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3号规定内容。</w:t>
      </w:r>
      <w:r>
        <w:rPr>
          <w:rFonts w:hint="eastAsia" w:ascii="仿宋_GB2312" w:hAnsi="仿宋_GB2312" w:eastAsia="仿宋_GB2312" w:cs="仿宋_GB2312"/>
          <w:b w:val="0"/>
          <w:bCs w:val="0"/>
          <w:sz w:val="32"/>
          <w:szCs w:val="32"/>
          <w:highlight w:val="none"/>
          <w:lang w:val="en-US" w:eastAsia="zh-CN"/>
        </w:rPr>
        <w:t>为满足日常办公需要，拟购买物业管理服务。</w:t>
      </w:r>
    </w:p>
    <w:p>
      <w:pPr>
        <w:numPr>
          <w:ilvl w:val="0"/>
          <w:numId w:val="2"/>
        </w:numPr>
        <w:spacing w:line="560" w:lineRule="exact"/>
        <w:ind w:firstLine="640" w:firstLineChars="200"/>
        <w:jc w:val="left"/>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工作内容及标准</w:t>
      </w:r>
    </w:p>
    <w:p>
      <w:pPr>
        <w:numPr>
          <w:ilvl w:val="0"/>
          <w:numId w:val="0"/>
        </w:numPr>
        <w:spacing w:line="560" w:lineRule="exact"/>
        <w:ind w:firstLine="643"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1.物业服务及大院运行人员构成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公共区域保洁及绿化服务，保洁及绿化人员4人。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大院秩序维护4人。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消防监控室值班服务2人。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工程设施设备运行及维护2人。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供暖运行服务2人（5个月）。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2.物业服务及大院运行服务内容及标准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1）保洁及绿化服务内容及标准：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日常保洁方式及工作内容：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保洁方式：人员管理不包含保洁工具及保洁物耗。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保洁服务内容:所有公共区域</w:t>
      </w:r>
      <w:r>
        <w:rPr>
          <w:rFonts w:hint="eastAsia" w:ascii="仿宋_GB2312" w:hAnsi="仿宋_GB2312" w:eastAsia="仿宋_GB2312" w:cs="仿宋_GB2312"/>
          <w:color w:val="auto"/>
          <w:sz w:val="32"/>
          <w:szCs w:val="32"/>
          <w:highlight w:val="none"/>
          <w:lang w:val="en-US" w:eastAsia="zh-CN"/>
        </w:rPr>
        <w:t>的</w:t>
      </w:r>
      <w:r>
        <w:rPr>
          <w:rFonts w:hint="eastAsia" w:ascii="仿宋_GB2312" w:hAnsi="仿宋_GB2312" w:eastAsia="仿宋_GB2312" w:cs="仿宋_GB2312"/>
          <w:sz w:val="32"/>
          <w:szCs w:val="32"/>
          <w:highlight w:val="none"/>
          <w:lang w:val="en-US" w:eastAsia="zh-CN"/>
        </w:rPr>
        <w:t>保洁，含地面、墙面、地垫、标牌、挂件、墙壁开关、垃圾箱、一楼大厅保洁墙面、玻璃高度三米以下等；公用部分的保洁，含电梯间地面墙面、楼梯、卫生间、盥洗间、开水间、大院硬化部分的保洁；负责公共区域玻璃的保洁；负责各楼层的办公室门外部的保洁（每月1次）；每年</w:t>
      </w:r>
      <w:r>
        <w:rPr>
          <w:rFonts w:hint="eastAsia" w:ascii="仿宋_GB2312" w:hAnsi="仿宋_GB2312" w:eastAsia="仿宋_GB2312" w:cs="仿宋_GB2312"/>
          <w:color w:val="auto"/>
          <w:sz w:val="32"/>
          <w:szCs w:val="32"/>
          <w:highlight w:val="none"/>
          <w:lang w:val="en-US" w:eastAsia="zh-CN"/>
        </w:rPr>
        <w:t>3月15日</w:t>
      </w:r>
      <w:r>
        <w:rPr>
          <w:rFonts w:hint="eastAsia" w:ascii="仿宋_GB2312" w:hAnsi="仿宋_GB2312" w:eastAsia="仿宋_GB2312" w:cs="仿宋_GB2312"/>
          <w:sz w:val="32"/>
          <w:szCs w:val="32"/>
          <w:highlight w:val="none"/>
          <w:lang w:val="en-US" w:eastAsia="zh-CN"/>
        </w:rPr>
        <w:t>至11月15日每星期六或日清洗广场硬化地面（不少于25次）冬季扫雪由承包方全部负责，无论积雪大小，早8:30前通行道路必须清扫干净；负责院内硬化地面的日常保洁；按垃圾收集分类要求进行垃圾清运，将垃圾清运到卫生部门指定的垃圾转运点；负责劝阻、纠正违反清洁管理规定的行为；协助甲方做好防“四害”消杀的摆放工作；协助甲方做好节水节电、防火及各项设备报修工作；定期养护辖区绿化（包含施肥、浇水、修剪、病虫害防治）；其他临时性保洁必须马上到位（超出范围费用另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大厅卫生标准：平台及台阶无杂物、无烟头、无纸屑、无污渍、无痰迹、无积水；玻璃窗、玻璃门无浮尘、无污渍、无手印、光洁明亮；地面、墙面光亮洁净、无杂物、无污渍，设施洁净，手触无尘土。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公共部位卫生标准：各层地面无烟头、纸屑、无污迹、保持干净；墙面、墙裙、墙角线保持干净、无灰尘、无污迹；所门窗保持干净，玻璃明亮，无痕迹；应急灯、指示牌保持干净，无灰尘；各类设备、管道及开关无灰尘、无油污、无蜘蛛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步行梯卫生标准：台阶、平台无痰迹、灰尘、烟头、杂物等；楼梯扶手护栏明亮、无灰尘、污迹等；踢脚线、护栏台面无烟头、杂物等。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卫生间保洁标准：小便池、大便池无污垢、无水锈、无烟头、无杂物；洗手间墙面、洗手池无灰尘、无蜘蛛网、无污迹、无乱摆乱放现象；洗手间无杂物，各种工具按指定位置摆放整齐；洗手间地面随时保持干净；墩布池内无污迹、无积水、无杂物；洗手间各部位地漏平时要加盖；卫生桶、垃圾桶、茶根桶、痰盂桶要随时清理，保持干净；垃圾桶的垃圾做到每日一清，周围墙面、地面要保持干净，垃圾桶内杂物不超过八分满，保证垃圾不过夜；卫生桶的烟头不得超过5个，茶根桶的水不超过10厘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大院卫生标准：大院地面干净整洁、无树叶、无垃圾、无杂物、无沙石；对大门自动门、门洞和大理石墙面指定专人擦洗，始终保持干净整洁；对大院各部位存放的垃圾箱每日清擦一遍，时刻保持干净，桶内无堆积物、纸屑，严防烟头燃起明火。</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绿化养护标准：</w:t>
      </w:r>
      <w:r>
        <w:rPr>
          <w:rFonts w:hint="default" w:ascii="仿宋_GB2312" w:hAnsi="仿宋_GB2312" w:eastAsia="仿宋_GB2312" w:cs="仿宋_GB2312"/>
          <w:sz w:val="32"/>
          <w:szCs w:val="32"/>
          <w:highlight w:val="none"/>
          <w:lang w:val="en-US" w:eastAsia="zh-CN"/>
        </w:rPr>
        <w:t>根据植物生态习性，合理修剪，剪口平滑，树形整齐美观，枝繁叶茂</w:t>
      </w:r>
      <w:r>
        <w:rPr>
          <w:rFonts w:hint="eastAsia" w:ascii="仿宋_GB2312" w:hAnsi="仿宋_GB2312" w:eastAsia="仿宋_GB2312" w:cs="仿宋_GB2312"/>
          <w:sz w:val="32"/>
          <w:szCs w:val="32"/>
          <w:highlight w:val="none"/>
          <w:lang w:val="en-US" w:eastAsia="zh-CN"/>
        </w:rPr>
        <w:t>；绿篱</w:t>
      </w:r>
      <w:r>
        <w:rPr>
          <w:rFonts w:hint="default" w:ascii="仿宋_GB2312" w:hAnsi="仿宋_GB2312" w:eastAsia="仿宋_GB2312" w:cs="仿宋_GB2312"/>
          <w:sz w:val="32"/>
          <w:szCs w:val="32"/>
          <w:highlight w:val="none"/>
          <w:lang w:val="en-US" w:eastAsia="zh-CN"/>
        </w:rPr>
        <w:t>生长旺盛、修剪整齐、合理、无死株、无明显缺档</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草坪生长繁茂、平整、无杂草，高度控制在10厘米左右，无明显裸露地面，无成片枯黄。枯黄面不得超过总面积的3％</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花坛(台)、草坪等绿地</w:t>
      </w:r>
      <w:r>
        <w:rPr>
          <w:rFonts w:hint="eastAsia" w:ascii="仿宋_GB2312" w:hAnsi="仿宋_GB2312" w:eastAsia="仿宋_GB2312" w:cs="仿宋_GB2312"/>
          <w:color w:val="auto"/>
          <w:sz w:val="32"/>
          <w:szCs w:val="32"/>
          <w:highlight w:val="none"/>
          <w:lang w:val="en-US" w:eastAsia="zh-CN"/>
        </w:rPr>
        <w:t>内</w:t>
      </w:r>
      <w:r>
        <w:rPr>
          <w:rFonts w:hint="default" w:ascii="仿宋_GB2312" w:hAnsi="仿宋_GB2312" w:eastAsia="仿宋_GB2312" w:cs="仿宋_GB2312"/>
          <w:sz w:val="32"/>
          <w:szCs w:val="32"/>
          <w:highlight w:val="none"/>
          <w:lang w:val="en-US" w:eastAsia="zh-CN"/>
        </w:rPr>
        <w:t>保持无杂草生长，无杂藤攀授树木</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无污物、垃圾等</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树木花草无明显病虫危害症状，病虫害危害率控制在10％以下无药害现象</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基本无人为损害花草树木</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基本无死树，无明显枯枝</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古树名木挂牌、建档管理，有保护复壮措施</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2）秩序及消防监控服务内容及标准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秩序服务内容：提前5分钟到岗，做好交接班工作；保持仪表整洁，举止、言语礼貌；主要负责辖区主入口门卫工作；做好访客登记、询问事宜，如无需要，一律不得进入与己无关的场所。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发现事故，及时予以监控，迅速报告并及时疏散人群，确保无危险事故放生；做好各项施工监管工作；负责整个辖区的秩序维护运作，以达至最高水平；熟悉掌握辖区保安监视装置及功能，做好下属员工的治安教育及培训工作；如有发生突发事件，应立即赶到现场，保护好现场，并配合有关部门做好调查工作，同时报告项目经理；重大活动时，按采购人要求增加秩序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3）消防控制室值班工作内容及标准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严格遵守国家的法律、法规和</w:t>
      </w:r>
      <w:r>
        <w:rPr>
          <w:rFonts w:hint="eastAsia" w:ascii="仿宋_GB2312" w:hAnsi="仿宋_GB2312" w:eastAsia="仿宋_GB2312" w:cs="仿宋_GB2312"/>
          <w:sz w:val="32"/>
          <w:szCs w:val="32"/>
          <w:highlight w:val="none"/>
          <w:lang w:val="en-US" w:eastAsia="zh-CN"/>
        </w:rPr>
        <w:t>单位</w:t>
      </w:r>
      <w:r>
        <w:rPr>
          <w:rFonts w:hint="default" w:ascii="仿宋_GB2312" w:hAnsi="仿宋_GB2312" w:eastAsia="仿宋_GB2312" w:cs="仿宋_GB2312"/>
          <w:sz w:val="32"/>
          <w:szCs w:val="32"/>
          <w:highlight w:val="none"/>
          <w:lang w:val="en-US" w:eastAsia="zh-CN"/>
        </w:rPr>
        <w:t>的各项规章制度。了解和掌握消防报警控制设备设施各项性能指标及操作方法，熟悉相关专业理论知识和安全操作规程，持证上岗</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能识别火灾报警控制器、消防联动控制器、消防控制室图形显示装置</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能使用火灾报警控制器完成自检、消音、复位的操作</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能检查火灾报警控制器主备电源工作状态并填写《消防控制室值班记录》</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能通过报警控制器信号显示，查看报警信息、故障信息、屏蔽信息，查明火灾报警部位、故障部位和屏蔽部位</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及时现场确认火警，能处理误报火警，并恢复控制系统正常工作状态</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能在火灾确认后，及时启动火警处置程序，会使用手动火灾报警按钮报警</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发现设备设施故障时，及时通知值班领导进行修理维护，不得擅自拆卸、挪用和停用设备设施。主动配合相关人员进行设备设施检修和维护并如实登记</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消防控制室值班人员应认真填写值班检查记录等</w:t>
      </w:r>
      <w:r>
        <w:rPr>
          <w:rFonts w:hint="eastAsia" w:ascii="仿宋_GB2312" w:hAnsi="仿宋_GB2312" w:eastAsia="仿宋_GB2312" w:cs="仿宋_GB2312"/>
          <w:color w:val="auto"/>
          <w:sz w:val="32"/>
          <w:szCs w:val="32"/>
          <w:highlight w:val="none"/>
          <w:lang w:val="en-US" w:eastAsia="zh-CN"/>
        </w:rPr>
        <w:t>台账</w:t>
      </w:r>
      <w:r>
        <w:rPr>
          <w:rFonts w:hint="default" w:ascii="仿宋_GB2312" w:hAnsi="仿宋_GB2312" w:eastAsia="仿宋_GB2312" w:cs="仿宋_GB2312"/>
          <w:color w:val="auto"/>
          <w:sz w:val="32"/>
          <w:szCs w:val="32"/>
          <w:highlight w:val="none"/>
          <w:lang w:val="en-US" w:eastAsia="zh-CN"/>
        </w:rPr>
        <w:t>资料。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default" w:ascii="仿宋_GB2312" w:hAnsi="仿宋_GB2312" w:eastAsia="仿宋_GB2312" w:cs="仿宋_GB2312"/>
          <w:sz w:val="32"/>
          <w:szCs w:val="32"/>
          <w:highlight w:val="none"/>
          <w:lang w:val="en-US" w:eastAsia="zh-CN"/>
        </w:rPr>
        <w:t>保持室内清洁卫生，设施设备无污渍、无尘土，室内物品摆放整齐、墙面、地面洁净；妥善保管和使用控制室内相关设备设施和各种公用物品，杜绝丢失和损坏，并做好领用借用登记</w:t>
      </w:r>
      <w:r>
        <w:rPr>
          <w:rFonts w:hint="eastAsia" w:ascii="仿宋_GB2312" w:hAnsi="仿宋_GB2312" w:eastAsia="仿宋_GB2312" w:cs="仿宋_GB2312"/>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表1：执勤、车辆管理、消防服务标准表</w:t>
      </w:r>
    </w:p>
    <w:tbl>
      <w:tblPr>
        <w:tblStyle w:val="23"/>
        <w:tblW w:w="81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950"/>
        <w:gridCol w:w="62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72"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工作项目</w:t>
            </w:r>
          </w:p>
        </w:tc>
        <w:tc>
          <w:tcPr>
            <w:tcW w:w="6233" w:type="dxa"/>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工作内容与应达到的要求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70"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值勤方面</w:t>
            </w:r>
          </w:p>
        </w:tc>
        <w:tc>
          <w:tcPr>
            <w:tcW w:w="6233" w:type="dxa"/>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1、文明上岗、礼貌值勤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2、着装整齐、仪表端正，精神饱满，有良好的秩序形象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3、交接班认真、登记详细明了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4、无脱岗、睡岗、串岗现象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5、值勤期间不看书报、听收音机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6、严禁无关人员在岗上停留、调侃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7、严禁值勤时粗心大意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8、严禁离开本人执勤责任区域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85"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做好进出车辆引导、疏导、管理工作，制定车辆管理的规章制度</w:t>
            </w:r>
          </w:p>
        </w:tc>
        <w:tc>
          <w:tcPr>
            <w:tcW w:w="6233" w:type="dxa"/>
            <w:vAlign w:val="center"/>
          </w:tcPr>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熟记并严格遵守车辆管理的规章制度</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执勤及沟通必须礼貌用语</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纠正违章行为和处理事情要事先敬礼</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合理引导、疏导车辆停放</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所有大院内机动车辆必须停放指定位置</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认真检查出入车辆、指挥车辆按规定路线行驶、停放在指定位置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05"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建立健全防火、防盗，应付突发事件的措施,定期举行义务消防演习</w:t>
            </w:r>
          </w:p>
        </w:tc>
        <w:tc>
          <w:tcPr>
            <w:tcW w:w="6233" w:type="dxa"/>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1、遇有紧急、突发性重大事件，要及时向上报告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2、熟悉园区内消防器件的位置及使用方法，遇突发事件能正确处理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3、认真做好防火、防盗工作，认真检查设备设施，发现不安全因素应查明情况，排除险情及时上报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4、制定防火、防盗安全措施和有紧急应急预案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85"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禁止妨害他人正常工作生活的行为</w:t>
            </w:r>
          </w:p>
        </w:tc>
        <w:tc>
          <w:tcPr>
            <w:tcW w:w="6233" w:type="dxa"/>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1、禁止在公共部位堆放杂物乱停放车辆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2、严禁噪音污染，乱扔杂物污染环境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3、禁止流动摊贩扰民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4、禁止随地吐痰、乱搭建违章建筑物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5、禁止乱贴广告，发放广告宣传材料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55"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及时制止违反《治安管理处罚条例》的行为</w:t>
            </w:r>
          </w:p>
        </w:tc>
        <w:tc>
          <w:tcPr>
            <w:tcW w:w="6233" w:type="dxa"/>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1、非法携带枪支弹药、储存使用危险品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2、禁止偷盗他人财物，制造出售违禁物品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3、利用物业进行嫖娼、卖淫活动或聚众赌博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4、其他违反《治安管理条例》的行为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00"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制定并严格执行训练培训计划</w:t>
            </w:r>
          </w:p>
        </w:tc>
        <w:tc>
          <w:tcPr>
            <w:tcW w:w="6233" w:type="dxa"/>
            <w:vAlign w:val="center"/>
          </w:tcPr>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1、严格要求自己、严格训练，提高自身职业素质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2、认真学习掌握各种器材的操作技术及使用方法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3、积极参加各项培训活动，并能逐步利用其培训成果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60" w:hRule="atLeast"/>
          <w:jc w:val="center"/>
        </w:trPr>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制定保卫部的各项规章管理制度</w:t>
            </w:r>
          </w:p>
        </w:tc>
        <w:tc>
          <w:tcPr>
            <w:tcW w:w="6233" w:type="dxa"/>
            <w:vAlign w:val="center"/>
          </w:tcPr>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熟记并严格遵守保卫部各项规章管理制度</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搞好内务卫生</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kern w:val="2"/>
          <w:sz w:val="32"/>
          <w:szCs w:val="32"/>
          <w:lang w:val="en-US" w:eastAsia="zh-CN" w:bidi="ar-SA"/>
        </w:rPr>
        <w:t>4）</w:t>
      </w:r>
      <w:r>
        <w:rPr>
          <w:rFonts w:hint="eastAsia" w:ascii="仿宋_GB2312" w:hAnsi="仿宋_GB2312" w:eastAsia="仿宋_GB2312" w:cs="仿宋_GB2312"/>
          <w:sz w:val="32"/>
          <w:szCs w:val="32"/>
          <w:highlight w:val="none"/>
          <w:lang w:val="en-US" w:eastAsia="zh-CN"/>
        </w:rPr>
        <w:t>设施设备运行维护及供暖服务内容及标准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维修维保服务范围：供配电系统、照明系统、给排水系统、直饮水系统、供暖系统、职工洗浴系统、供暖服务、办公室桌椅门窗维修。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建筑房屋主体维修、养护和管理：墙面、天花板、地面、门窗各类板材、砖面的维修维护保养。各类小修范围内的泥工、瓦工、木工、电工、水暖工的修补及小五金安装维护。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弱电系统（监控）设备运行维护。强电系统（高、低压变配电、供电线路、用电设备、照明设施）设备运行维护。给排水系统运行维护。污水处理系统运行维护。院区内路灯、公共走廊照明设备运行维护。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按专业组织技术培训，按设备台账编制设施设备的年季月度维保计划，根据维保计划按时保养设施设备并填写维保记录。组建应急维修维护队伍，制定相关应急抢险抢修预案，制定值班、待班相关制度。服从甲方统一安排，应对突发事件的发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工作标准：按照物业相关法律规定，对物业相关共用部位进行维修、养护和管理。建立健全相关物业维修维护制度、责任明确、定期巡查设施设备，并做好相关记录。履行好相关值班制度，无脱岗离岗现象发生。保障服务范围内杜绝跑、冒、滴、漏等现象的发生。维修维护范围内的设施设备寿命最大化，并在运行方面利用</w:t>
      </w:r>
      <w:r>
        <w:rPr>
          <w:rFonts w:hint="eastAsia" w:ascii="仿宋_GB2312" w:hAnsi="仿宋_GB2312" w:eastAsia="仿宋_GB2312" w:cs="仿宋_GB2312"/>
          <w:color w:val="auto"/>
          <w:sz w:val="32"/>
          <w:szCs w:val="32"/>
          <w:highlight w:val="none"/>
          <w:lang w:val="en-US" w:eastAsia="zh-CN"/>
        </w:rPr>
        <w:t>有效地</w:t>
      </w:r>
      <w:r>
        <w:rPr>
          <w:rFonts w:hint="eastAsia" w:ascii="仿宋_GB2312" w:hAnsi="仿宋_GB2312" w:eastAsia="仿宋_GB2312" w:cs="仿宋_GB2312"/>
          <w:sz w:val="32"/>
          <w:szCs w:val="32"/>
          <w:highlight w:val="none"/>
          <w:lang w:val="en-US" w:eastAsia="zh-CN"/>
        </w:rPr>
        <w:t>能源管理和其他节省成本的方法减少资金再投入。房屋外观完好、整洁，公用楼梯间、墙面、地面等无破损。设备用房完好整洁，主要设备标识齐全、危及人身安全隐患处明显防范措施。保障设施设备运行正常，故障处理得当，杜绝误修、托修现象。维保人员统一着装，服务积极主动，认真负责。服务态度和蔼，接受甲方管理建议，及时调整管理方法，配合甲方各项建设工作的开展。维修部接到报修后15分钟到达现场，小故障1小时内排除；大故障及时与甲方沟通保证不影响生产办公。每次维修完成认真填写报修单并由甲方签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供暖锅炉工工作标准：认真学习供暖专业知识，熟悉设备性能，掌握安全供暖操作规程，不断提高技术水平。负责热交换站换热机组、一二次供热管网等设备设施的管理、维修和运营工作。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遵守劳动纪律，坚守工作岗位，不脱岗、串岗、睡岗，不做与工作无关的事情，不得将工作随意交他人代替。定期清理交换站卫生，保持机房内的整洁，保证设备设施表面无灰尘、锈蚀，管道保温保护完好。严格执行来访人员登记制度，未经批准，严禁无关人员进入交换站。熟悉供暖系统及管线分布，熟练操作供暖设施设备，严格按照安全供暖操作规程操作。每天按要求巡视检查供暖设备运行情况，定时检查热交换仪器仪表指示是否正常，运行数据是否正常，并做好运行记录。定期检修保养热交换仪器、供暖设备，做好检修保养记录，保证设备正常运转。巡视检查供暖设备运行时，如发现异常情况，应及时处理，并上报主管领导。增强节能意识，根据天气变化适当调节供暖温度。</w:t>
      </w:r>
    </w:p>
    <w:p>
      <w:pPr>
        <w:spacing w:line="560" w:lineRule="exact"/>
        <w:ind w:firstLine="643" w:firstLineChars="200"/>
        <w:jc w:val="left"/>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val="en-US" w:eastAsia="zh-CN"/>
        </w:rPr>
        <w:t>（二）</w:t>
      </w:r>
      <w:r>
        <w:rPr>
          <w:rFonts w:hint="eastAsia" w:ascii="仿宋_GB2312" w:hAnsi="仿宋_GB2312" w:eastAsia="仿宋_GB2312" w:cs="仿宋_GB2312"/>
          <w:b/>
          <w:bCs/>
          <w:sz w:val="32"/>
          <w:szCs w:val="32"/>
          <w:highlight w:val="none"/>
        </w:rPr>
        <w:t>商务要求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询价报价：本项目最高限价为69万元，询价报价超过最高限价的为无效询价。询价报价必须包含完成采购项目所需的服务、承诺、义务、人员工资、保险、税金等所有费用，不包含物耗费。</w:t>
      </w:r>
    </w:p>
    <w:p>
      <w:pPr>
        <w:pStyle w:val="19"/>
        <w:keepNext w:val="0"/>
        <w:keepLines w:val="0"/>
        <w:widowControl w:val="0"/>
        <w:suppressLineNumbers w:val="0"/>
        <w:adjustRightInd w:val="0"/>
        <w:snapToGrid w:val="0"/>
        <w:spacing w:before="0" w:beforeAutospacing="0" w:after="0" w:afterAutospacing="0" w:line="560" w:lineRule="exact"/>
        <w:ind w:right="0" w:firstLine="640" w:firstLineChars="200"/>
        <w:jc w:val="both"/>
        <w:outlineLvl w:val="0"/>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三、服务质量及考核标准</w:t>
      </w:r>
    </w:p>
    <w:p>
      <w:pPr>
        <w:spacing w:line="560" w:lineRule="exact"/>
        <w:ind w:firstLine="640" w:firstLineChars="200"/>
        <w:jc w:val="left"/>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市级党政机关办公用房物业服务管理指导意见等文件要求，制定《物业服务检查考核办法》，加强对物业服务的日常巡查和年度考核，严禁物业服务企业中标后降低服务质量，全面评价物业服务合同履行和节能降耗等情况。</w:t>
      </w:r>
    </w:p>
    <w:p>
      <w:pPr>
        <w:spacing w:line="560" w:lineRule="exact"/>
        <w:ind w:firstLine="640" w:firstLineChars="200"/>
        <w:jc w:val="left"/>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四、项目绩效</w:t>
      </w:r>
    </w:p>
    <w:p>
      <w:pPr>
        <w:numPr>
          <w:ilvl w:val="0"/>
          <w:numId w:val="0"/>
        </w:numPr>
        <w:spacing w:line="560" w:lineRule="exact"/>
        <w:ind w:firstLine="640" w:firstLineChars="200"/>
        <w:jc w:val="left"/>
        <w:rPr>
          <w:rFonts w:hint="eastAsia" w:ascii="仿宋_GB2312" w:hAnsi="仿宋_GB2312" w:eastAsia="仿宋_GB2312" w:cs="仿宋_GB2312"/>
          <w:i/>
          <w:iCs/>
          <w:sz w:val="32"/>
          <w:szCs w:val="32"/>
          <w:highlight w:val="none"/>
          <w:u w:val="single"/>
          <w:lang w:eastAsia="zh-CN"/>
        </w:rPr>
      </w:pPr>
      <w:r>
        <w:rPr>
          <w:rFonts w:hint="eastAsia" w:ascii="仿宋_GB2312" w:hAnsi="仿宋_GB2312" w:eastAsia="仿宋_GB2312" w:cs="仿宋_GB2312"/>
          <w:b w:val="0"/>
          <w:bCs w:val="0"/>
          <w:color w:val="auto"/>
          <w:sz w:val="32"/>
          <w:szCs w:val="32"/>
          <w:highlight w:val="none"/>
          <w:lang w:val="en-US" w:eastAsia="zh-CN"/>
        </w:rPr>
        <w:t>按照石家庄市机关事务管理局和石家庄市财政局《关于党政机关办公楼（区）物业管理服务内容及费用标准的指导意见（暂行）》及</w:t>
      </w:r>
      <w:r>
        <w:rPr>
          <w:rFonts w:hint="eastAsia" w:ascii="仿宋_GB2312" w:hAnsi="仿宋_GB2312" w:eastAsia="仿宋_GB2312" w:cs="仿宋_GB2312"/>
          <w:color w:val="auto"/>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color w:val="auto"/>
          <w:sz w:val="32"/>
          <w:szCs w:val="32"/>
          <w:highlight w:val="none"/>
          <w:lang w:val="en-US" w:eastAsia="zh-CN"/>
        </w:rPr>
        <w:t>2021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3号</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规定，我单位将依法合规选聘规章制度健全、财务状况良好、服务质量优秀、社会口碑良好的企业，为我单位提供物业服务及大院运行维护服务。购买物业服务及大院运行维护是保障党政机关履职尽责、高效运转的重要举措，进一步提高物业服务质量和水平，逐步实现物业管理规范化、市场化和专业化。向社会购买物业服务及大院运行维护服务工作，能够带来社会效益和经济效益双丰收。</w:t>
      </w:r>
    </w:p>
    <w:p>
      <w:pPr>
        <w:keepNext w:val="0"/>
        <w:keepLines w:val="0"/>
        <w:widowControl w:val="0"/>
        <w:suppressLineNumbers w:val="0"/>
        <w:adjustRightInd w:val="0"/>
        <w:snapToGrid w:val="0"/>
        <w:spacing w:before="0" w:beforeAutospacing="0" w:after="0" w:afterAutospacing="0" w:line="560" w:lineRule="exact"/>
        <w:ind w:right="0" w:firstLine="640" w:firstLineChars="200"/>
        <w:jc w:val="both"/>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五、项目验收方案及要求</w:t>
      </w:r>
    </w:p>
    <w:p>
      <w:pPr>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中标方提供的服务应符合招标文件、投标文件及合同约定的相关要求。服务期满并达到履约要求后，采购方向局采购办报《履约验收申请表》，并组织局采购领导小组成员单位和相关专家对本项目进行验收。</w:t>
      </w:r>
    </w:p>
    <w:p>
      <w:pPr>
        <w:pStyle w:val="21"/>
        <w:numPr>
          <w:ilvl w:val="0"/>
          <w:numId w:val="5"/>
        </w:numPr>
        <w:ind w:left="0" w:leftChars="0" w:firstLine="640" w:firstLineChars="200"/>
        <w:jc w:val="both"/>
        <w:rPr>
          <w:rFonts w:hint="eastAsia" w:ascii="黑体" w:hAnsi="黑体" w:eastAsia="黑体" w:cs="黑体"/>
          <w:b w:val="0"/>
          <w:bCs/>
          <w:kern w:val="2"/>
          <w:sz w:val="32"/>
          <w:szCs w:val="32"/>
          <w:lang w:val="en-US" w:eastAsia="zh-CN" w:bidi="ar"/>
        </w:rPr>
      </w:pPr>
      <w:r>
        <w:rPr>
          <w:rFonts w:hint="eastAsia" w:ascii="黑体" w:hAnsi="黑体" w:eastAsia="黑体" w:cs="黑体"/>
          <w:b w:val="0"/>
          <w:bCs/>
          <w:kern w:val="2"/>
          <w:sz w:val="32"/>
          <w:szCs w:val="32"/>
          <w:lang w:val="en-US" w:eastAsia="zh-CN" w:bidi="ar"/>
        </w:rPr>
        <w:t>时间安排</w:t>
      </w:r>
    </w:p>
    <w:p>
      <w:pPr>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物业服务及大院运行项目服务期限为：壹年。</w:t>
      </w:r>
    </w:p>
    <w:p>
      <w:pPr>
        <w:keepNext w:val="0"/>
        <w:keepLines w:val="0"/>
        <w:widowControl w:val="0"/>
        <w:suppressLineNumbers w:val="0"/>
        <w:autoSpaceDE w:val="0"/>
        <w:autoSpaceDN/>
        <w:adjustRightInd w:val="0"/>
        <w:snapToGrid w:val="0"/>
        <w:spacing w:before="0" w:beforeAutospacing="0" w:after="0" w:afterAutospacing="0" w:line="560" w:lineRule="exact"/>
        <w:ind w:left="0" w:leftChars="0" w:right="0" w:firstLine="640" w:firstLineChars="200"/>
        <w:jc w:val="both"/>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七、经费预算</w:t>
      </w:r>
    </w:p>
    <w:p>
      <w:pPr>
        <w:pStyle w:val="9"/>
        <w:keepNext w:val="0"/>
        <w:keepLines w:val="0"/>
        <w:pageBreakBefore w:val="0"/>
        <w:kinsoku/>
        <w:wordWrap/>
        <w:overflowPunct/>
        <w:topLinePunct w:val="0"/>
        <w:autoSpaceDE/>
        <w:autoSpaceDN/>
        <w:bidi w:val="0"/>
        <w:adjustRightInd w:val="0"/>
        <w:spacing w:line="560" w:lineRule="exact"/>
        <w:ind w:right="0" w:rightChars="0" w:firstLine="640"/>
        <w:jc w:val="left"/>
        <w:textAlignment w:val="auto"/>
        <w:rPr>
          <w:rFonts w:hint="eastAsia" w:ascii="黑体" w:hAnsi="黑体" w:eastAsia="黑体" w:cs="黑体"/>
          <w:b w:val="0"/>
          <w:bCs/>
          <w:sz w:val="32"/>
          <w:szCs w:val="32"/>
        </w:rPr>
      </w:pPr>
      <w:r>
        <w:rPr>
          <w:rFonts w:hint="eastAsia" w:ascii="仿宋_GB2312" w:hAnsi="仿宋_GB2312" w:eastAsia="仿宋_GB2312" w:cs="仿宋_GB2312"/>
          <w:sz w:val="32"/>
          <w:szCs w:val="32"/>
          <w:lang w:eastAsia="zh-CN"/>
        </w:rPr>
        <w:t>采购项目预（概）算：</w:t>
      </w:r>
      <w:r>
        <w:rPr>
          <w:rFonts w:hint="eastAsia" w:ascii="仿宋_GB2312" w:hAnsi="仿宋_GB2312" w:eastAsia="仿宋_GB2312" w:cs="仿宋_GB2312"/>
          <w:b w:val="0"/>
          <w:bCs/>
          <w:sz w:val="32"/>
          <w:szCs w:val="32"/>
          <w:lang w:val="en-US" w:eastAsia="zh-CN"/>
        </w:rPr>
        <w:t>69万元</w:t>
      </w: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1"/>
        <w:rPr>
          <w:rFonts w:ascii="仿宋_GB2312" w:hAnsi="仿宋_GB2312" w:eastAsia="仿宋_GB2312" w:cs="仿宋_GB2312"/>
          <w:b/>
          <w:sz w:val="48"/>
        </w:rPr>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1"/>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6"/>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7"/>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7"/>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7"/>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6"/>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8"/>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8"/>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8"/>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8"/>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1"/>
        <w:rPr>
          <w:rFonts w:hint="eastAsia" w:ascii="仿宋_GB2312" w:hAnsi="仿宋_GB2312" w:eastAsia="仿宋_GB2312" w:cs="仿宋_GB2312"/>
          <w:sz w:val="28"/>
        </w:rPr>
      </w:pPr>
    </w:p>
    <w:p>
      <w:pPr>
        <w:pStyle w:val="22"/>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XXX（单位）</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XXX项目</w:t>
      </w:r>
      <w:r>
        <w:rPr>
          <w:rFonts w:hint="eastAsia" w:ascii="方正小标宋_GBK" w:hAnsi="方正小标宋_GBK" w:eastAsia="方正小标宋_GBK" w:cs="方正小标宋_GBK"/>
          <w:bCs/>
          <w:sz w:val="44"/>
          <w:szCs w:val="44"/>
        </w:rPr>
        <w:t>询价告知卡</w:t>
      </w:r>
    </w:p>
    <w:p>
      <w:pPr>
        <w:pStyle w:val="30"/>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numPr>
          <w:ilvl w:val="0"/>
          <w:numId w:val="9"/>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XXX（单位）关于XXX项目</w:t>
      </w:r>
      <w:r>
        <w:rPr>
          <w:rFonts w:hint="eastAsia" w:ascii="方正小标宋_GBK" w:hAnsi="方正小标宋_GBK" w:eastAsia="方正小标宋_GBK" w:cs="方正小标宋_GBK"/>
          <w:b w:val="0"/>
          <w:bCs/>
          <w:sz w:val="32"/>
          <w:szCs w:val="32"/>
        </w:rPr>
        <w:t>的询价信息公告”是否阅知？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9"/>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XXX（单位）XXX项目询价要求及流程</w:t>
      </w:r>
      <w:r>
        <w:rPr>
          <w:rFonts w:hint="eastAsia" w:ascii="方正小标宋_GBK" w:hAnsi="方正小标宋_GBK" w:eastAsia="方正小标宋_GBK" w:cs="方正小标宋_GBK"/>
          <w:b w:val="0"/>
          <w:bCs/>
          <w:sz w:val="32"/>
          <w:szCs w:val="32"/>
        </w:rPr>
        <w:t>”是否阅知？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9"/>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XXX（单位）XXX项目工作方案</w:t>
      </w:r>
      <w:r>
        <w:rPr>
          <w:rFonts w:hint="eastAsia" w:ascii="方正小标宋_GBK" w:hAnsi="方正小标宋_GBK" w:eastAsia="方正小标宋_GBK" w:cs="方正小标宋_GBK"/>
          <w:b w:val="0"/>
          <w:bCs/>
          <w:sz w:val="32"/>
          <w:szCs w:val="32"/>
        </w:rPr>
        <w:t>”及采购需求是否阅知？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altName w:val="方正仿宋_GBK"/>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6A9163"/>
    <w:multiLevelType w:val="singleLevel"/>
    <w:tmpl w:val="A86A9163"/>
    <w:lvl w:ilvl="0" w:tentative="0">
      <w:start w:val="1"/>
      <w:numFmt w:val="decimal"/>
      <w:suff w:val="nothing"/>
      <w:lvlText w:val="%1、"/>
      <w:lvlJc w:val="left"/>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6">
    <w:nsid w:val="62DA792F"/>
    <w:multiLevelType w:val="singleLevel"/>
    <w:tmpl w:val="62DA792F"/>
    <w:lvl w:ilvl="0" w:tentative="0">
      <w:start w:val="2"/>
      <w:numFmt w:val="chineseCounting"/>
      <w:suff w:val="nothing"/>
      <w:lvlText w:val="%1、"/>
      <w:lvlJc w:val="left"/>
    </w:lvl>
  </w:abstractNum>
  <w:abstractNum w:abstractNumId="7">
    <w:nsid w:val="62DE0707"/>
    <w:multiLevelType w:val="singleLevel"/>
    <w:tmpl w:val="62DE0707"/>
    <w:lvl w:ilvl="0" w:tentative="0">
      <w:start w:val="6"/>
      <w:numFmt w:val="chineseCounting"/>
      <w:suff w:val="nothing"/>
      <w:lvlText w:val="%1、"/>
      <w:lvlJc w:val="left"/>
    </w:lvl>
  </w:abstractNum>
  <w:abstractNum w:abstractNumId="8">
    <w:nsid w:val="7DF580BE"/>
    <w:multiLevelType w:val="singleLevel"/>
    <w:tmpl w:val="7DF580BE"/>
    <w:lvl w:ilvl="0" w:tentative="0">
      <w:start w:val="1"/>
      <w:numFmt w:val="decimal"/>
      <w:suff w:val="nothing"/>
      <w:lvlText w:val="%1、"/>
      <w:lvlJc w:val="left"/>
    </w:lvl>
  </w:abstractNum>
  <w:num w:numId="1">
    <w:abstractNumId w:val="1"/>
  </w:num>
  <w:num w:numId="2">
    <w:abstractNumId w:val="6"/>
  </w:num>
  <w:num w:numId="3">
    <w:abstractNumId w:val="8"/>
  </w:num>
  <w:num w:numId="4">
    <w:abstractNumId w:val="0"/>
  </w:num>
  <w:num w:numId="5">
    <w:abstractNumId w:val="7"/>
  </w:num>
  <w:num w:numId="6">
    <w:abstractNumId w:val="3"/>
  </w:num>
  <w:num w:numId="7">
    <w:abstractNumId w:val="4"/>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FhMjg4NDAxNzkxNjFlYTUxZWQ1NmYyYmVmMTZhMDY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B80751"/>
    <w:rsid w:val="034E7427"/>
    <w:rsid w:val="054637EC"/>
    <w:rsid w:val="05AA1AAE"/>
    <w:rsid w:val="05C20325"/>
    <w:rsid w:val="06FF4152"/>
    <w:rsid w:val="0BA31992"/>
    <w:rsid w:val="0C63233E"/>
    <w:rsid w:val="0CD60C9A"/>
    <w:rsid w:val="0D9553DC"/>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6F46EE5"/>
    <w:rsid w:val="17C821C3"/>
    <w:rsid w:val="18C563ED"/>
    <w:rsid w:val="194A05B4"/>
    <w:rsid w:val="1AC66850"/>
    <w:rsid w:val="1B2210BB"/>
    <w:rsid w:val="1B8D5C41"/>
    <w:rsid w:val="1E486234"/>
    <w:rsid w:val="1EF621E8"/>
    <w:rsid w:val="1F012D15"/>
    <w:rsid w:val="1F6623C1"/>
    <w:rsid w:val="20304FD0"/>
    <w:rsid w:val="204E102B"/>
    <w:rsid w:val="213868ED"/>
    <w:rsid w:val="219A57C2"/>
    <w:rsid w:val="21CB5781"/>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1F690E"/>
    <w:rsid w:val="3156643E"/>
    <w:rsid w:val="32BC67A5"/>
    <w:rsid w:val="32D76267"/>
    <w:rsid w:val="332609ED"/>
    <w:rsid w:val="33433250"/>
    <w:rsid w:val="346A24A1"/>
    <w:rsid w:val="36336D3C"/>
    <w:rsid w:val="369A41F1"/>
    <w:rsid w:val="37664A4B"/>
    <w:rsid w:val="376A10BB"/>
    <w:rsid w:val="37D31B27"/>
    <w:rsid w:val="3A3F6D53"/>
    <w:rsid w:val="3A9F725A"/>
    <w:rsid w:val="3B2535D0"/>
    <w:rsid w:val="3B692505"/>
    <w:rsid w:val="3C3314A1"/>
    <w:rsid w:val="3C771D8C"/>
    <w:rsid w:val="3ED04B63"/>
    <w:rsid w:val="3F3458F1"/>
    <w:rsid w:val="3F345B9D"/>
    <w:rsid w:val="3FAEAC60"/>
    <w:rsid w:val="3FC2791B"/>
    <w:rsid w:val="3FCD703E"/>
    <w:rsid w:val="403959A7"/>
    <w:rsid w:val="42B43088"/>
    <w:rsid w:val="44127729"/>
    <w:rsid w:val="44735770"/>
    <w:rsid w:val="45330549"/>
    <w:rsid w:val="47D64CBF"/>
    <w:rsid w:val="486D2B74"/>
    <w:rsid w:val="48AF0173"/>
    <w:rsid w:val="48BA422E"/>
    <w:rsid w:val="48C12AEC"/>
    <w:rsid w:val="49862862"/>
    <w:rsid w:val="4A103E4C"/>
    <w:rsid w:val="4AFA67CB"/>
    <w:rsid w:val="4B34396A"/>
    <w:rsid w:val="4B562B1E"/>
    <w:rsid w:val="4C900CC1"/>
    <w:rsid w:val="4D4E52B1"/>
    <w:rsid w:val="4E276751"/>
    <w:rsid w:val="4E3C4E24"/>
    <w:rsid w:val="4E486040"/>
    <w:rsid w:val="4FE319FB"/>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023E21"/>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CD27848"/>
    <w:rsid w:val="6DD00BA9"/>
    <w:rsid w:val="6E2C46FB"/>
    <w:rsid w:val="6F125D61"/>
    <w:rsid w:val="70642025"/>
    <w:rsid w:val="70F652BC"/>
    <w:rsid w:val="71407CFA"/>
    <w:rsid w:val="726C6ADB"/>
    <w:rsid w:val="75174012"/>
    <w:rsid w:val="751F4904"/>
    <w:rsid w:val="759706CC"/>
    <w:rsid w:val="762941A2"/>
    <w:rsid w:val="76536B40"/>
    <w:rsid w:val="76D36788"/>
    <w:rsid w:val="77D53717"/>
    <w:rsid w:val="784D55E5"/>
    <w:rsid w:val="7C115EE7"/>
    <w:rsid w:val="7D242C86"/>
    <w:rsid w:val="7DBE5B9D"/>
    <w:rsid w:val="7E1A6E9E"/>
    <w:rsid w:val="7F50046D"/>
    <w:rsid w:val="7FB23D36"/>
    <w:rsid w:val="8F89A1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jc w:val="left"/>
      <w:outlineLvl w:val="0"/>
    </w:pPr>
    <w:rPr>
      <w:rFonts w:ascii="宋体" w:hAnsi="宋体"/>
      <w:b/>
      <w:sz w:val="32"/>
      <w:szCs w:val="20"/>
    </w:rPr>
  </w:style>
  <w:style w:type="paragraph" w:styleId="3">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7">
    <w:name w:val="Normal Indent"/>
    <w:basedOn w:val="1"/>
    <w:qFormat/>
    <w:uiPriority w:val="0"/>
    <w:pPr>
      <w:spacing w:line="360" w:lineRule="auto"/>
      <w:ind w:firstLine="420"/>
    </w:pPr>
    <w:rPr>
      <w:szCs w:val="20"/>
    </w:rPr>
  </w:style>
  <w:style w:type="paragraph" w:styleId="8">
    <w:name w:val="annotation text"/>
    <w:basedOn w:val="1"/>
    <w:link w:val="39"/>
    <w:qFormat/>
    <w:uiPriority w:val="0"/>
    <w:pPr>
      <w:jc w:val="left"/>
    </w:pPr>
  </w:style>
  <w:style w:type="paragraph" w:styleId="9">
    <w:name w:val="Body Text"/>
    <w:basedOn w:val="1"/>
    <w:qFormat/>
    <w:uiPriority w:val="0"/>
    <w:pPr>
      <w:jc w:val="center"/>
    </w:pPr>
    <w:rPr>
      <w:rFonts w:ascii="宋体"/>
      <w:b/>
      <w:sz w:val="48"/>
    </w:rPr>
  </w:style>
  <w:style w:type="paragraph" w:styleId="10">
    <w:name w:val="Body Text Indent"/>
    <w:basedOn w:val="1"/>
    <w:next w:val="1"/>
    <w:unhideWhenUsed/>
    <w:qFormat/>
    <w:uiPriority w:val="99"/>
    <w:pPr>
      <w:spacing w:after="120"/>
      <w:ind w:left="420" w:leftChars="200"/>
    </w:pPr>
    <w:rPr>
      <w:rFonts w:ascii="Times New Roman" w:hAnsi="Times New Roman" w:eastAsia="宋体" w:cs="Times New Roman"/>
      <w:szCs w:val="24"/>
    </w:rPr>
  </w:style>
  <w:style w:type="paragraph" w:styleId="11">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2">
    <w:name w:val="Balloon Text"/>
    <w:basedOn w:val="1"/>
    <w:link w:val="41"/>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0"/>
    <w:pPr>
      <w:spacing w:before="120" w:after="120"/>
      <w:jc w:val="left"/>
    </w:pPr>
    <w:rPr>
      <w:b/>
      <w:bCs/>
      <w:caps/>
    </w:rPr>
  </w:style>
  <w:style w:type="paragraph" w:styleId="16">
    <w:name w:val="toc 4"/>
    <w:basedOn w:val="1"/>
    <w:next w:val="1"/>
    <w:qFormat/>
    <w:uiPriority w:val="0"/>
    <w:pPr>
      <w:ind w:left="1260" w:leftChars="600"/>
    </w:pPr>
  </w:style>
  <w:style w:type="paragraph" w:styleId="17">
    <w:name w:val="Body Text Indent 3"/>
    <w:basedOn w:val="1"/>
    <w:qFormat/>
    <w:uiPriority w:val="0"/>
    <w:pPr>
      <w:ind w:firstLine="560" w:firstLineChars="200"/>
    </w:pPr>
    <w:rPr>
      <w:rFonts w:ascii="仿宋_GB2312" w:eastAsia="仿宋_GB2312"/>
      <w:sz w:val="28"/>
    </w:rPr>
  </w:style>
  <w:style w:type="paragraph" w:styleId="18">
    <w:name w:val="toc 2"/>
    <w:basedOn w:val="1"/>
    <w:next w:val="1"/>
    <w:qFormat/>
    <w:uiPriority w:val="0"/>
    <w:pPr>
      <w:tabs>
        <w:tab w:val="right" w:leader="dot" w:pos="9038"/>
      </w:tabs>
      <w:spacing w:line="60" w:lineRule="atLeast"/>
      <w:ind w:left="210"/>
      <w:jc w:val="left"/>
    </w:pPr>
    <w:rPr>
      <w:smallCaps/>
    </w:rPr>
  </w:style>
  <w:style w:type="paragraph" w:styleId="19">
    <w:name w:val="Normal (Web)"/>
    <w:basedOn w:val="1"/>
    <w:qFormat/>
    <w:uiPriority w:val="0"/>
    <w:rPr>
      <w:rFonts w:ascii="Calibri" w:hAnsi="Calibri" w:eastAsia="宋体" w:cs="Times New Roman"/>
      <w:sz w:val="24"/>
    </w:rPr>
  </w:style>
  <w:style w:type="paragraph" w:styleId="20">
    <w:name w:val="annotation subject"/>
    <w:basedOn w:val="8"/>
    <w:next w:val="8"/>
    <w:link w:val="40"/>
    <w:qFormat/>
    <w:uiPriority w:val="0"/>
    <w:rPr>
      <w:b/>
      <w:bCs/>
    </w:rPr>
  </w:style>
  <w:style w:type="paragraph" w:styleId="21">
    <w:name w:val="Body Text First Indent"/>
    <w:basedOn w:val="9"/>
    <w:next w:val="22"/>
    <w:unhideWhenUsed/>
    <w:qFormat/>
    <w:uiPriority w:val="99"/>
    <w:pPr>
      <w:ind w:firstLine="420" w:firstLineChars="100"/>
    </w:pPr>
  </w:style>
  <w:style w:type="paragraph" w:styleId="22">
    <w:name w:val="Body Text First Indent 2"/>
    <w:basedOn w:val="10"/>
    <w:next w:val="1"/>
    <w:unhideWhenUsed/>
    <w:qFormat/>
    <w:uiPriority w:val="99"/>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page number"/>
    <w:basedOn w:val="25"/>
    <w:qFormat/>
    <w:uiPriority w:val="0"/>
  </w:style>
  <w:style w:type="character" w:styleId="27">
    <w:name w:val="Hyperlink"/>
    <w:basedOn w:val="25"/>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Char"/>
    <w:basedOn w:val="1"/>
    <w:qFormat/>
    <w:uiPriority w:val="0"/>
    <w:rPr>
      <w:szCs w:val="20"/>
    </w:rPr>
  </w:style>
  <w:style w:type="paragraph" w:customStyle="1" w:styleId="30">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1">
    <w:name w:val="正文1"/>
    <w:basedOn w:val="32"/>
    <w:qFormat/>
    <w:uiPriority w:val="0"/>
    <w:pPr>
      <w:jc w:val="both"/>
    </w:pPr>
    <w:rPr>
      <w:rFonts w:ascii="Times New Roman" w:hAnsi="Times New Roman" w:eastAsia="Times New Roman"/>
      <w:sz w:val="21"/>
    </w:rPr>
  </w:style>
  <w:style w:type="paragraph" w:customStyle="1" w:styleId="32">
    <w:name w:val="[Normal]"/>
    <w:qFormat/>
    <w:uiPriority w:val="0"/>
    <w:rPr>
      <w:rFonts w:ascii="宋体" w:hAnsi="宋体" w:eastAsiaTheme="minorEastAsia" w:cstheme="minorBidi"/>
      <w:sz w:val="24"/>
      <w:szCs w:val="22"/>
      <w:lang w:val="en-US" w:eastAsia="en-US" w:bidi="ar-SA"/>
    </w:rPr>
  </w:style>
  <w:style w:type="paragraph" w:customStyle="1" w:styleId="33">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4">
    <w:name w:val="C503-正文格式"/>
    <w:basedOn w:val="1"/>
    <w:qFormat/>
    <w:uiPriority w:val="0"/>
    <w:pPr>
      <w:spacing w:line="360" w:lineRule="auto"/>
      <w:ind w:firstLine="480" w:firstLineChars="200"/>
    </w:pPr>
    <w:rPr>
      <w:rFonts w:cs="宋体"/>
      <w:sz w:val="24"/>
      <w:szCs w:val="22"/>
    </w:rPr>
  </w:style>
  <w:style w:type="character" w:customStyle="1" w:styleId="35">
    <w:name w:val="font51"/>
    <w:basedOn w:val="25"/>
    <w:qFormat/>
    <w:uiPriority w:val="0"/>
    <w:rPr>
      <w:rFonts w:hint="eastAsia" w:ascii="仿宋" w:hAnsi="仿宋" w:eastAsia="仿宋" w:cs="仿宋"/>
      <w:color w:val="000000"/>
      <w:sz w:val="22"/>
      <w:szCs w:val="22"/>
      <w:u w:val="none"/>
    </w:rPr>
  </w:style>
  <w:style w:type="table" w:customStyle="1" w:styleId="36">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列出段落1"/>
    <w:basedOn w:val="1"/>
    <w:qFormat/>
    <w:uiPriority w:val="34"/>
    <w:pPr>
      <w:ind w:firstLine="420"/>
    </w:pPr>
  </w:style>
  <w:style w:type="character" w:customStyle="1" w:styleId="38">
    <w:name w:val="font31"/>
    <w:basedOn w:val="25"/>
    <w:qFormat/>
    <w:uiPriority w:val="0"/>
    <w:rPr>
      <w:rFonts w:hint="eastAsia" w:ascii="宋体" w:hAnsi="宋体" w:eastAsia="宋体" w:cs="宋体"/>
      <w:color w:val="000000"/>
      <w:sz w:val="24"/>
      <w:szCs w:val="24"/>
      <w:u w:val="none"/>
    </w:rPr>
  </w:style>
  <w:style w:type="character" w:customStyle="1" w:styleId="39">
    <w:name w:val="批注文字 字符"/>
    <w:basedOn w:val="25"/>
    <w:link w:val="8"/>
    <w:qFormat/>
    <w:uiPriority w:val="0"/>
    <w:rPr>
      <w:rFonts w:asciiTheme="minorHAnsi" w:hAnsiTheme="minorHAnsi" w:eastAsiaTheme="minorEastAsia" w:cstheme="minorBidi"/>
      <w:kern w:val="2"/>
      <w:sz w:val="21"/>
      <w:szCs w:val="24"/>
    </w:rPr>
  </w:style>
  <w:style w:type="character" w:customStyle="1" w:styleId="40">
    <w:name w:val="批注主题 字符"/>
    <w:basedOn w:val="39"/>
    <w:link w:val="20"/>
    <w:qFormat/>
    <w:uiPriority w:val="0"/>
    <w:rPr>
      <w:rFonts w:asciiTheme="minorHAnsi" w:hAnsiTheme="minorHAnsi" w:eastAsiaTheme="minorEastAsia" w:cstheme="minorBidi"/>
      <w:b/>
      <w:bCs/>
      <w:kern w:val="2"/>
      <w:sz w:val="21"/>
      <w:szCs w:val="24"/>
    </w:rPr>
  </w:style>
  <w:style w:type="character" w:customStyle="1" w:styleId="41">
    <w:name w:val="批注框文本 字符"/>
    <w:basedOn w:val="25"/>
    <w:link w:val="12"/>
    <w:qFormat/>
    <w:uiPriority w:val="0"/>
    <w:rPr>
      <w:rFonts w:asciiTheme="minorHAnsi" w:hAnsiTheme="minorHAnsi" w:eastAsiaTheme="minorEastAsia" w:cstheme="minorBidi"/>
      <w:kern w:val="2"/>
      <w:sz w:val="18"/>
      <w:szCs w:val="18"/>
    </w:rPr>
  </w:style>
  <w:style w:type="paragraph" w:customStyle="1" w:styleId="42">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3">
    <w:name w:val="列表段落1"/>
    <w:basedOn w:val="1"/>
    <w:qFormat/>
    <w:uiPriority w:val="99"/>
    <w:pPr>
      <w:ind w:firstLine="420" w:firstLineChars="200"/>
    </w:pPr>
  </w:style>
  <w:style w:type="character" w:customStyle="1" w:styleId="44">
    <w:name w:val="未处理的提及1"/>
    <w:basedOn w:val="25"/>
    <w:unhideWhenUsed/>
    <w:qFormat/>
    <w:uiPriority w:val="99"/>
    <w:rPr>
      <w:color w:val="605E5C"/>
      <w:shd w:val="clear" w:color="auto" w:fill="E1DFDD"/>
    </w:rPr>
  </w:style>
  <w:style w:type="paragraph" w:customStyle="1" w:styleId="45">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SixthEditionOfficeOnline.xsl" Version="6" StyleName="APA"/>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20</Pages>
  <Words>815</Words>
  <Characters>4646</Characters>
  <Lines>38</Lines>
  <Paragraphs>10</Paragraphs>
  <TotalTime>32</TotalTime>
  <ScaleCrop>false</ScaleCrop>
  <LinksUpToDate>false</LinksUpToDate>
  <CharactersWithSpaces>5451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2019-10-29T00:51:00Z</dcterms:created>
  <dc:creator>Administrator</dc:creator>
  <cp:lastModifiedBy>土豆王子</cp:lastModifiedBy>
  <cp:lastPrinted>2020-09-21T21:55:00Z</cp:lastPrinted>
  <dcterms:modified xsi:type="dcterms:W3CDTF">2025-10-14T11:08:56Z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8FFD2DF081F546859E150761091DFFD3_12</vt:lpwstr>
  </property>
</Properties>
</file>